
<file path=[Content_Types].xml><?xml version="1.0" encoding="utf-8"?>
<Types xmlns="http://schemas.openxmlformats.org/package/2006/content-types">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4"/>
          <w:szCs w:val="24"/>
          <w:lang w:val="en-US"/>
        </w:rPr>
      </w:pPr>
      <w:r>
        <w:rPr>
          <w:rFonts w:hint="default"/>
          <w:sz w:val="24"/>
          <w:szCs w:val="24"/>
          <w:lang w:val="en-US"/>
        </w:rPr>
        <w:t>Preliminary Results</w:t>
      </w:r>
    </w:p>
    <w:p>
      <w:pPr>
        <w:ind w:left="-1260" w:leftChars="0" w:firstLine="0" w:firstLineChars="0"/>
        <w:jc w:val="left"/>
        <w:rPr>
          <w:rFonts w:hint="default"/>
          <w:sz w:val="24"/>
          <w:szCs w:val="24"/>
          <w:lang w:val="en-US"/>
        </w:rPr>
      </w:pPr>
      <w:r>
        <w:rPr>
          <w:rFonts w:hint="default"/>
          <w:sz w:val="24"/>
          <w:szCs w:val="24"/>
          <w:lang w:val="en-US"/>
        </w:rPr>
        <w:t>A summary table of the fitted models and their results</w:t>
      </w:r>
    </w:p>
    <w:tbl>
      <w:tblPr>
        <w:tblStyle w:val="111"/>
        <w:tblW w:w="10833" w:type="dxa"/>
        <w:tblInd w:w="-1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6"/>
        <w:gridCol w:w="1982"/>
        <w:gridCol w:w="1378"/>
        <w:gridCol w:w="1697"/>
        <w:gridCol w:w="1697"/>
        <w:gridCol w:w="1698"/>
        <w:gridCol w:w="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4" w:hRule="atLeast"/>
        </w:trPr>
        <w:tc>
          <w:tcPr>
            <w:tcW w:w="15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Response</w:t>
            </w:r>
          </w:p>
        </w:tc>
        <w:tc>
          <w:tcPr>
            <w:tcW w:w="198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Model</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Relationship</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Effect of carcass weight significant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Effect of carcass type significant</w:t>
            </w: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 xml:space="preserve">Carcass type </w:t>
            </w:r>
            <w:r>
              <w:rPr>
                <w:rFonts w:hint="default" w:ascii="Arial" w:hAnsi="Arial" w:cs="Arial"/>
                <w:sz w:val="20"/>
                <w:szCs w:val="20"/>
                <w:vertAlign w:val="baseline"/>
                <w:lang w:val="en-US"/>
              </w:rPr>
              <w:t>×</w:t>
            </w:r>
            <w:r>
              <w:rPr>
                <w:rFonts w:hint="default"/>
                <w:sz w:val="20"/>
                <w:szCs w:val="20"/>
                <w:vertAlign w:val="baseline"/>
                <w:lang w:val="en-US"/>
              </w:rPr>
              <w:t xml:space="preserve"> Carcass weight significant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Figure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5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Clutch size</w:t>
            </w:r>
          </w:p>
        </w:tc>
        <w:tc>
          <w:tcPr>
            <w:tcW w:w="198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Zero-inflated negative binomial</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Quadratic</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highlight w:val="darkGray"/>
                <w:vertAlign w:val="baseline"/>
                <w:lang w:val="en-US"/>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ascii="Arial" w:hAnsi="Arial" w:cs="Arial"/>
                <w:b w:val="0"/>
                <w:bCs w:val="0"/>
                <w:sz w:val="24"/>
                <w:szCs w:val="24"/>
                <w:highlight w:val="none"/>
                <w:vertAlign w:val="baseline"/>
                <w:lang w:val="en-US"/>
              </w:rPr>
              <w: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5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Breeding success</w:t>
            </w:r>
          </w:p>
        </w:tc>
        <w:tc>
          <w:tcPr>
            <w:tcW w:w="198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Binomial</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Quadratic</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highlight w:val="darkGray"/>
                <w:vertAlign w:val="baseline"/>
                <w:lang w:val="en-US" w:eastAsia="zh-CN" w:bidi="ar-SA"/>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5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98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5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98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5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98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5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98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5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98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5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98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5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98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556"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p>
        </w:tc>
        <w:tc>
          <w:tcPr>
            <w:tcW w:w="1982"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color w:val="auto"/>
                <w:sz w:val="20"/>
                <w:szCs w:val="20"/>
                <w:vertAlign w:val="baseline"/>
                <w:lang w:val="en-US"/>
              </w:rPr>
            </w:pPr>
          </w:p>
        </w:tc>
      </w:tr>
    </w:tbl>
    <w:p>
      <w:pPr>
        <w:keepNext w:val="0"/>
        <w:keepLines w:val="0"/>
        <w:pageBreakBefore w:val="0"/>
        <w:widowControl/>
        <w:kinsoku/>
        <w:wordWrap/>
        <w:overflowPunct/>
        <w:topLinePunct w:val="0"/>
        <w:autoSpaceDE/>
        <w:autoSpaceDN/>
        <w:bidi w:val="0"/>
        <w:adjustRightInd/>
        <w:snapToGrid/>
        <w:spacing w:before="200" w:after="0"/>
        <w:ind w:left="-1267" w:leftChars="0" w:right="-1411" w:rightChars="0" w:firstLine="0" w:firstLineChars="0"/>
        <w:textAlignment w:val="auto"/>
        <w:rPr>
          <w:rFonts w:hint="default"/>
          <w:color w:val="auto"/>
          <w:sz w:val="24"/>
          <w:szCs w:val="24"/>
          <w:lang w:val="en-US"/>
        </w:rPr>
      </w:pPr>
      <w:r>
        <w:rPr>
          <w:rFonts w:hint="default"/>
          <w:color w:val="auto"/>
          <w:sz w:val="24"/>
          <w:szCs w:val="24"/>
          <w:lang w:val="en-US"/>
        </w:rPr>
        <w:t>* All models included parent size and generation as the fixed effects and pair id as the random effect; selection between linear and quadratic models was based on the likelihood ratio tests and AIC.</w:t>
      </w:r>
    </w:p>
    <w:p>
      <w:pPr>
        <w:keepNext w:val="0"/>
        <w:keepLines w:val="0"/>
        <w:pageBreakBefore w:val="0"/>
        <w:widowControl/>
        <w:kinsoku/>
        <w:wordWrap/>
        <w:overflowPunct/>
        <w:topLinePunct w:val="0"/>
        <w:autoSpaceDE/>
        <w:autoSpaceDN/>
        <w:bidi w:val="0"/>
        <w:adjustRightInd/>
        <w:snapToGrid/>
        <w:spacing w:before="200"/>
        <w:ind w:left="-1267" w:leftChars="0" w:right="-1414" w:rightChars="0" w:firstLine="0" w:firstLineChars="0"/>
        <w:textAlignment w:val="auto"/>
        <w:rPr>
          <w:rFonts w:hint="default"/>
          <w:color w:val="auto"/>
          <w:sz w:val="24"/>
          <w:szCs w:val="24"/>
          <w:lang w:val="en-US"/>
        </w:rPr>
      </w:pPr>
      <w:r>
        <w:rPr>
          <w:rFonts w:hint="default"/>
          <w:color w:val="auto"/>
          <w:sz w:val="24"/>
          <w:szCs w:val="24"/>
          <w:lang w:val="en-US"/>
        </w:rPr>
        <w:t>* A significant interaction between carcass type and carcass weight indicates that the pattern differs between the wild and lab carcasses.</w:t>
      </w:r>
    </w:p>
    <w:p>
      <w:pPr>
        <w:keepNext w:val="0"/>
        <w:keepLines w:val="0"/>
        <w:pageBreakBefore w:val="0"/>
        <w:widowControl/>
        <w:kinsoku/>
        <w:wordWrap/>
        <w:overflowPunct/>
        <w:topLinePunct w:val="0"/>
        <w:autoSpaceDE/>
        <w:autoSpaceDN/>
        <w:bidi w:val="0"/>
        <w:adjustRightInd/>
        <w:snapToGrid/>
        <w:spacing w:before="200"/>
        <w:ind w:left="-1267" w:leftChars="0" w:right="-1414" w:rightChars="0" w:firstLine="0" w:firstLineChars="0"/>
        <w:textAlignment w:val="auto"/>
        <w:rPr>
          <w:rFonts w:hint="default"/>
          <w:color w:val="auto"/>
          <w:sz w:val="24"/>
          <w:szCs w:val="24"/>
          <w:lang w:val="en-US"/>
        </w:rPr>
      </w:pPr>
    </w:p>
    <w:p>
      <w:pPr>
        <w:keepNext w:val="0"/>
        <w:keepLines w:val="0"/>
        <w:pageBreakBefore w:val="0"/>
        <w:widowControl/>
        <w:kinsoku/>
        <w:wordWrap/>
        <w:overflowPunct/>
        <w:topLinePunct w:val="0"/>
        <w:autoSpaceDE/>
        <w:autoSpaceDN/>
        <w:bidi w:val="0"/>
        <w:adjustRightInd/>
        <w:snapToGrid/>
        <w:spacing w:before="200"/>
        <w:ind w:left="-1267" w:leftChars="0" w:firstLine="0" w:firstLineChars="0"/>
        <w:textAlignment w:val="auto"/>
        <w:rPr>
          <w:rFonts w:hint="default"/>
          <w:color w:val="FF0000"/>
          <w:sz w:val="24"/>
          <w:szCs w:val="24"/>
          <w:lang w:val="en-US"/>
        </w:rPr>
      </w:pPr>
    </w:p>
    <w:p>
      <w:pPr>
        <w:rPr>
          <w:sz w:val="24"/>
          <w:szCs w:val="24"/>
        </w:rPr>
      </w:pPr>
    </w:p>
    <w:p>
      <w:pPr>
        <w:rPr>
          <w:sz w:val="24"/>
          <w:szCs w:val="24"/>
        </w:rPr>
      </w:pPr>
    </w:p>
    <w:p>
      <w:pPr>
        <w:jc w:val="both"/>
        <w:rPr>
          <w:rFonts w:hint="default"/>
          <w:color w:val="auto"/>
          <w:sz w:val="24"/>
          <w:szCs w:val="24"/>
          <w:lang w:val="en-US"/>
        </w:rPr>
      </w:pPr>
      <w:bookmarkStart w:id="0" w:name="_GoBack"/>
      <w:bookmarkEnd w:id="0"/>
      <w:r>
        <w:rPr>
          <w:rFonts w:hint="default"/>
          <w:color w:val="auto"/>
          <w:sz w:val="24"/>
          <w:szCs w:val="24"/>
          <w:lang w:val="en-US"/>
        </w:rPr>
        <w:t>Figure 1. The relationship between clutch size and carcass weight for lab and wild carcasses. The optimal weight is larger for wild carcasses than lab carcasses.</w:t>
      </w:r>
    </w:p>
    <w:p>
      <w:pPr>
        <w:jc w:val="center"/>
        <w:rPr>
          <w:rFonts w:hint="default"/>
          <w:color w:val="FF0000"/>
          <w:sz w:val="24"/>
          <w:szCs w:val="24"/>
          <w:lang w:val="en-US"/>
        </w:rPr>
      </w:pPr>
      <w:r>
        <w:rPr>
          <w:rFonts w:hint="default"/>
          <w:color w:val="FF0000"/>
          <w:sz w:val="24"/>
          <w:szCs w:val="24"/>
          <w:lang w:val="en-US"/>
        </w:rPr>
        <w:drawing>
          <wp:inline distT="0" distB="0" distL="114300" distR="114300">
            <wp:extent cx="3886835" cy="3108960"/>
            <wp:effectExtent l="0" t="0" r="12065" b="2540"/>
            <wp:docPr id="1" name="Picture 1" descr="Clutch_Size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utch_Size_Carcass_Weight"/>
                    <pic:cNvPicPr>
                      <a:picLocks noChangeAspect="1"/>
                    </pic:cNvPicPr>
                  </pic:nvPicPr>
                  <pic:blipFill>
                    <a:blip r:embed="rId6"/>
                    <a:stretch>
                      <a:fillRect/>
                    </a:stretch>
                  </pic:blipFill>
                  <pic:spPr>
                    <a:xfrm>
                      <a:off x="0" y="0"/>
                      <a:ext cx="3886835" cy="3108960"/>
                    </a:xfrm>
                    <a:prstGeom prst="rect">
                      <a:avLst/>
                    </a:prstGeom>
                  </pic:spPr>
                </pic:pic>
              </a:graphicData>
            </a:graphic>
          </wp:inline>
        </w:drawing>
      </w:r>
    </w:p>
    <w:p>
      <w:pPr>
        <w:jc w:val="both"/>
        <w:rPr>
          <w:rFonts w:hint="default"/>
          <w:color w:val="auto"/>
          <w:sz w:val="24"/>
          <w:szCs w:val="24"/>
          <w:lang w:val="en-US"/>
        </w:rPr>
      </w:pPr>
      <w:r>
        <w:rPr>
          <w:rFonts w:hint="default"/>
          <w:color w:val="auto"/>
          <w:sz w:val="24"/>
          <w:szCs w:val="24"/>
          <w:lang w:val="en-US"/>
        </w:rPr>
        <w:t>Figure 2. The relationship between breeding success and carcass weight for lab and wild carcasses. Breeding success is defined as at least one larva was observed in the breeding container. The patterns differ between the two carcass types. Note the extremely wide confidence interval for the large wild carcasses.</w:t>
      </w:r>
    </w:p>
    <w:p>
      <w:pPr>
        <w:jc w:val="center"/>
        <w:rPr>
          <w:rFonts w:hint="default"/>
          <w:sz w:val="24"/>
          <w:szCs w:val="24"/>
          <w:lang w:val="en-US"/>
        </w:rPr>
      </w:pPr>
      <w:r>
        <w:rPr>
          <w:rFonts w:hint="default"/>
          <w:sz w:val="24"/>
          <w:szCs w:val="24"/>
          <w:lang w:val="en-US"/>
        </w:rPr>
        <w:drawing>
          <wp:inline distT="0" distB="0" distL="114300" distR="114300">
            <wp:extent cx="3886835" cy="3108960"/>
            <wp:effectExtent l="0" t="0" r="12065" b="2540"/>
            <wp:docPr id="2" name="Picture 2" descr="Breeding_Success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reeding_Success_Carcass_Weight"/>
                    <pic:cNvPicPr>
                      <a:picLocks noChangeAspect="1"/>
                    </pic:cNvPicPr>
                  </pic:nvPicPr>
                  <pic:blipFill>
                    <a:blip r:embed="rId7"/>
                    <a:stretch>
                      <a:fillRect/>
                    </a:stretch>
                  </pic:blipFill>
                  <pic:spPr>
                    <a:xfrm>
                      <a:off x="0" y="0"/>
                      <a:ext cx="3886835" cy="3108960"/>
                    </a:xfrm>
                    <a:prstGeom prst="rect">
                      <a:avLst/>
                    </a:prstGeom>
                  </pic:spPr>
                </pic:pic>
              </a:graphicData>
            </a:graphic>
          </wp:inline>
        </w:drawing>
      </w:r>
    </w:p>
    <w:p>
      <w:pPr>
        <w:rPr>
          <w:rFonts w:hint="default"/>
          <w:color w:val="FF0000"/>
          <w:sz w:val="24"/>
          <w:szCs w:val="24"/>
          <w:lang w:val="en-US"/>
        </w:rPr>
      </w:pPr>
      <w:r>
        <w:rPr>
          <w:rFonts w:hint="default"/>
          <w:color w:val="FF0000"/>
          <w:sz w:val="24"/>
          <w:szCs w:val="24"/>
          <w:lang w:val="en-US"/>
        </w:rPr>
        <w:t xml:space="preserve">Figure 3. </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sz w:val="24"/>
          <w:szCs w:val="24"/>
          <w:lang w:val="en-US"/>
        </w:rPr>
      </w:pPr>
      <w:r>
        <w:rPr>
          <w:rFonts w:hint="default"/>
          <w:sz w:val="24"/>
          <w:szCs w:val="24"/>
          <w:lang w:val="en-US"/>
        </w:rPr>
        <w:t>Additional thoughts</w:t>
      </w:r>
    </w:p>
    <w:p>
      <w:pPr>
        <w:numPr>
          <w:ilvl w:val="0"/>
          <w:numId w:val="11"/>
        </w:numPr>
        <w:ind w:left="425" w:leftChars="0" w:hanging="425" w:firstLineChars="0"/>
        <w:jc w:val="both"/>
        <w:rPr>
          <w:rFonts w:hint="default"/>
          <w:sz w:val="24"/>
          <w:szCs w:val="24"/>
          <w:lang w:val="en-US"/>
        </w:rPr>
      </w:pPr>
      <w:r>
        <w:rPr>
          <w:rFonts w:hint="default"/>
          <w:sz w:val="24"/>
          <w:szCs w:val="24"/>
          <w:lang w:val="en-US"/>
        </w:rPr>
        <w:t>The weight range is different between lab and wild carcasses. We might want to consider omitting the large wild carcasses over 100 grams so that the weight range is comparable between the two carcass types. Moreover, the few large wild carcasses tend to be influential to the model fit because of their high leverage, and the model estimation becomes more uncertain at that area.</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DD032B"/>
    <w:multiLevelType w:val="singleLevel"/>
    <w:tmpl w:val="ABDD032B"/>
    <w:lvl w:ilvl="0" w:tentative="0">
      <w:start w:val="1"/>
      <w:numFmt w:val="decimal"/>
      <w:lvlText w:val="%1."/>
      <w:lvlJc w:val="left"/>
      <w:pPr>
        <w:tabs>
          <w:tab w:val="left" w:pos="425"/>
        </w:tabs>
        <w:ind w:left="425" w:leftChars="0" w:hanging="425"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AC58C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933166"/>
    <w:rsid w:val="08AA4743"/>
    <w:rsid w:val="09BB6E1E"/>
    <w:rsid w:val="0C2D44FF"/>
    <w:rsid w:val="18070C65"/>
    <w:rsid w:val="1A4A112A"/>
    <w:rsid w:val="1C0A31FF"/>
    <w:rsid w:val="1C0B2EC1"/>
    <w:rsid w:val="1F836BAB"/>
    <w:rsid w:val="246E5D62"/>
    <w:rsid w:val="3A6A2E43"/>
    <w:rsid w:val="3B894744"/>
    <w:rsid w:val="40AC58C1"/>
    <w:rsid w:val="46BE7F72"/>
    <w:rsid w:val="46FA3F5E"/>
    <w:rsid w:val="4C864C96"/>
    <w:rsid w:val="4D547C60"/>
    <w:rsid w:val="5171202B"/>
    <w:rsid w:val="596F325B"/>
    <w:rsid w:val="5A61531C"/>
    <w:rsid w:val="5A980769"/>
    <w:rsid w:val="60684065"/>
    <w:rsid w:val="623A606B"/>
    <w:rsid w:val="65E40848"/>
    <w:rsid w:val="6BB7449D"/>
    <w:rsid w:val="7629236B"/>
    <w:rsid w:val="7B032925"/>
    <w:rsid w:val="7E854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360" w:lineRule="auto"/>
    </w:pPr>
    <w:rPr>
      <w:rFonts w:ascii="Arial" w:hAnsi="Arial" w:eastAsia="DFKai-SB" w:cs="Wingdings"/>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200" w:line="360" w:lineRule="auto"/>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tiff"/><Relationship Id="rId6" Type="http://schemas.openxmlformats.org/officeDocument/2006/relationships/image" Target="media/image1.tif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2023-12-21T00:39:00Z</dcterms:created>
  <dc:creator>genchanghsu</dc:creator>
  <cp:lastModifiedBy>genchanghsu</cp:lastModifiedBy>
  <dcterms:modified xsi:type="dcterms:W3CDTF">2023-12-24T02:47:05Z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FE75652A99034AEE83E92FFE183F753F_11</vt:lpwstr>
  </property>
</Properties>
</file>