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 xml:space="preserve">n = 123 </w:t>
            </w:r>
            <w:r>
              <w:rPr>
                <w:rFonts w:hint="default"/>
                <w:color w:val="auto"/>
                <w:sz w:val="20"/>
                <w:szCs w:val="20"/>
                <w:vertAlign w:val="baseline"/>
                <w:lang w:val="en-US"/>
              </w:rPr>
              <w:t>(zero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carcass use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use efficiency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0"/>
          <w:szCs w:val="20"/>
          <w:lang w:val="en-US"/>
        </w:rPr>
      </w:pPr>
      <w:r>
        <w:rPr>
          <w:rFonts w:hint="default"/>
          <w:color w:val="FF0000"/>
          <w:sz w:val="20"/>
          <w:szCs w:val="20"/>
          <w:lang w:val="en-US"/>
        </w:rPr>
        <w:t>* Biological meanings of the responses: (6) Carcass use efficiency: an indicator of carcass quality and larval assimilation efficiency</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3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891"/>
        <w:gridCol w:w="1378"/>
        <w:gridCol w:w="1697"/>
        <w:gridCol w:w="1697"/>
        <w:gridCol w:w="1698"/>
        <w:gridCol w:w="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Response</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Model</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Relationship</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Effect of larval density significant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Effect of carcass type significant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Larval density</w:t>
            </w:r>
            <w:r>
              <w:rPr>
                <w:rFonts w:hint="default"/>
                <w:color w:val="FF0000"/>
                <w:sz w:val="20"/>
                <w:szCs w:val="20"/>
                <w:vertAlign w:val="baseline"/>
                <w:lang w:val="en-US"/>
              </w:rPr>
              <w:t xml:space="preserve"> </w:t>
            </w:r>
            <w:r>
              <w:rPr>
                <w:rFonts w:hint="default" w:ascii="Arial" w:hAnsi="Arial" w:cs="Arial"/>
                <w:color w:val="FF0000"/>
                <w:sz w:val="20"/>
                <w:szCs w:val="20"/>
                <w:vertAlign w:val="baseline"/>
                <w:lang w:val="en-US"/>
              </w:rPr>
              <w:t>×</w:t>
            </w:r>
            <w:r>
              <w:rPr>
                <w:rFonts w:hint="default"/>
                <w:color w:val="FF0000"/>
                <w:sz w:val="20"/>
                <w:szCs w:val="20"/>
                <w:vertAlign w:val="baseline"/>
                <w:lang w:val="en-US"/>
              </w:rPr>
              <w:t xml:space="preserve"> carcass weight significant</w:t>
            </w: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Gaussian</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r>
    </w:tbl>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Average larval mass represents the offspring quality given the available resources. On average, average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auto"/>
          <w:sz w:val="24"/>
          <w:szCs w:val="24"/>
          <w:lang w:val="en-US"/>
        </w:rPr>
        <w:t xml:space="preserve"> larval mass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7. The relationship between larval density and carcass weight for the lab and wild carcasses. Note that observations without any larva were excluded from the analysis.</w:t>
      </w:r>
      <w:bookmarkStart w:id="0" w:name="_GoBack"/>
      <w:bookmarkEnd w:id="0"/>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auto"/>
          <w:sz w:val="24"/>
          <w:szCs w:val="24"/>
          <w:lang w:val="en-US"/>
        </w:rPr>
        <w:t>Moreover, there was no interaction between carcass weight and carcass type, suggesting that the relationship between larval density</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Figure 8. The relationship between total carcass use and carcass weight for lab and wild carcasses. The total carcass use increased with carcass weight in a similar fashion between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a:stretch>
                      <a:fillRect/>
                    </a:stretch>
                  </pic:blipFill>
                  <pic:spPr>
                    <a:xfrm>
                      <a:off x="0" y="0"/>
                      <a:ext cx="3886200" cy="3108960"/>
                    </a:xfrm>
                    <a:prstGeom prst="rect">
                      <a:avLst/>
                    </a:prstGeom>
                  </pic:spPr>
                </pic:pic>
              </a:graphicData>
            </a:graphic>
          </wp:inline>
        </w:drawing>
      </w:r>
    </w:p>
    <w:p>
      <w:pPr>
        <w:rPr>
          <w:color w:val="FF0000"/>
          <w:sz w:val="24"/>
          <w:szCs w:val="24"/>
        </w:rPr>
      </w:pPr>
    </w:p>
    <w:p>
      <w:pPr>
        <w:jc w:val="both"/>
        <w:rPr>
          <w:rFonts w:hint="default"/>
          <w:color w:val="FF0000"/>
          <w:sz w:val="24"/>
          <w:szCs w:val="24"/>
          <w:lang w:val="en-US"/>
        </w:rPr>
      </w:pPr>
      <w:r>
        <w:rPr>
          <w:rFonts w:hint="default"/>
          <w:color w:val="FF0000"/>
          <w:sz w:val="24"/>
          <w:szCs w:val="24"/>
          <w:lang w:val="en-US"/>
        </w:rPr>
        <w:t>Figure 9. The relationship between carcass use efficiency and carcass weight for lab and wild carcasses. Carcass use efficiency decreased with carcass weight, and the decrease tended to be greater for wild carcasses than lab carcasses (although the interaction was not significant).</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9" name="Picture 9" descr="C:\Users\genchanghsu\Desktop\2024_Burying_Beetle_Breeding_on_Wild_and_Lab_Carcasses\03_Outputs\Figures\Efficiency_Carcass_Weight.tiffEfficienc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Efficiency_Carcass_Weight.tiffEfficiency_Carcass_Weight"/>
                    <pic:cNvPicPr>
                      <a:picLocks noChangeAspect="1"/>
                    </pic:cNvPicPr>
                  </pic:nvPicPr>
                  <pic:blipFill>
                    <a:blip r:embed="rId16"/>
                    <a:srcRect/>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lab and wild carcasses.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3886200" cy="3108960"/>
                    </a:xfrm>
                    <a:prstGeom prst="rect">
                      <a:avLst/>
                    </a:prstGeom>
                  </pic:spPr>
                </pic:pic>
              </a:graphicData>
            </a:graphic>
          </wp:inline>
        </w:drawing>
      </w: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4CAF7DD5">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CAF7D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4EC2FE6"/>
    <w:rsid w:val="0535581F"/>
    <w:rsid w:val="05DF20B2"/>
    <w:rsid w:val="068176BD"/>
    <w:rsid w:val="06D45E42"/>
    <w:rsid w:val="07D224E1"/>
    <w:rsid w:val="07D82F5C"/>
    <w:rsid w:val="08AA4743"/>
    <w:rsid w:val="09697100"/>
    <w:rsid w:val="099E62D5"/>
    <w:rsid w:val="09AC306C"/>
    <w:rsid w:val="09BB6E1E"/>
    <w:rsid w:val="0AA4793D"/>
    <w:rsid w:val="0AB16303"/>
    <w:rsid w:val="0B036EA1"/>
    <w:rsid w:val="0B354AFA"/>
    <w:rsid w:val="0C2D44FF"/>
    <w:rsid w:val="0D881896"/>
    <w:rsid w:val="0E5D3032"/>
    <w:rsid w:val="0FB5132E"/>
    <w:rsid w:val="101051ED"/>
    <w:rsid w:val="105B53E4"/>
    <w:rsid w:val="109B03CC"/>
    <w:rsid w:val="12A21BF2"/>
    <w:rsid w:val="12BC16CB"/>
    <w:rsid w:val="12D032AF"/>
    <w:rsid w:val="12F95F4E"/>
    <w:rsid w:val="14071A60"/>
    <w:rsid w:val="144F33B9"/>
    <w:rsid w:val="147F7E6A"/>
    <w:rsid w:val="14C67F89"/>
    <w:rsid w:val="152E5EA7"/>
    <w:rsid w:val="15DA28D9"/>
    <w:rsid w:val="16AD60AC"/>
    <w:rsid w:val="1747322E"/>
    <w:rsid w:val="178602C2"/>
    <w:rsid w:val="18070C65"/>
    <w:rsid w:val="18153CE9"/>
    <w:rsid w:val="1A4A112A"/>
    <w:rsid w:val="1A4F0F0E"/>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46E5D62"/>
    <w:rsid w:val="25623FEF"/>
    <w:rsid w:val="25FB5C44"/>
    <w:rsid w:val="28000861"/>
    <w:rsid w:val="2933607D"/>
    <w:rsid w:val="2A1901AA"/>
    <w:rsid w:val="2B8B0DE5"/>
    <w:rsid w:val="2BFB22B3"/>
    <w:rsid w:val="2C7C7C88"/>
    <w:rsid w:val="2C9256AF"/>
    <w:rsid w:val="2D3465E1"/>
    <w:rsid w:val="2D92525A"/>
    <w:rsid w:val="2E1E4E36"/>
    <w:rsid w:val="306A49FB"/>
    <w:rsid w:val="307C40B5"/>
    <w:rsid w:val="30D23B9C"/>
    <w:rsid w:val="316A7E21"/>
    <w:rsid w:val="348D44A7"/>
    <w:rsid w:val="361564CE"/>
    <w:rsid w:val="388C6C54"/>
    <w:rsid w:val="39BE2ACD"/>
    <w:rsid w:val="3A2A75FA"/>
    <w:rsid w:val="3A6A2E43"/>
    <w:rsid w:val="3AFE1F63"/>
    <w:rsid w:val="3B894744"/>
    <w:rsid w:val="3B957ED1"/>
    <w:rsid w:val="3C6E5577"/>
    <w:rsid w:val="3C710B39"/>
    <w:rsid w:val="3CC350C0"/>
    <w:rsid w:val="3F9121F8"/>
    <w:rsid w:val="40AC58C1"/>
    <w:rsid w:val="43B06F1C"/>
    <w:rsid w:val="43B55820"/>
    <w:rsid w:val="43BB7669"/>
    <w:rsid w:val="44F1532A"/>
    <w:rsid w:val="457E2949"/>
    <w:rsid w:val="469639F6"/>
    <w:rsid w:val="46BE7F72"/>
    <w:rsid w:val="46FA3F5E"/>
    <w:rsid w:val="47330D5C"/>
    <w:rsid w:val="4752380F"/>
    <w:rsid w:val="4AA24BE9"/>
    <w:rsid w:val="4C864C96"/>
    <w:rsid w:val="4CEE7DBE"/>
    <w:rsid w:val="4CF90EB5"/>
    <w:rsid w:val="4D547C60"/>
    <w:rsid w:val="4E646B33"/>
    <w:rsid w:val="5171202B"/>
    <w:rsid w:val="518123D3"/>
    <w:rsid w:val="52BD5884"/>
    <w:rsid w:val="55CB3ECF"/>
    <w:rsid w:val="56AC249A"/>
    <w:rsid w:val="57184310"/>
    <w:rsid w:val="578478DB"/>
    <w:rsid w:val="57874DBC"/>
    <w:rsid w:val="57D37D58"/>
    <w:rsid w:val="58474262"/>
    <w:rsid w:val="584C06EA"/>
    <w:rsid w:val="58616610"/>
    <w:rsid w:val="5868001A"/>
    <w:rsid w:val="587F7C40"/>
    <w:rsid w:val="58BA14CA"/>
    <w:rsid w:val="596F325B"/>
    <w:rsid w:val="5A61531C"/>
    <w:rsid w:val="5A980769"/>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962523B"/>
    <w:rsid w:val="6A703DAE"/>
    <w:rsid w:val="6AB976A5"/>
    <w:rsid w:val="6B0C0FC3"/>
    <w:rsid w:val="6BB7449D"/>
    <w:rsid w:val="6C5B2022"/>
    <w:rsid w:val="6C6803E9"/>
    <w:rsid w:val="6DB0362F"/>
    <w:rsid w:val="6DF07E23"/>
    <w:rsid w:val="6EDA00EA"/>
    <w:rsid w:val="6F0B413C"/>
    <w:rsid w:val="6F9E5C50"/>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E4078DA"/>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2024-02-15T02:12:20Z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