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FBE" w:rsidRDefault="00D0138C">
      <w:pPr>
        <w:jc w:val="left"/>
        <w:rPr>
          <w:b/>
          <w:color w:val="FF0000"/>
        </w:rPr>
      </w:pPr>
      <w:r>
        <w:rPr>
          <w:rFonts w:hint="eastAsia"/>
          <w:b/>
          <w:color w:val="FF0000"/>
        </w:rPr>
        <w:t>Running title</w:t>
      </w:r>
    </w:p>
    <w:p w:rsidR="00460FBE" w:rsidRDefault="00D0138C">
      <w:pPr>
        <w:jc w:val="center"/>
        <w:rPr>
          <w:color w:val="FF0000"/>
        </w:rPr>
      </w:pPr>
      <w:r>
        <w:rPr>
          <w:rFonts w:hint="eastAsia"/>
          <w:color w:val="FF0000"/>
        </w:rPr>
        <w:t>Stable isotope analysis reveals consistent pest consumption by generalist arthropod predators (ladybeetles and spiders) in rice farms</w:t>
      </w:r>
    </w:p>
    <w:p w:rsidR="00460FBE" w:rsidRDefault="00D0138C">
      <w:pPr>
        <w:pStyle w:val="af3"/>
        <w:numPr>
          <w:ilvl w:val="0"/>
          <w:numId w:val="1"/>
        </w:numPr>
        <w:jc w:val="left"/>
        <w:rPr>
          <w:color w:val="FF0000"/>
        </w:rPr>
      </w:pPr>
      <w:r>
        <w:rPr>
          <w:color w:val="FF0000"/>
        </w:rPr>
        <w:t>A predator in need is a predator indeed</w:t>
      </w:r>
    </w:p>
    <w:p w:rsidR="00460FBE" w:rsidRDefault="00D0138C">
      <w:pPr>
        <w:pStyle w:val="af3"/>
        <w:numPr>
          <w:ilvl w:val="0"/>
          <w:numId w:val="1"/>
        </w:numPr>
        <w:jc w:val="left"/>
        <w:rPr>
          <w:color w:val="FF0000"/>
        </w:rPr>
      </w:pPr>
      <w:r>
        <w:rPr>
          <w:color w:val="FF0000"/>
        </w:rPr>
        <w:t>Generalist predators are specialists when things matter (during high pest density)</w:t>
      </w:r>
    </w:p>
    <w:p w:rsidR="00460FBE" w:rsidRDefault="00460FBE">
      <w:pPr>
        <w:jc w:val="left"/>
        <w:rPr>
          <w:b/>
        </w:rPr>
      </w:pPr>
    </w:p>
    <w:p w:rsidR="00460FBE" w:rsidRDefault="00D0138C">
      <w:pPr>
        <w:jc w:val="left"/>
        <w:rPr>
          <w:b/>
          <w:color w:val="FF0000"/>
        </w:rPr>
      </w:pPr>
      <w:r>
        <w:rPr>
          <w:rFonts w:hint="eastAsia"/>
          <w:b/>
          <w:color w:val="FF0000"/>
        </w:rPr>
        <w:t>Abstract</w:t>
      </w:r>
    </w:p>
    <w:p w:rsidR="00460FBE" w:rsidRDefault="00D0138C">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460FBE" w:rsidRDefault="00D0138C">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  </w:t>
      </w:r>
    </w:p>
    <w:p w:rsidR="00460FBE" w:rsidRDefault="00460FBE">
      <w:pPr>
        <w:jc w:val="left"/>
        <w:rPr>
          <w:color w:val="FF0000"/>
        </w:rPr>
      </w:pPr>
    </w:p>
    <w:p w:rsidR="00460FBE" w:rsidRDefault="00D0138C">
      <w:pPr>
        <w:jc w:val="left"/>
        <w:rPr>
          <w:b/>
          <w:color w:val="FF0000"/>
        </w:rPr>
      </w:pPr>
      <w:r>
        <w:rPr>
          <w:b/>
          <w:color w:val="FF0000"/>
        </w:rPr>
        <w:br w:type="page"/>
      </w:r>
    </w:p>
    <w:p w:rsidR="00460FBE" w:rsidRDefault="00D0138C">
      <w:pPr>
        <w:jc w:val="left"/>
        <w:rPr>
          <w:b/>
        </w:rPr>
      </w:pPr>
      <w:r>
        <w:rPr>
          <w:rFonts w:hint="eastAsia"/>
          <w:b/>
        </w:rPr>
        <w:lastRenderedPageBreak/>
        <w:t>Introduction</w:t>
      </w:r>
    </w:p>
    <w:p w:rsidR="00460FBE" w:rsidRDefault="00D0138C">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460FBE">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460FBE">
        <w:fldChar w:fldCharType="separate"/>
      </w:r>
      <w:r>
        <w:t>(Huang and Yang 1987)</w:t>
      </w:r>
      <w:r w:rsidR="00460FBE">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460FBE">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460FBE">
        <w:fldChar w:fldCharType="separate"/>
      </w:r>
      <w:r>
        <w:t>(Geiger et al. 2010, Kehoe et al. 2017)</w:t>
      </w:r>
      <w:r w:rsidR="00460FBE">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460FBE">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460FBE">
        <w:fldChar w:fldCharType="separate"/>
      </w:r>
      <w:r>
        <w:t>(Campbell et al. 2017)</w:t>
      </w:r>
      <w:r w:rsidR="00460FBE">
        <w:fldChar w:fldCharType="end"/>
      </w:r>
      <w:r>
        <w:t xml:space="preserve">, a shift from synthetic pesticides to </w:t>
      </w:r>
      <w:r>
        <w:rPr>
          <w:rFonts w:hint="eastAsia"/>
        </w:rPr>
        <w:t>environmental-friendly practices</w:t>
      </w:r>
      <w:r>
        <w:t xml:space="preserve"> (e.g., </w:t>
      </w:r>
      <w:proofErr w:type="spellStart"/>
      <w:r>
        <w:t>biocontrol</w:t>
      </w:r>
      <w:proofErr w:type="spellEnd"/>
      <w:r>
        <w:t>) is urgently needed to make agriculture more sustainable</w:t>
      </w:r>
      <w:r>
        <w:rPr>
          <w:rFonts w:hint="eastAsia"/>
        </w:rPr>
        <w:t xml:space="preserve"> </w:t>
      </w:r>
      <w:r w:rsidR="00460FBE">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460FBE">
        <w:fldChar w:fldCharType="separate"/>
      </w:r>
      <w:r>
        <w:t>(Gomiero et al. 2011)</w:t>
      </w:r>
      <w:r w:rsidR="00460FBE">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460FBE">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460FBE">
        <w:fldChar w:fldCharType="separate"/>
      </w:r>
      <w:r>
        <w:t>(EC 2020)</w:t>
      </w:r>
      <w:r w:rsidR="00460FBE">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xml:space="preserve">, </w:t>
      </w:r>
      <w:proofErr w:type="spellStart"/>
      <w:r>
        <w:t>biocontrol</w:t>
      </w:r>
      <w:proofErr w:type="spellEnd"/>
      <w:r>
        <w:t xml:space="preserve">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rsidR="00460FBE" w:rsidRDefault="00D0138C">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460FBE">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460FBE">
        <w:rPr>
          <w:color w:val="000000" w:themeColor="text1"/>
        </w:rPr>
        <w:fldChar w:fldCharType="separate"/>
      </w:r>
      <w:r>
        <w:rPr>
          <w:color w:val="000000" w:themeColor="text1"/>
        </w:rPr>
        <w:t>(Stiling and Cornelissen 2005)</w:t>
      </w:r>
      <w:r w:rsidR="00460FBE">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460FBE">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
</w:fldData>
        </w:fldChar>
      </w:r>
      <w:r>
        <w:rPr>
          <w:color w:val="000000" w:themeColor="text1"/>
        </w:rPr>
        <w:instrText xml:space="preserve"> ADDIN EN.CITE </w:instrText>
      </w:r>
      <w:r w:rsidR="00460FBE">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
</w:fldData>
        </w:fldChar>
      </w:r>
      <w:r>
        <w:rPr>
          <w:color w:val="000000" w:themeColor="text1"/>
        </w:rPr>
        <w:instrText xml:space="preserve"> ADDIN EN.CITE.DATA </w:instrText>
      </w:r>
      <w:r w:rsidR="00460FBE">
        <w:rPr>
          <w:color w:val="000000" w:themeColor="text1"/>
        </w:rPr>
      </w:r>
      <w:r w:rsidR="00460FBE">
        <w:rPr>
          <w:color w:val="000000" w:themeColor="text1"/>
        </w:rPr>
        <w:fldChar w:fldCharType="end"/>
      </w:r>
      <w:r w:rsidR="00460FBE">
        <w:rPr>
          <w:color w:val="000000" w:themeColor="text1"/>
        </w:rPr>
      </w:r>
      <w:r w:rsidR="00460FBE">
        <w:rPr>
          <w:color w:val="000000" w:themeColor="text1"/>
        </w:rPr>
        <w:fldChar w:fldCharType="separate"/>
      </w:r>
      <w:r>
        <w:rPr>
          <w:color w:val="000000" w:themeColor="text1"/>
        </w:rPr>
        <w:t>(Symondson et al. 2002, Stiling and Cornelissen 2005, Michalko et al. 2019b, Hsu et al. 2021)</w:t>
      </w:r>
      <w:r w:rsidR="00460FBE">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460FBE">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460FBE">
        <w:rPr>
          <w:color w:val="000000" w:themeColor="text1"/>
        </w:rPr>
        <w:fldChar w:fldCharType="separate"/>
      </w:r>
      <w:r>
        <w:rPr>
          <w:color w:val="000000" w:themeColor="text1"/>
        </w:rPr>
        <w:t>(Symondson et al. 2002)</w:t>
      </w:r>
      <w:r w:rsidR="00460FBE">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460FBE">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460FBE">
        <w:rPr>
          <w:color w:val="000000" w:themeColor="text1"/>
        </w:rPr>
        <w:fldChar w:fldCharType="separate"/>
      </w:r>
      <w:r>
        <w:rPr>
          <w:color w:val="000000" w:themeColor="text1"/>
        </w:rPr>
        <w:t>(Stiling and Cornelissen 2005)</w:t>
      </w:r>
      <w:r w:rsidR="00460FBE">
        <w:rPr>
          <w:color w:val="000000" w:themeColor="text1"/>
        </w:rPr>
        <w:fldChar w:fldCharType="end"/>
      </w:r>
      <w:r>
        <w:rPr>
          <w:rFonts w:hint="eastAsia"/>
          <w:color w:val="000000" w:themeColor="text1"/>
        </w:rPr>
        <w:t>.</w:t>
      </w:r>
    </w:p>
    <w:p w:rsidR="00460FBE" w:rsidRDefault="00D0138C">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460FBE">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
</w:fldData>
        </w:fldChar>
      </w:r>
      <w:r>
        <w:instrText xml:space="preserve"> ADDIN EN.CITE </w:instrText>
      </w:r>
      <w:r w:rsidR="00460FBE">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
</w:fldData>
        </w:fldChar>
      </w:r>
      <w:r>
        <w:instrText xml:space="preserve"> ADDIN EN.CITE.DATA </w:instrText>
      </w:r>
      <w:r w:rsidR="00460FBE">
        <w:fldChar w:fldCharType="end"/>
      </w:r>
      <w:r w:rsidR="00460FBE">
        <w:fldChar w:fldCharType="separate"/>
      </w:r>
      <w:r>
        <w:t>(Eitzinger and Traugott 2011, Ingrao et al. 2017, Albertini et al. 2018)</w:t>
      </w:r>
      <w:r w:rsidR="00460FBE">
        <w:fldChar w:fldCharType="end"/>
      </w:r>
      <w:r>
        <w:t xml:space="preserve">, very few have quantified these predators’ diet compositions over growth season in the field </w:t>
      </w:r>
      <w:r>
        <w:rPr>
          <w:i/>
        </w:rPr>
        <w:t>(knowledge gap 1)</w:t>
      </w:r>
      <w:r>
        <w:t xml:space="preserve"> </w:t>
      </w:r>
      <w:r w:rsidR="00460FBE">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(Hsu et al. 2021)</w:t>
      </w:r>
      <w:r w:rsidR="00460FBE">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460FBE">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460FBE">
        <w:fldChar w:fldCharType="separate"/>
      </w:r>
      <w:r>
        <w:t>(Michalko et al. 2019b)</w:t>
      </w:r>
      <w:r w:rsidR="00460FBE">
        <w:fldChar w:fldCharType="end"/>
      </w:r>
      <w:r>
        <w:t xml:space="preserve">.  If generalist predators consume a high proportion of pests in their diet in field conditions with the presence of alternative prey, the result may help end a long debate on whether generalist predators serve well as </w:t>
      </w:r>
      <w:proofErr w:type="spellStart"/>
      <w:r>
        <w:lastRenderedPageBreak/>
        <w:t>biocontrol</w:t>
      </w:r>
      <w:proofErr w:type="spellEnd"/>
      <w:r>
        <w:t xml:space="preserve"> agents</w:t>
      </w:r>
      <w:r>
        <w:rPr>
          <w:rFonts w:hint="eastAsia"/>
        </w:rPr>
        <w:t xml:space="preserve"> </w:t>
      </w:r>
      <w:r w:rsidR="00460FB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460FB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460FBE">
        <w:fldChar w:fldCharType="end"/>
      </w:r>
      <w:r w:rsidR="00460FBE">
        <w:fldChar w:fldCharType="separate"/>
      </w:r>
      <w:r>
        <w:t xml:space="preserve">(Symondson et al. 2002, Krey et al. 2017, </w:t>
      </w:r>
      <w:proofErr w:type="gramStart"/>
      <w:r>
        <w:t>Michalko</w:t>
      </w:r>
      <w:proofErr w:type="gramEnd"/>
      <w:r>
        <w:t xml:space="preserve"> et al. 2019b)</w:t>
      </w:r>
      <w:r w:rsidR="00460FBE">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460FBE">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460FBE">
        <w:fldChar w:fldCharType="separate"/>
      </w:r>
      <w:r>
        <w:t>(Settle et al. 1996, Dominik et al. 2018)</w:t>
      </w:r>
      <w:r w:rsidR="00460FBE">
        <w:fldChar w:fldCharType="end"/>
      </w:r>
      <w:r>
        <w:t xml:space="preserve">, a consistently high consumption of pest by generalist predators, if it occurs, will provide strong support for applying these </w:t>
      </w:r>
      <w:r>
        <w:rPr>
          <w:rFonts w:hint="eastAsia"/>
        </w:rPr>
        <w:t>predators in pest management programs.</w:t>
      </w:r>
    </w:p>
    <w:p w:rsidR="00460FBE" w:rsidRDefault="00D0138C">
      <w:pPr>
        <w:jc w:val="left"/>
      </w:pPr>
      <w:r>
        <w:rPr>
          <w:rFonts w:hint="eastAsia"/>
        </w:rPr>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460FBE">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460FBE">
        <w:fldChar w:fldCharType="separate"/>
      </w:r>
      <w:r>
        <w:t>(Roubinet et al. 2017)</w:t>
      </w:r>
      <w:r w:rsidR="00460FBE">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growth season. Second, studies should examine whether farming practices (e.g., organic and conventional) influence the diet compositions of predators (e.g., pest consumption) </w:t>
      </w:r>
      <w:r w:rsidR="00460FBE">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460FBE">
        <w:fldChar w:fldCharType="separate"/>
      </w:r>
      <w:r>
        <w:t>(Birkhofer et al. 2011)</w:t>
      </w:r>
      <w:r w:rsidR="00460FBE">
        <w:fldChar w:fldCharType="end"/>
      </w:r>
      <w:r>
        <w:t xml:space="preserve">. In general, compared to conventional farming, organic farming promotes arthropod diversity (both pest and alternative prey) </w:t>
      </w:r>
      <w:r w:rsidR="00460FBE">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460FBE">
        <w:fldChar w:fldCharType="separate"/>
      </w:r>
      <w:r>
        <w:t>(Bengtsson et al. 2005)</w:t>
      </w:r>
      <w:r w:rsidR="00460FBE">
        <w:fldChar w:fldCharType="end"/>
      </w:r>
      <w:r>
        <w:t>, potentially lowering the consumption of pest by generalist predators</w:t>
      </w:r>
      <w:r>
        <w:rPr>
          <w:rFonts w:hint="eastAsia"/>
        </w:rPr>
        <w:t xml:space="preserve"> </w:t>
      </w:r>
      <w:r w:rsidR="00460FBE">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(Hsu et al. 2021)</w:t>
      </w:r>
      <w:r w:rsidR="00460FBE">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460FBE">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460FBE">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460FBE">
        <w:fldChar w:fldCharType="end"/>
      </w:r>
      <w:r w:rsidR="00460FBE">
        <w:fldChar w:fldCharType="separate"/>
      </w:r>
      <w:r>
        <w:t>(Hardin et al. 1995, Settle et al. 1996, Birkhofer et al. 2008a, Guedes et al. 2016)</w:t>
      </w:r>
      <w:r w:rsidR="00460FBE">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460FBE">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460FBE">
        <w:fldChar w:fldCharType="separate"/>
      </w:r>
      <w:r>
        <w:t>(Roubinet et al. 2017)</w:t>
      </w:r>
      <w:r w:rsidR="00460FBE">
        <w:fldChar w:fldCharType="end"/>
      </w:r>
      <w:r>
        <w:rPr>
          <w:rFonts w:hint="eastAsia"/>
        </w:rPr>
        <w:t xml:space="preserve"> </w:t>
      </w:r>
      <w:r>
        <w:t>or feeding preference</w:t>
      </w:r>
      <w:r>
        <w:rPr>
          <w:rFonts w:hint="eastAsia"/>
        </w:rPr>
        <w:t xml:space="preserve"> for pests</w:t>
      </w:r>
      <w:r>
        <w:t xml:space="preserve"> </w:t>
      </w:r>
      <w:r w:rsidR="00460FBE">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 </w:instrText>
      </w:r>
      <w:r w:rsidR="00460FBE">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EN.CITE.DATA </w:instrText>
      </w:r>
      <w:r w:rsidR="00460FBE">
        <w:fldChar w:fldCharType="end"/>
      </w:r>
      <w:r w:rsidR="00460FBE">
        <w:fldChar w:fldCharType="separate"/>
      </w:r>
      <w:r>
        <w:t>(Wise et al. 2006, Kuusk and Ekbom 2012, Eitzinger et al. 2019)</w:t>
      </w:r>
      <w:r w:rsidR="00460FBE">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460FBE">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
</w:fldData>
        </w:fldChar>
      </w:r>
      <w:r>
        <w:instrText xml:space="preserve"> ADDIN EN.CITE </w:instrText>
      </w:r>
      <w:r w:rsidR="00460FBE">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
</w:fldData>
        </w:fldChar>
      </w:r>
      <w:r>
        <w:instrText xml:space="preserve"> ADDIN EN.CITE.DATA </w:instrText>
      </w:r>
      <w:r w:rsidR="00460FBE">
        <w:fldChar w:fldCharType="end"/>
      </w:r>
      <w:r w:rsidR="00460FBE">
        <w:fldChar w:fldCharType="separate"/>
      </w:r>
      <w:r>
        <w:t>(Altieri and Letourneau 1982, Altieri 1999, Barbosa and Castellanos 2005, Diehl et al. 2013, Lichtenberg et al. 2017)</w:t>
      </w:r>
      <w:r w:rsidR="00460FBE">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services</w:t>
      </w:r>
      <w:r>
        <w:rPr>
          <w:rFonts w:hint="eastAsia"/>
        </w:rPr>
        <w:t xml:space="preserve"> </w:t>
      </w:r>
      <w:r>
        <w:t>by generalist predators.</w:t>
      </w:r>
    </w:p>
    <w:p w:rsidR="00460FBE" w:rsidRDefault="00D0138C">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460FBE">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460FBE">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460FBE">
        <w:fldChar w:fldCharType="end"/>
      </w:r>
      <w:r w:rsidR="00460FBE">
        <w:fldChar w:fldCharType="separate"/>
      </w:r>
      <w:r>
        <w:t xml:space="preserve">(Post 2002, Boecklen et al. 2011, </w:t>
      </w:r>
      <w:proofErr w:type="gramStart"/>
      <w:r>
        <w:t>Layman</w:t>
      </w:r>
      <w:proofErr w:type="gramEnd"/>
      <w:r>
        <w:t xml:space="preserve"> et al. 2012)</w:t>
      </w:r>
      <w:r w:rsidR="00460FBE">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460FBE">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460FBE">
        <w:fldChar w:fldCharType="separate"/>
      </w:r>
      <w:r>
        <w:t>(Newton 2016)</w:t>
      </w:r>
      <w:r w:rsidR="00460FBE">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rsidR="00460FBE" w:rsidRDefault="00D0138C">
      <w:pPr>
        <w:jc w:val="left"/>
      </w:pPr>
      <w:r>
        <w:t xml:space="preserve">   </w:t>
      </w:r>
    </w:p>
    <w:p w:rsidR="00460FBE" w:rsidRDefault="00D0138C">
      <w:pPr>
        <w:rPr>
          <w:b/>
        </w:rPr>
      </w:pPr>
      <w:r>
        <w:rPr>
          <w:rFonts w:hint="eastAsia"/>
          <w:b/>
        </w:rPr>
        <w:t>Materials and Methods</w:t>
      </w:r>
    </w:p>
    <w:p w:rsidR="00460FBE" w:rsidRDefault="00D0138C">
      <w:pPr>
        <w:jc w:val="center"/>
        <w:rPr>
          <w:i/>
        </w:rPr>
      </w:pPr>
      <w:r>
        <w:rPr>
          <w:rFonts w:hint="eastAsia"/>
          <w:i/>
        </w:rPr>
        <w:t>Study system and sample collection</w:t>
      </w:r>
    </w:p>
    <w:p w:rsidR="00460FBE" w:rsidRDefault="00D0138C">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460FBE">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(Hsu et al. 2021)</w:t>
      </w:r>
      <w:r w:rsidR="00460FBE">
        <w:fldChar w:fldCharType="end"/>
      </w:r>
      <w:r>
        <w:t>.</w:t>
      </w:r>
    </w:p>
    <w:p w:rsidR="00460FBE" w:rsidRDefault="00D0138C">
      <w:pPr>
        <w:pStyle w:val="af3"/>
        <w:ind w:left="0"/>
        <w:jc w:val="left"/>
      </w:pPr>
      <w:r>
        <w:rPr>
          <w:rFonts w:hint="eastAsia"/>
        </w:rPr>
        <w:tab/>
        <w:t xml:space="preserve"> </w:t>
      </w:r>
    </w:p>
    <w:p w:rsidR="00460FBE" w:rsidRDefault="00D0138C">
      <w:pPr>
        <w:pStyle w:val="af3"/>
        <w:ind w:left="0"/>
        <w:jc w:val="center"/>
        <w:rPr>
          <w:i/>
        </w:rPr>
      </w:pPr>
      <w:r>
        <w:rPr>
          <w:rFonts w:hint="eastAsia"/>
          <w:i/>
        </w:rPr>
        <w:t>Stable isotope analysis of arthropod samples</w:t>
      </w:r>
    </w:p>
    <w:p w:rsidR="00460FBE" w:rsidRDefault="00D0138C">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460FBE" w:rsidRDefault="00460FBE">
      <w:pPr>
        <w:pStyle w:val="af3"/>
        <w:ind w:left="0"/>
        <w:jc w:val="left"/>
        <w:rPr>
          <w:color w:val="FF0000"/>
        </w:rPr>
      </w:pPr>
    </w:p>
    <w:p w:rsidR="00460FBE" w:rsidRDefault="00D0138C">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460FBE" w:rsidRDefault="00D0138C">
      <w:r>
        <w:rPr>
          <w:rFonts w:hint="eastAsia"/>
        </w:rPr>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460FBE">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460FBE">
        <w:fldChar w:fldCharType="separate"/>
      </w:r>
      <w:r>
        <w:t>(Blondel 2003)</w:t>
      </w:r>
      <w:r w:rsidR="00460FBE">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460FBE">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(see Hsu et al. [2021] for more details)</w:t>
      </w:r>
      <w:r w:rsidR="00460FBE">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460FBE" w:rsidRDefault="00460FBE">
      <w:pPr>
        <w:rPr>
          <w:i/>
          <w:color w:val="FF0000"/>
        </w:rPr>
      </w:pPr>
    </w:p>
    <w:p w:rsidR="00460FBE" w:rsidRDefault="00D0138C">
      <w:pPr>
        <w:pStyle w:val="af3"/>
        <w:ind w:left="0"/>
        <w:jc w:val="center"/>
        <w:rPr>
          <w:i/>
        </w:rPr>
      </w:pPr>
      <w:r>
        <w:rPr>
          <w:rFonts w:hint="eastAsia"/>
          <w:i/>
        </w:rPr>
        <w:t>Data analysis</w:t>
      </w:r>
    </w:p>
    <w:p w:rsidR="00460FBE" w:rsidRDefault="00D0138C">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460FBE">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460FBE">
        <w:fldChar w:fldCharType="separate"/>
      </w:r>
      <w:r>
        <w:t>(Stock and Semmens 2017)</w:t>
      </w:r>
      <w:r w:rsidR="00460FBE">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460FBE">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460FBE">
        <w:fldChar w:fldCharType="separate"/>
      </w:r>
      <w:r>
        <w:t>(Mazzi and Dorn 2012, Sun et al. 2015)</w:t>
      </w:r>
      <w:r w:rsidR="00460FBE">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460FBE">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460FBE">
        <w:fldChar w:fldCharType="separate"/>
      </w:r>
      <w:r>
        <w:t>(Phillips and Koch 2002, Stock and Semmens 2016)</w:t>
      </w:r>
      <w:r w:rsidR="00460FBE">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460FBE">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460FBE">
        <w:fldChar w:fldCharType="separate"/>
      </w:r>
      <w:r>
        <w:t>Caut et al. (2009)</w:t>
      </w:r>
      <w:r w:rsidR="00460FBE">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460FBE" w:rsidRDefault="00D0138C">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460FBE">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460FBE">
        <w:fldChar w:fldCharType="separate"/>
      </w:r>
      <w:r>
        <w:t>(Zeileis et al. 2016)</w:t>
      </w:r>
      <w:r w:rsidR="00460FBE">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460FBE">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460FBE">
        <w:fldChar w:fldCharType="separate"/>
      </w:r>
      <w:r>
        <w:t>(Fox and Weisberg 2018)</w:t>
      </w:r>
      <w:r w:rsidR="00460FBE">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460FBE">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460FBE">
        <w:fldChar w:fldCharType="separate"/>
      </w:r>
      <w:r>
        <w:t>(Lenth and Lenth 2018)</w:t>
      </w:r>
      <w:r w:rsidR="00460FBE">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460FBE">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460FBE">
        <w:fldChar w:fldCharType="separate"/>
      </w:r>
      <w:r>
        <w:t>(R Core Team 2021)</w:t>
      </w:r>
      <w:r w:rsidR="00460FBE">
        <w:fldChar w:fldCharType="end"/>
      </w:r>
      <w:r>
        <w:rPr>
          <w:rFonts w:hint="eastAsia"/>
        </w:rPr>
        <w:t>.</w:t>
      </w:r>
    </w:p>
    <w:p w:rsidR="00460FBE" w:rsidRDefault="00460FBE">
      <w:pPr>
        <w:rPr>
          <w:b/>
        </w:rPr>
      </w:pPr>
    </w:p>
    <w:p w:rsidR="00460FBE" w:rsidRDefault="00D0138C">
      <w:pPr>
        <w:rPr>
          <w:b/>
        </w:rPr>
      </w:pPr>
      <w:r>
        <w:rPr>
          <w:rFonts w:hint="eastAsia"/>
          <w:b/>
        </w:rPr>
        <w:t>Results</w:t>
      </w:r>
    </w:p>
    <w:p w:rsidR="00460FBE" w:rsidRDefault="00D0138C">
      <w:pPr>
        <w:jc w:val="center"/>
        <w:rPr>
          <w:i/>
        </w:rPr>
      </w:pPr>
      <w:r>
        <w:rPr>
          <w:rFonts w:hint="eastAsia"/>
          <w:i/>
        </w:rPr>
        <w:t>Diet compositions of predators in rice farms</w:t>
      </w:r>
    </w:p>
    <w:p w:rsidR="00460FBE" w:rsidRDefault="00D0138C">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460FBE" w:rsidRDefault="00D0138C">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460FBE" w:rsidRDefault="00460FBE">
      <w:pPr>
        <w:rPr>
          <w:color w:val="FF0000"/>
        </w:rPr>
      </w:pPr>
    </w:p>
    <w:p w:rsidR="00460FBE" w:rsidRDefault="00D0138C">
      <w:pPr>
        <w:jc w:val="center"/>
        <w:rPr>
          <w:i/>
        </w:rPr>
      </w:pPr>
      <w:r>
        <w:rPr>
          <w:rFonts w:hint="eastAsia"/>
          <w:i/>
        </w:rPr>
        <w:t>Patterns of rice herbivore consumption by predators</w:t>
      </w:r>
    </w:p>
    <w:p w:rsidR="00460FBE" w:rsidRDefault="00D0138C">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460FBE" w:rsidRDefault="00D0138C">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rsidR="00460FBE" w:rsidRDefault="00460FBE"/>
    <w:p w:rsidR="00460FBE" w:rsidRDefault="00D0138C">
      <w:pPr>
        <w:jc w:val="center"/>
        <w:rPr>
          <w:i/>
        </w:rPr>
      </w:pPr>
      <w:r>
        <w:rPr>
          <w:rFonts w:hint="eastAsia"/>
          <w:i/>
        </w:rPr>
        <w:t xml:space="preserve">Factors associated with rice herbivore </w:t>
      </w:r>
      <w:r>
        <w:rPr>
          <w:i/>
        </w:rPr>
        <w:t>consumption</w:t>
      </w:r>
      <w:r>
        <w:rPr>
          <w:rFonts w:hint="eastAsia"/>
          <w:i/>
        </w:rPr>
        <w:t xml:space="preserve"> by predators</w:t>
      </w:r>
    </w:p>
    <w:p w:rsidR="00460FBE" w:rsidRDefault="00D0138C">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460FBE" w:rsidRDefault="00D0138C">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460FBE" w:rsidRDefault="00D0138C">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460FBE">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460FBE">
        <w:fldChar w:fldCharType="separate"/>
      </w:r>
      <w:r>
        <w:t>(Rusch et al. 2016)</w:t>
      </w:r>
      <w:r w:rsidR="00460FBE">
        <w:fldChar w:fldCharType="end"/>
      </w:r>
      <w:r>
        <w:rPr>
          <w:rFonts w:hint="eastAsia"/>
        </w:rPr>
        <w:t xml:space="preserve"> , but see </w:t>
      </w:r>
      <w:r w:rsidR="00460FBE">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460FBE">
        <w:fldChar w:fldCharType="separate"/>
      </w:r>
      <w:r>
        <w:t>Karp et al. (2018)</w:t>
      </w:r>
      <w:r w:rsidR="00460FBE">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460FBE" w:rsidRDefault="00D0138C">
      <w:pPr>
        <w:rPr>
          <w:color w:val="FF0000"/>
        </w:rPr>
      </w:pPr>
      <w:r>
        <w:rPr>
          <w:color w:val="FF0000"/>
        </w:rPr>
        <w:br w:type="page"/>
      </w:r>
    </w:p>
    <w:p w:rsidR="00460FBE" w:rsidRDefault="00D0138C">
      <w:pPr>
        <w:rPr>
          <w:sz w:val="24"/>
        </w:rPr>
      </w:pPr>
      <w:proofErr w:type="gramStart"/>
      <w:r>
        <w:rPr>
          <w:rFonts w:hint="eastAsia"/>
          <w:sz w:val="24"/>
        </w:rPr>
        <w:lastRenderedPageBreak/>
        <w:t>Table 1.</w:t>
      </w:r>
      <w:proofErr w:type="gramEnd"/>
      <w:r>
        <w:rPr>
          <w:rFonts w:hint="eastAsia"/>
          <w:sz w:val="24"/>
        </w:rPr>
        <w:t xml:space="preserve">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w:t>
      </w:r>
      <w:proofErr w:type="spellStart"/>
      <w:r>
        <w:rPr>
          <w:rFonts w:hint="eastAsia"/>
          <w:sz w:val="24"/>
        </w:rPr>
        <w:t>Anova</w:t>
      </w:r>
      <w:proofErr w:type="spellEnd"/>
      <w:r>
        <w:rPr>
          <w:rFonts w:hint="eastAsia"/>
          <w:sz w:val="24"/>
        </w:rPr>
        <w:t xml:space="preserve">()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460FBE">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460FBE">
        <w:rPr>
          <w:sz w:val="24"/>
        </w:rPr>
        <w:fldChar w:fldCharType="separate"/>
      </w:r>
      <w:r>
        <w:rPr>
          <w:sz w:val="24"/>
        </w:rPr>
        <w:t>(Fox and Weisberg 2018)</w:t>
      </w:r>
      <w:r w:rsidR="00460FBE">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460FBE" w:rsidTr="00460FBE">
        <w:trPr>
          <w:cnfStyle w:val="100000000000"/>
          <w:trHeight w:val="425"/>
          <w:jc w:val="center"/>
        </w:trPr>
        <w:tc>
          <w:tcPr>
            <w:cnfStyle w:val="001000000000"/>
            <w:tcW w:w="1845" w:type="dxa"/>
            <w:shd w:val="clear" w:color="auto" w:fill="auto"/>
            <w:vAlign w:val="center"/>
          </w:tcPr>
          <w:p w:rsidR="00460FBE" w:rsidRDefault="00D0138C">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Model</w:t>
            </w:r>
          </w:p>
        </w:tc>
        <w:tc>
          <w:tcPr>
            <w:tcW w:w="2761" w:type="dxa"/>
            <w:shd w:val="clear" w:color="auto" w:fill="auto"/>
            <w:vAlign w:val="center"/>
          </w:tcPr>
          <w:p w:rsidR="00460FBE" w:rsidRDefault="00D0138C">
            <w:pPr>
              <w:spacing w:after="0" w:line="240" w:lineRule="auto"/>
              <w:cnfStyle w:val="100000000000"/>
              <w:rPr>
                <w:rFonts w:asciiTheme="majorHAnsi" w:eastAsiaTheme="majorEastAsia" w:hAnsiTheme="majorHAnsi" w:cs="Arial"/>
                <w:bCs w:val="0"/>
                <w:color w:val="auto"/>
                <w:sz w:val="22"/>
                <w:szCs w:val="28"/>
              </w:rPr>
            </w:pPr>
            <w:r>
              <w:rPr>
                <w:rFonts w:cs="Arial" w:hint="eastAsia"/>
                <w:b w:val="0"/>
                <w:color w:val="auto"/>
                <w:sz w:val="22"/>
              </w:rPr>
              <w:t>Factor</w:t>
            </w:r>
          </w:p>
        </w:tc>
        <w:tc>
          <w:tcPr>
            <w:tcW w:w="1207" w:type="dxa"/>
            <w:shd w:val="clear" w:color="auto" w:fill="auto"/>
            <w:vAlign w:val="center"/>
          </w:tcPr>
          <w:p w:rsidR="00460FBE" w:rsidRDefault="00D0138C">
            <w:pPr>
              <w:spacing w:after="0" w:line="240" w:lineRule="auto"/>
              <w:cnfStyle w:val="100000000000"/>
              <w:rPr>
                <w:rFonts w:asciiTheme="majorHAnsi" w:eastAsiaTheme="majorEastAsia" w:hAnsiTheme="majorHAnsi" w:cs="Arial"/>
                <w:bCs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460FBE" w:rsidRDefault="00D0138C">
            <w:pPr>
              <w:spacing w:after="0" w:line="240" w:lineRule="auto"/>
              <w:cnfStyle w:val="100000000000"/>
              <w:rPr>
                <w:rFonts w:asciiTheme="majorHAnsi" w:eastAsiaTheme="majorEastAsia" w:hAnsiTheme="majorHAnsi" w:cs="Arial"/>
                <w:bCs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460FBE" w:rsidRDefault="00D0138C">
            <w:pPr>
              <w:spacing w:after="0" w:line="240" w:lineRule="auto"/>
              <w:cnfStyle w:val="100000000000"/>
              <w:rPr>
                <w:rFonts w:asciiTheme="majorHAnsi" w:eastAsiaTheme="majorEastAsia" w:hAnsiTheme="majorHAnsi" w:cs="Arial"/>
                <w:bCs w:val="0"/>
                <w:i/>
                <w:color w:val="auto"/>
                <w:sz w:val="22"/>
                <w:szCs w:val="28"/>
              </w:rPr>
            </w:pPr>
            <w:r>
              <w:rPr>
                <w:rFonts w:cs="Arial" w:hint="eastAsia"/>
                <w:b w:val="0"/>
                <w:i/>
                <w:color w:val="auto"/>
                <w:sz w:val="22"/>
              </w:rPr>
              <w:t xml:space="preserve">    </w:t>
            </w:r>
            <w:r>
              <w:rPr>
                <w:rFonts w:cs="Arial"/>
                <w:b w:val="0"/>
                <w:i/>
                <w:color w:val="auto"/>
                <w:sz w:val="22"/>
              </w:rPr>
              <w:t>P</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D0138C">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460FBE" w:rsidRDefault="00D0138C">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460FBE" w:rsidRDefault="00D0138C">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460FBE" w:rsidRDefault="00D0138C">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&lt;0.001</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&lt;0.001</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0.36</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D0138C">
            <w:pPr>
              <w:spacing w:after="0" w:line="240" w:lineRule="auto"/>
              <w:rPr>
                <w:rFonts w:cs="Arial"/>
                <w:color w:val="auto"/>
                <w:sz w:val="22"/>
              </w:rPr>
            </w:pPr>
            <w:r>
              <w:rPr>
                <w:rFonts w:cs="Arial" w:hint="eastAsia"/>
                <w:b w:val="0"/>
                <w:sz w:val="22"/>
              </w:rPr>
              <w:t>Spiders</w:t>
            </w: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&lt;0.001</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&lt;0.001</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0.02</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0.91</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0.57</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0.98</w:t>
            </w:r>
          </w:p>
        </w:tc>
      </w:tr>
      <w:tr w:rsidR="00460FBE" w:rsidTr="00460FBE">
        <w:trPr>
          <w:trHeight w:val="425"/>
          <w:jc w:val="center"/>
        </w:trPr>
        <w:tc>
          <w:tcPr>
            <w:cnfStyle w:val="001000000000"/>
            <w:tcW w:w="1845" w:type="dxa"/>
            <w:shd w:val="clear" w:color="auto" w:fill="auto"/>
            <w:vAlign w:val="center"/>
          </w:tcPr>
          <w:p w:rsidR="00460FBE" w:rsidRDefault="00D0138C">
            <w:pPr>
              <w:spacing w:after="0" w:line="240" w:lineRule="auto"/>
              <w:rPr>
                <w:rFonts w:cs="Arial"/>
                <w:color w:val="auto"/>
                <w:sz w:val="22"/>
              </w:rPr>
            </w:pPr>
            <w:r>
              <w:rPr>
                <w:rFonts w:cs="Arial" w:hint="eastAsia"/>
                <w:b w:val="0"/>
                <w:sz w:val="22"/>
              </w:rPr>
              <w:t>Ladybeetles</w:t>
            </w: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460FBE" w:rsidTr="00460FBE">
        <w:trPr>
          <w:trHeight w:val="425"/>
          <w:jc w:val="center"/>
        </w:trPr>
        <w:tc>
          <w:tcPr>
            <w:cnfStyle w:val="001000000000"/>
            <w:tcW w:w="1845" w:type="dxa"/>
            <w:tcBorders>
              <w:left w:val="nil"/>
              <w:right w:val="nil"/>
            </w:tcBorders>
            <w:shd w:val="clear" w:color="auto" w:fill="auto"/>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460FBE" w:rsidTr="00460FBE">
        <w:trPr>
          <w:trHeight w:val="425"/>
          <w:jc w:val="center"/>
        </w:trPr>
        <w:tc>
          <w:tcPr>
            <w:cnfStyle w:val="001000000000"/>
            <w:tcW w:w="1845" w:type="dxa"/>
            <w:shd w:val="clear" w:color="auto" w:fill="auto"/>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auto"/>
                <w:sz w:val="22"/>
              </w:rPr>
              <w:t xml:space="preserve"> &lt;0.001</w:t>
            </w:r>
          </w:p>
        </w:tc>
      </w:tr>
      <w:tr w:rsidR="00460FBE" w:rsidTr="00460FBE">
        <w:trPr>
          <w:trHeight w:val="425"/>
          <w:jc w:val="center"/>
        </w:trPr>
        <w:tc>
          <w:tcPr>
            <w:cnfStyle w:val="001000000000"/>
            <w:tcW w:w="1845" w:type="dxa"/>
            <w:tcBorders>
              <w:left w:val="nil"/>
              <w:right w:val="nil"/>
            </w:tcBorders>
            <w:shd w:val="clear" w:color="auto" w:fill="auto"/>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460FBE" w:rsidTr="00460FBE">
        <w:trPr>
          <w:trHeight w:val="425"/>
          <w:jc w:val="center"/>
        </w:trPr>
        <w:tc>
          <w:tcPr>
            <w:cnfStyle w:val="001000000000"/>
            <w:tcW w:w="1845" w:type="dxa"/>
            <w:shd w:val="clear" w:color="auto" w:fill="auto"/>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0.06</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0.15</w:t>
            </w:r>
          </w:p>
        </w:tc>
      </w:tr>
      <w:tr w:rsidR="00460FBE" w:rsidTr="00460FBE">
        <w:trPr>
          <w:trHeight w:val="425"/>
          <w:jc w:val="center"/>
        </w:trPr>
        <w:tc>
          <w:tcPr>
            <w:cnfStyle w:val="001000000000"/>
            <w:tcW w:w="1845" w:type="dxa"/>
            <w:tcBorders>
              <w:left w:val="nil"/>
              <w:right w:val="nil"/>
            </w:tcBorders>
            <w:shd w:val="clear" w:color="auto" w:fill="auto"/>
            <w:vAlign w:val="center"/>
          </w:tcPr>
          <w:p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rsidR="00460FBE" w:rsidRDefault="00D0138C">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0.38</w:t>
            </w:r>
          </w:p>
        </w:tc>
      </w:tr>
      <w:tr w:rsidR="00460FBE" w:rsidTr="00460FBE">
        <w:trPr>
          <w:trHeight w:val="425"/>
          <w:jc w:val="center"/>
        </w:trPr>
        <w:tc>
          <w:tcPr>
            <w:cnfStyle w:val="001000000000"/>
            <w:tcW w:w="1845" w:type="dxa"/>
            <w:shd w:val="clear" w:color="auto" w:fill="auto"/>
            <w:vAlign w:val="center"/>
          </w:tcPr>
          <w:p w:rsidR="00460FBE" w:rsidRDefault="00460FBE">
            <w:pPr>
              <w:spacing w:after="0" w:line="240" w:lineRule="auto"/>
              <w:rPr>
                <w:rFonts w:cs="Arial"/>
                <w:color w:val="auto"/>
                <w:sz w:val="22"/>
              </w:rPr>
            </w:pPr>
          </w:p>
        </w:tc>
        <w:tc>
          <w:tcPr>
            <w:tcW w:w="2761" w:type="dxa"/>
            <w:shd w:val="clear" w:color="auto" w:fill="auto"/>
            <w:vAlign w:val="center"/>
          </w:tcPr>
          <w:p w:rsidR="00460FBE" w:rsidRDefault="00D0138C">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460FBE" w:rsidRDefault="00D0138C">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460FBE" w:rsidRDefault="00D0138C">
            <w:pPr>
              <w:spacing w:after="0" w:line="240" w:lineRule="auto"/>
              <w:cnfStyle w:val="000000000000"/>
              <w:rPr>
                <w:rFonts w:cs="Arial"/>
                <w:color w:val="000000"/>
                <w:sz w:val="22"/>
              </w:rPr>
            </w:pPr>
            <w:r>
              <w:rPr>
                <w:rFonts w:cs="Arial" w:hint="eastAsia"/>
                <w:color w:val="000000"/>
                <w:sz w:val="22"/>
              </w:rPr>
              <w:t xml:space="preserve">    0.67</w:t>
            </w:r>
          </w:p>
        </w:tc>
      </w:tr>
    </w:tbl>
    <w:p w:rsidR="00460FBE" w:rsidRDefault="00D0138C">
      <w:pPr>
        <w:rPr>
          <w:sz w:val="24"/>
        </w:rPr>
      </w:pPr>
      <w:r>
        <w:rPr>
          <w:color w:val="FF0000"/>
          <w:sz w:val="24"/>
        </w:rPr>
        <w:br w:type="page"/>
      </w:r>
      <w:proofErr w:type="gramStart"/>
      <w:r>
        <w:rPr>
          <w:rFonts w:hint="eastAsia"/>
          <w:sz w:val="24"/>
        </w:rPr>
        <w:lastRenderedPageBreak/>
        <w:t>Table 2.</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460FBE">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460FBE">
        <w:rPr>
          <w:sz w:val="24"/>
        </w:rPr>
        <w:fldChar w:fldCharType="separate"/>
      </w:r>
      <w:r>
        <w:rPr>
          <w:sz w:val="24"/>
        </w:rPr>
        <w:t>(Hothorn et al. 2008)</w:t>
      </w:r>
      <w:r w:rsidR="00460FBE">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689"/>
        <w:gridCol w:w="1745"/>
        <w:gridCol w:w="1940"/>
        <w:gridCol w:w="1601"/>
        <w:gridCol w:w="1601"/>
      </w:tblGrid>
      <w:tr w:rsidR="00460FBE" w:rsidTr="00460FBE">
        <w:trPr>
          <w:cnfStyle w:val="100000000000"/>
          <w:trHeight w:val="605"/>
          <w:jc w:val="center"/>
        </w:trPr>
        <w:tc>
          <w:tcPr>
            <w:cnfStyle w:val="001000000000"/>
            <w:tcW w:w="0" w:type="auto"/>
            <w:shd w:val="clear" w:color="auto" w:fill="auto"/>
            <w:vAlign w:val="center"/>
          </w:tcPr>
          <w:p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0" w:type="auto"/>
            <w:shd w:val="clear" w:color="auto" w:fill="auto"/>
            <w:noWrap/>
            <w:vAlign w:val="center"/>
          </w:tcPr>
          <w:p w:rsidR="00460FBE" w:rsidRDefault="00D0138C">
            <w:pPr>
              <w:spacing w:after="0" w:line="240" w:lineRule="auto"/>
              <w:cnfStyle w:val="100000000000"/>
              <w:rPr>
                <w:rFonts w:asciiTheme="majorHAnsi" w:eastAsia="Times New Roman" w:hAnsiTheme="majorHAnsi" w:cs="Arial"/>
                <w:bCs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b w:val="0"/>
                <w:color w:val="auto"/>
                <w:sz w:val="24"/>
                <w:szCs w:val="32"/>
              </w:rPr>
              <w:t>Upper 2.5%</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460FBE" w:rsidRDefault="00D0138C">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460FBE" w:rsidRDefault="00D0138C">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460FBE" w:rsidRDefault="00D0138C">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460FBE" w:rsidTr="00460FBE">
        <w:trPr>
          <w:trHeight w:val="605"/>
          <w:jc w:val="center"/>
        </w:trPr>
        <w:tc>
          <w:tcPr>
            <w:cnfStyle w:val="001000000000"/>
            <w:tcW w:w="0" w:type="auto"/>
            <w:shd w:val="clear" w:color="auto" w:fill="auto"/>
            <w:vAlign w:val="center"/>
          </w:tcPr>
          <w:p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D0138C">
            <w:pPr>
              <w:spacing w:after="0" w:line="240" w:lineRule="auto"/>
              <w:rPr>
                <w:rFonts w:cs="Arial"/>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0.68</w:t>
            </w:r>
          </w:p>
        </w:tc>
      </w:tr>
      <w:tr w:rsidR="00460FBE" w:rsidTr="00460FBE">
        <w:trPr>
          <w:trHeight w:val="605"/>
          <w:jc w:val="center"/>
        </w:trPr>
        <w:tc>
          <w:tcPr>
            <w:cnfStyle w:val="001000000000"/>
            <w:tcW w:w="0" w:type="auto"/>
            <w:shd w:val="clear" w:color="auto" w:fill="auto"/>
            <w:vAlign w:val="center"/>
          </w:tcPr>
          <w:p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0.77</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D0138C">
            <w:pPr>
              <w:spacing w:after="0" w:line="240" w:lineRule="auto"/>
              <w:rPr>
                <w:rFonts w:cs="Arial"/>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0.87</w:t>
            </w:r>
          </w:p>
        </w:tc>
      </w:tr>
      <w:tr w:rsidR="00460FBE" w:rsidTr="00460FBE">
        <w:trPr>
          <w:trHeight w:val="605"/>
          <w:jc w:val="center"/>
        </w:trPr>
        <w:tc>
          <w:tcPr>
            <w:cnfStyle w:val="001000000000"/>
            <w:tcW w:w="0" w:type="auto"/>
            <w:shd w:val="clear" w:color="auto" w:fill="auto"/>
          </w:tcPr>
          <w:p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color w:val="auto"/>
                <w:sz w:val="24"/>
                <w:szCs w:val="32"/>
              </w:rPr>
              <w:t>0.89</w:t>
            </w:r>
          </w:p>
        </w:tc>
      </w:tr>
    </w:tbl>
    <w:p w:rsidR="00460FBE" w:rsidRDefault="00460FBE">
      <w:pPr>
        <w:rPr>
          <w:b/>
          <w:color w:val="FF0000"/>
        </w:rPr>
      </w:pPr>
    </w:p>
    <w:p w:rsidR="00460FBE" w:rsidRDefault="00460FBE">
      <w:pPr>
        <w:rPr>
          <w:b/>
          <w:color w:val="FF0000"/>
        </w:rPr>
      </w:pPr>
    </w:p>
    <w:p w:rsidR="00460FBE" w:rsidRDefault="00D0138C">
      <w:pPr>
        <w:rPr>
          <w:sz w:val="24"/>
        </w:rPr>
      </w:pPr>
      <w:r>
        <w:rPr>
          <w:sz w:val="24"/>
        </w:rPr>
        <w:br w:type="page"/>
      </w:r>
    </w:p>
    <w:p w:rsidR="00460FBE" w:rsidRDefault="00D0138C">
      <w:pPr>
        <w:rPr>
          <w:sz w:val="24"/>
        </w:rPr>
      </w:pPr>
      <w:proofErr w:type="gramStart"/>
      <w:r>
        <w:rPr>
          <w:rFonts w:hint="eastAsia"/>
          <w:sz w:val="24"/>
        </w:rPr>
        <w:lastRenderedPageBreak/>
        <w:t>Table 3.</w:t>
      </w:r>
      <w:proofErr w:type="gramEnd"/>
      <w:r>
        <w:rPr>
          <w:rFonts w:hint="eastAsia"/>
          <w:sz w:val="24"/>
        </w:rPr>
        <w:t xml:space="preserve"> </w:t>
      </w:r>
      <w:proofErr w:type="spellStart"/>
      <w:r>
        <w:rPr>
          <w:rFonts w:hint="eastAsia"/>
          <w:sz w:val="24"/>
        </w:rPr>
        <w:t>Tukey</w:t>
      </w:r>
      <w:r>
        <w:rPr>
          <w:sz w:val="24"/>
        </w:rPr>
        <w:t>’</w:t>
      </w:r>
      <w:r>
        <w:rPr>
          <w:rFonts w:hint="eastAsia"/>
          <w:sz w:val="24"/>
        </w:rPr>
        <w:t>s</w:t>
      </w:r>
      <w:proofErr w:type="spellEnd"/>
      <w:r>
        <w:rPr>
          <w:rFonts w:hint="eastAsia"/>
          <w:sz w:val="24"/>
        </w:rPr>
        <w:t xml:space="preserve"> post-hoc tests comparing the proportion of rice herbivores consumed in predators</w:t>
      </w:r>
      <w:r>
        <w:rPr>
          <w:sz w:val="24"/>
        </w:rPr>
        <w:t>’</w:t>
      </w:r>
      <w:r>
        <w:rPr>
          <w:rFonts w:hint="eastAsia"/>
          <w:sz w:val="24"/>
        </w:rPr>
        <w:t xml:space="preserve"> diet among the three crop stages (</w:t>
      </w:r>
      <w:proofErr w:type="spellStart"/>
      <w:r>
        <w:rPr>
          <w:rFonts w:hint="eastAsia"/>
          <w:sz w:val="24"/>
        </w:rPr>
        <w:t>tillering</w:t>
      </w:r>
      <w:proofErr w:type="spellEnd"/>
      <w:r>
        <w:rPr>
          <w:rFonts w:hint="eastAsia"/>
          <w:sz w:val="24"/>
        </w:rPr>
        <w:t xml:space="preserve">, flowering, and ripening stage). The tests were performed using </w:t>
      </w:r>
      <w:r>
        <w:rPr>
          <w:sz w:val="24"/>
        </w:rPr>
        <w:t xml:space="preserve">the function </w:t>
      </w:r>
      <w:proofErr w:type="spellStart"/>
      <w:r>
        <w:rPr>
          <w:sz w:val="24"/>
        </w:rPr>
        <w:t>cld</w:t>
      </w:r>
      <w:proofErr w:type="spellEnd"/>
      <w:r>
        <w:rPr>
          <w:sz w:val="24"/>
        </w:rPr>
        <w:t xml:space="preserve">() from the </w:t>
      </w:r>
      <w:r>
        <w:rPr>
          <w:rFonts w:hint="eastAsia"/>
          <w:sz w:val="24"/>
        </w:rPr>
        <w:t xml:space="preserve">R </w:t>
      </w:r>
      <w:r>
        <w:rPr>
          <w:sz w:val="24"/>
        </w:rPr>
        <w:t>“</w:t>
      </w:r>
      <w:proofErr w:type="spellStart"/>
      <w:r>
        <w:rPr>
          <w:sz w:val="24"/>
        </w:rPr>
        <w:t>multcomp</w:t>
      </w:r>
      <w:proofErr w:type="spellEnd"/>
      <w:r>
        <w:rPr>
          <w:sz w:val="24"/>
        </w:rPr>
        <w:t xml:space="preserve">” package </w:t>
      </w:r>
      <w:r w:rsidR="00460FBE">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460FBE">
        <w:rPr>
          <w:sz w:val="24"/>
        </w:rPr>
        <w:fldChar w:fldCharType="separate"/>
      </w:r>
      <w:r>
        <w:rPr>
          <w:sz w:val="24"/>
        </w:rPr>
        <w:t>(Hothorn et al. 2008)</w:t>
      </w:r>
      <w:r w:rsidR="00460FBE">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tblPr>
      <w:tblGrid>
        <w:gridCol w:w="1737"/>
        <w:gridCol w:w="1544"/>
        <w:gridCol w:w="1997"/>
        <w:gridCol w:w="1649"/>
        <w:gridCol w:w="1649"/>
      </w:tblGrid>
      <w:tr w:rsidR="00460FBE" w:rsidTr="00460FBE">
        <w:trPr>
          <w:cnfStyle w:val="100000000000"/>
          <w:trHeight w:val="605"/>
          <w:jc w:val="center"/>
        </w:trPr>
        <w:tc>
          <w:tcPr>
            <w:cnfStyle w:val="001000000000"/>
            <w:tcW w:w="0" w:type="auto"/>
            <w:shd w:val="clear" w:color="auto" w:fill="auto"/>
            <w:vAlign w:val="center"/>
          </w:tcPr>
          <w:p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rsidR="00460FBE" w:rsidRDefault="00D0138C">
            <w:pPr>
              <w:spacing w:after="0" w:line="240" w:lineRule="auto"/>
              <w:cnfStyle w:val="100000000000"/>
              <w:rPr>
                <w:rFonts w:asciiTheme="majorHAnsi" w:eastAsiaTheme="majorEastAsia" w:hAnsiTheme="majorHAnsi" w:cs="Arial"/>
                <w:bCs w:val="0"/>
                <w:color w:val="auto"/>
                <w:sz w:val="24"/>
                <w:szCs w:val="32"/>
              </w:rPr>
            </w:pPr>
            <w:r>
              <w:rPr>
                <w:rFonts w:cs="Arial"/>
                <w:b w:val="0"/>
                <w:color w:val="auto"/>
                <w:sz w:val="24"/>
                <w:szCs w:val="32"/>
              </w:rPr>
              <w:t>Upper 2.5%</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460FBE" w:rsidRDefault="00D0138C">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460FBE" w:rsidRDefault="00D0138C">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460FBE" w:rsidRDefault="00D0138C">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460FBE" w:rsidRDefault="00D0138C">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460FBE" w:rsidTr="00460FBE">
        <w:trPr>
          <w:trHeight w:val="605"/>
          <w:jc w:val="center"/>
        </w:trPr>
        <w:tc>
          <w:tcPr>
            <w:cnfStyle w:val="001000000000"/>
            <w:tcW w:w="0" w:type="auto"/>
            <w:shd w:val="clear" w:color="auto" w:fill="auto"/>
            <w:vAlign w:val="center"/>
          </w:tcPr>
          <w:p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rsidR="00460FBE" w:rsidRDefault="00D0138C">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460FBE" w:rsidRDefault="00D0138C">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460FBE">
            <w:pPr>
              <w:spacing w:after="0" w:line="240" w:lineRule="auto"/>
              <w:rPr>
                <w:rFonts w:eastAsia="Times New Roman" w:cs="Arial"/>
                <w:color w:val="auto"/>
                <w:sz w:val="24"/>
                <w:szCs w:val="32"/>
              </w:rPr>
            </w:pPr>
          </w:p>
        </w:tc>
        <w:tc>
          <w:tcPr>
            <w:tcW w:w="0" w:type="auto"/>
            <w:tcBorders>
              <w:right w:val="nil"/>
            </w:tcBorders>
            <w:shd w:val="clear" w:color="auto" w:fill="auto"/>
            <w:noWrap/>
            <w:vAlign w:val="center"/>
          </w:tcPr>
          <w:p w:rsidR="00460FBE" w:rsidRDefault="00D0138C">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460FBE" w:rsidRDefault="00D0138C">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auto"/>
                <w:sz w:val="24"/>
                <w:szCs w:val="32"/>
              </w:rPr>
            </w:pPr>
            <w:r>
              <w:rPr>
                <w:rFonts w:cs="Arial" w:hint="eastAsia"/>
                <w:sz w:val="24"/>
                <w:szCs w:val="32"/>
              </w:rPr>
              <w:t>0.95</w:t>
            </w:r>
          </w:p>
        </w:tc>
      </w:tr>
      <w:tr w:rsidR="00460FBE" w:rsidTr="00460FBE">
        <w:trPr>
          <w:trHeight w:val="605"/>
          <w:jc w:val="center"/>
        </w:trPr>
        <w:tc>
          <w:tcPr>
            <w:cnfStyle w:val="001000000000"/>
            <w:tcW w:w="0" w:type="auto"/>
            <w:shd w:val="clear" w:color="auto" w:fill="auto"/>
            <w:vAlign w:val="center"/>
          </w:tcPr>
          <w:p w:rsidR="00460FBE" w:rsidRDefault="00D0138C">
            <w:pPr>
              <w:spacing w:after="0" w:line="240" w:lineRule="auto"/>
              <w:rPr>
                <w:rFonts w:cs="Arial"/>
                <w:color w:val="auto"/>
                <w:sz w:val="24"/>
                <w:szCs w:val="32"/>
              </w:rPr>
            </w:pPr>
            <w:r>
              <w:rPr>
                <w:rFonts w:cs="Arial" w:hint="eastAsia"/>
                <w:b w:val="0"/>
                <w:color w:val="auto"/>
                <w:sz w:val="24"/>
                <w:szCs w:val="32"/>
              </w:rPr>
              <w:t>Spiders</w:t>
            </w:r>
          </w:p>
        </w:tc>
        <w:tc>
          <w:tcPr>
            <w:tcW w:w="0" w:type="auto"/>
            <w:shd w:val="clear" w:color="auto" w:fill="auto"/>
            <w:noWrap/>
            <w:vAlign w:val="center"/>
          </w:tcPr>
          <w:p w:rsidR="00460FBE" w:rsidRDefault="00D0138C">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460FBE">
            <w:pPr>
              <w:spacing w:after="0" w:line="240" w:lineRule="auto"/>
              <w:rPr>
                <w:rFonts w:eastAsia="Times New Roman" w:cs="Arial"/>
                <w:color w:val="auto"/>
                <w:sz w:val="24"/>
                <w:szCs w:val="32"/>
              </w:rPr>
            </w:pPr>
          </w:p>
        </w:tc>
        <w:tc>
          <w:tcPr>
            <w:tcW w:w="0" w:type="auto"/>
            <w:tcBorders>
              <w:right w:val="nil"/>
            </w:tcBorders>
            <w:shd w:val="clear" w:color="auto" w:fill="auto"/>
            <w:noWrap/>
            <w:vAlign w:val="center"/>
          </w:tcPr>
          <w:p w:rsidR="00460FBE" w:rsidRDefault="00D0138C">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460FBE" w:rsidTr="00460FBE">
        <w:trPr>
          <w:trHeight w:val="605"/>
          <w:jc w:val="center"/>
        </w:trPr>
        <w:tc>
          <w:tcPr>
            <w:cnfStyle w:val="001000000000"/>
            <w:tcW w:w="0" w:type="auto"/>
            <w:shd w:val="clear" w:color="auto" w:fill="auto"/>
            <w:vAlign w:val="center"/>
          </w:tcPr>
          <w:p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rsidR="00460FBE" w:rsidRDefault="00D0138C">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460FBE" w:rsidTr="00460FBE">
        <w:trPr>
          <w:trHeight w:val="605"/>
          <w:jc w:val="center"/>
        </w:trPr>
        <w:tc>
          <w:tcPr>
            <w:cnfStyle w:val="001000000000"/>
            <w:tcW w:w="0" w:type="auto"/>
            <w:tcBorders>
              <w:left w:val="nil"/>
              <w:right w:val="nil"/>
            </w:tcBorders>
            <w:shd w:val="clear" w:color="auto" w:fill="auto"/>
            <w:vAlign w:val="center"/>
          </w:tcPr>
          <w:p w:rsidR="00460FBE" w:rsidRDefault="00D0138C">
            <w:pPr>
              <w:spacing w:after="0" w:line="240" w:lineRule="auto"/>
              <w:rPr>
                <w:rFonts w:cs="Arial"/>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460FBE" w:rsidRDefault="00D0138C">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460FBE" w:rsidTr="00460FBE">
        <w:trPr>
          <w:trHeight w:val="605"/>
          <w:jc w:val="center"/>
        </w:trPr>
        <w:tc>
          <w:tcPr>
            <w:cnfStyle w:val="001000000000"/>
            <w:tcW w:w="0" w:type="auto"/>
            <w:shd w:val="clear" w:color="auto" w:fill="auto"/>
          </w:tcPr>
          <w:p w:rsidR="00460FBE" w:rsidRDefault="00460FBE">
            <w:pPr>
              <w:spacing w:after="0" w:line="240" w:lineRule="auto"/>
              <w:rPr>
                <w:rFonts w:eastAsia="Times New Roman" w:cs="Arial"/>
                <w:color w:val="000000" w:themeColor="text1"/>
                <w:sz w:val="24"/>
                <w:szCs w:val="32"/>
              </w:rPr>
            </w:pPr>
          </w:p>
        </w:tc>
        <w:tc>
          <w:tcPr>
            <w:tcW w:w="0" w:type="auto"/>
            <w:shd w:val="clear" w:color="auto" w:fill="auto"/>
            <w:noWrap/>
            <w:vAlign w:val="center"/>
          </w:tcPr>
          <w:p w:rsidR="00460FBE" w:rsidRDefault="00D0138C">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460FBE" w:rsidTr="00460FBE">
        <w:trPr>
          <w:trHeight w:val="605"/>
          <w:jc w:val="center"/>
        </w:trPr>
        <w:tc>
          <w:tcPr>
            <w:cnfStyle w:val="001000000000"/>
            <w:tcW w:w="0" w:type="auto"/>
            <w:tcBorders>
              <w:left w:val="nil"/>
              <w:right w:val="nil"/>
            </w:tcBorders>
            <w:shd w:val="clear" w:color="auto" w:fill="auto"/>
          </w:tcPr>
          <w:p w:rsidR="00460FBE" w:rsidRDefault="00460FBE">
            <w:pPr>
              <w:spacing w:after="0" w:line="240" w:lineRule="auto"/>
              <w:rPr>
                <w:rFonts w:eastAsia="Times New Roman" w:cs="Arial"/>
                <w:color w:val="000000" w:themeColor="text1"/>
                <w:sz w:val="24"/>
                <w:szCs w:val="32"/>
              </w:rPr>
            </w:pPr>
          </w:p>
        </w:tc>
        <w:tc>
          <w:tcPr>
            <w:tcW w:w="0" w:type="auto"/>
            <w:tcBorders>
              <w:right w:val="nil"/>
            </w:tcBorders>
            <w:shd w:val="clear" w:color="auto" w:fill="auto"/>
            <w:noWrap/>
            <w:vAlign w:val="center"/>
          </w:tcPr>
          <w:p w:rsidR="00460FBE" w:rsidRDefault="00D0138C">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460FBE" w:rsidRDefault="00D0138C">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460FBE" w:rsidRDefault="00D0138C">
      <w:pPr>
        <w:rPr>
          <w:b/>
          <w:color w:val="FF0000"/>
        </w:rPr>
      </w:pPr>
      <w:r>
        <w:rPr>
          <w:b/>
          <w:color w:val="FF0000"/>
        </w:rPr>
        <w:br w:type="page"/>
      </w:r>
    </w:p>
    <w:p w:rsidR="00460FBE" w:rsidRDefault="00D0138C">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rsidR="00460FBE" w:rsidRDefault="00D0138C">
      <w:pPr>
        <w:rPr>
          <w:sz w:val="24"/>
        </w:rPr>
      </w:pPr>
      <w:proofErr w:type="gramStart"/>
      <w:r>
        <w:rPr>
          <w:rFonts w:hint="eastAsia"/>
          <w:sz w:val="24"/>
        </w:rPr>
        <w:t>Figure 1.</w:t>
      </w:r>
      <w:proofErr w:type="gramEnd"/>
      <w:r>
        <w:rPr>
          <w:rFonts w:hint="eastAsia"/>
          <w:sz w:val="24"/>
        </w:rPr>
        <w:t xml:space="preserve"> The proportions (mean </w:t>
      </w:r>
      <w:r>
        <w:rPr>
          <w:sz w:val="24"/>
        </w:rPr>
        <w:t>±</w:t>
      </w:r>
      <w:r>
        <w:rPr>
          <w:rFonts w:hint="eastAsia"/>
          <w:sz w:val="24"/>
        </w:rPr>
        <w:t xml:space="preserve"> SE) of prey sources (rice herbivores, tourist herbivores, </w:t>
      </w:r>
      <w:proofErr w:type="spellStart"/>
      <w:r>
        <w:rPr>
          <w:rFonts w:hint="eastAsia"/>
          <w:sz w:val="24"/>
        </w:rPr>
        <w:t>detritivores</w:t>
      </w:r>
      <w:proofErr w:type="spellEnd"/>
      <w:r>
        <w:rPr>
          <w:rFonts w:hint="eastAsia"/>
          <w:sz w:val="24"/>
        </w:rPr>
        <w:t>) consumed in predators</w:t>
      </w:r>
      <w:r>
        <w:rPr>
          <w:sz w:val="24"/>
        </w:rPr>
        <w:t>’</w:t>
      </w:r>
      <w:r>
        <w:rPr>
          <w:rFonts w:hint="eastAsia"/>
          <w:sz w:val="24"/>
        </w:rPr>
        <w:t xml:space="preserve"> diet in organic and conventional rice farms over crop stages.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 averaged over all replicate farms and across three study years.</w:t>
      </w:r>
    </w:p>
    <w:p w:rsidR="00460FBE" w:rsidRDefault="00460FBE">
      <w:pPr>
        <w:rPr>
          <w:sz w:val="24"/>
        </w:rPr>
      </w:pPr>
    </w:p>
    <w:p w:rsidR="00460FBE" w:rsidRDefault="00D0138C">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rsidR="00460FBE" w:rsidRDefault="00D0138C">
      <w:pPr>
        <w:rPr>
          <w:sz w:val="24"/>
        </w:rPr>
      </w:pPr>
      <w:proofErr w:type="gramStart"/>
      <w:r>
        <w:rPr>
          <w:rFonts w:hint="eastAsia"/>
          <w:sz w:val="24"/>
        </w:rPr>
        <w:t>Figure 2.</w:t>
      </w:r>
      <w:proofErr w:type="gramEnd"/>
      <w:r>
        <w:rPr>
          <w:rFonts w:hint="eastAsia"/>
          <w:sz w:val="24"/>
        </w:rPr>
        <w:t xml:space="preserve"> The proportion of rice herbivores consumed in predators</w:t>
      </w:r>
      <w:r>
        <w:rPr>
          <w:sz w:val="24"/>
        </w:rPr>
        <w:t>’</w:t>
      </w:r>
      <w:r>
        <w:rPr>
          <w:rFonts w:hint="eastAsia"/>
          <w:sz w:val="24"/>
        </w:rPr>
        <w:t xml:space="preserve"> diet in organic and conventional rice farms over crop stages in the three study years. </w:t>
      </w:r>
      <w:proofErr w:type="gramStart"/>
      <w:r>
        <w:rPr>
          <w:rFonts w:hint="eastAsia"/>
          <w:sz w:val="24"/>
        </w:rPr>
        <w:t>(a) All predators as a whole feeding guild; (b) spiders only; (c) ladybeetles only.</w:t>
      </w:r>
      <w:proofErr w:type="gramEnd"/>
      <w:r>
        <w:rPr>
          <w:rFonts w:hint="eastAsia"/>
          <w:sz w:val="24"/>
        </w:rPr>
        <w:t xml:space="preserve"> The proportions are the posterior mean estimates from the Bayesian stable isotope mixing models.</w:t>
      </w:r>
    </w:p>
    <w:p w:rsidR="00460FBE" w:rsidRDefault="00460FBE">
      <w:pPr>
        <w:rPr>
          <w:b/>
          <w:color w:val="FF0000"/>
        </w:rPr>
      </w:pPr>
    </w:p>
    <w:p w:rsidR="00460FBE" w:rsidRDefault="00460FBE">
      <w:pPr>
        <w:rPr>
          <w:b/>
          <w:color w:val="FF0000"/>
        </w:rPr>
      </w:pPr>
    </w:p>
    <w:p w:rsidR="00460FBE" w:rsidRDefault="00460FBE">
      <w:pPr>
        <w:rPr>
          <w:b/>
          <w:color w:val="FF0000"/>
        </w:rPr>
      </w:pPr>
    </w:p>
    <w:p w:rsidR="00460FBE" w:rsidRDefault="00460FBE">
      <w:pPr>
        <w:rPr>
          <w:b/>
          <w:color w:val="FF0000"/>
        </w:rPr>
      </w:pPr>
    </w:p>
    <w:p w:rsidR="00460FBE" w:rsidRDefault="00D0138C">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rsidR="00460FBE" w:rsidRDefault="00D0138C">
      <w:pPr>
        <w:rPr>
          <w:b/>
          <w:color w:val="FF0000"/>
        </w:rPr>
      </w:pPr>
      <w:proofErr w:type="gramStart"/>
      <w:r>
        <w:rPr>
          <w:rFonts w:hint="eastAsia"/>
          <w:sz w:val="24"/>
        </w:rPr>
        <w:t>Figure 3.</w:t>
      </w:r>
      <w:proofErr w:type="gramEnd"/>
      <w:r>
        <w:rPr>
          <w:rFonts w:hint="eastAsia"/>
          <w:sz w:val="24"/>
        </w:rPr>
        <w:t xml:space="preserve"> </w:t>
      </w:r>
      <w:proofErr w:type="gramStart"/>
      <w:r>
        <w:rPr>
          <w:rFonts w:hint="eastAsia"/>
          <w:sz w:val="24"/>
        </w:rPr>
        <w:t>The relative abundances of prey sources in organic and conventional rice farms over crop stages in the three study years.</w:t>
      </w:r>
      <w:proofErr w:type="gramEnd"/>
      <w:r>
        <w:rPr>
          <w:rFonts w:hint="eastAsia"/>
          <w:sz w:val="24"/>
        </w:rPr>
        <w:t xml:space="preserve"> The relative abundances were determined from the sweep-net samples pooled across the replicate farms. </w:t>
      </w:r>
      <w:r>
        <w:rPr>
          <w:sz w:val="24"/>
        </w:rPr>
        <w:t xml:space="preserve"> </w:t>
      </w:r>
    </w:p>
    <w:p w:rsidR="00460FBE" w:rsidRDefault="00D0138C">
      <w:pPr>
        <w:rPr>
          <w:rFonts w:cs="Arial"/>
          <w:b/>
          <w:szCs w:val="28"/>
        </w:rPr>
      </w:pPr>
      <w:r>
        <w:rPr>
          <w:rFonts w:cs="Arial"/>
          <w:b/>
          <w:szCs w:val="28"/>
        </w:rPr>
        <w:br w:type="page"/>
      </w:r>
    </w:p>
    <w:p w:rsidR="00460FBE" w:rsidRDefault="00D0138C">
      <w:pPr>
        <w:rPr>
          <w:rFonts w:cs="Arial"/>
          <w:b/>
          <w:szCs w:val="28"/>
        </w:rPr>
      </w:pPr>
      <w:r>
        <w:rPr>
          <w:rFonts w:cs="Arial"/>
          <w:b/>
          <w:szCs w:val="28"/>
        </w:rPr>
        <w:lastRenderedPageBreak/>
        <w:t>Discussion</w:t>
      </w:r>
    </w:p>
    <w:p w:rsidR="00460FBE" w:rsidRDefault="00D0138C">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and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460FBE" w:rsidRDefault="00460FBE">
      <w:pPr>
        <w:rPr>
          <w:rFonts w:cs="Arial"/>
          <w:szCs w:val="28"/>
        </w:rPr>
      </w:pPr>
    </w:p>
    <w:p w:rsidR="00460FBE" w:rsidRDefault="00D0138C">
      <w:pPr>
        <w:ind w:firstLine="720"/>
        <w:jc w:val="center"/>
        <w:rPr>
          <w:rFonts w:cs="Arial"/>
          <w:i/>
          <w:color w:val="0070C0"/>
          <w:szCs w:val="28"/>
        </w:rPr>
      </w:pPr>
      <w:r>
        <w:rPr>
          <w:rFonts w:cs="Arial"/>
          <w:i/>
          <w:color w:val="0070C0"/>
          <w:szCs w:val="28"/>
        </w:rPr>
        <w:t xml:space="preserve">Generalists function as specialists </w:t>
      </w:r>
      <w:r>
        <w:rPr>
          <w:rFonts w:cs="Arial" w:hint="eastAsia"/>
          <w:i/>
          <w:color w:val="0070C0"/>
          <w:szCs w:val="28"/>
        </w:rPr>
        <w:t>at</w:t>
      </w:r>
      <w:r>
        <w:rPr>
          <w:rFonts w:cs="Arial"/>
          <w:i/>
          <w:color w:val="0070C0"/>
          <w:szCs w:val="28"/>
        </w:rPr>
        <w:t xml:space="preserve"> late crop stages (or when things matter)</w:t>
      </w:r>
    </w:p>
    <w:p w:rsidR="00460FBE" w:rsidRDefault="00D0138C">
      <w:pPr>
        <w:ind w:firstLine="720"/>
        <w:rPr>
          <w:rFonts w:cs="Arial"/>
          <w:color w:val="0070C0"/>
          <w:szCs w:val="28"/>
        </w:rPr>
      </w:pPr>
      <w:r>
        <w:rPr>
          <w:rFonts w:cs="Arial"/>
          <w:color w:val="0070C0"/>
          <w:szCs w:val="28"/>
        </w:rPr>
        <w:t xml:space="preserve">Increasing over crop stages, </w:t>
      </w:r>
      <w:r>
        <w:rPr>
          <w:rFonts w:cs="Arial" w:hint="eastAsia"/>
          <w:color w:val="0070C0"/>
          <w:szCs w:val="28"/>
        </w:rPr>
        <w:t>G</w:t>
      </w:r>
      <w:r>
        <w:rPr>
          <w:rFonts w:cs="Arial"/>
          <w:color w:val="0070C0"/>
          <w:szCs w:val="28"/>
        </w:rPr>
        <w:t>eneralists become specialists functionally (clarify the previous conce</w:t>
      </w:r>
      <w:r>
        <w:rPr>
          <w:rFonts w:cs="Arial" w:hint="eastAsia"/>
          <w:color w:val="0070C0"/>
          <w:szCs w:val="28"/>
        </w:rPr>
        <w:t>r</w:t>
      </w:r>
      <w:r>
        <w:rPr>
          <w:rFonts w:cs="Arial"/>
          <w:color w:val="0070C0"/>
          <w:szCs w:val="28"/>
        </w:rPr>
        <w:t xml:space="preserve">n/debate; check our introduction Line 39-78; our results provide strong support for GAP), </w:t>
      </w:r>
      <w:proofErr w:type="spellStart"/>
      <w:r>
        <w:rPr>
          <w:rFonts w:cs="Arial" w:hint="eastAsia"/>
          <w:color w:val="0070C0"/>
          <w:szCs w:val="28"/>
        </w:rPr>
        <w:t>B</w:t>
      </w:r>
      <w:r>
        <w:rPr>
          <w:rFonts w:cs="Arial"/>
          <w:color w:val="0070C0"/>
          <w:szCs w:val="28"/>
        </w:rPr>
        <w:t>iocontrol</w:t>
      </w:r>
      <w:proofErr w:type="spellEnd"/>
      <w:r>
        <w:rPr>
          <w:rFonts w:cs="Arial"/>
          <w:color w:val="0070C0"/>
          <w:szCs w:val="28"/>
        </w:rPr>
        <w:t xml:space="preserve"> value (when things matter</w:t>
      </w:r>
      <w:r>
        <w:rPr>
          <w:rFonts w:cs="Arial" w:hint="eastAsia"/>
          <w:color w:val="0070C0"/>
          <w:szCs w:val="28"/>
        </w:rPr>
        <w:t xml:space="preserve">: </w:t>
      </w:r>
      <w:r>
        <w:rPr>
          <w:rFonts w:cs="Arial"/>
          <w:color w:val="0070C0"/>
          <w:szCs w:val="28"/>
        </w:rPr>
        <w:t>flowering and ripening for crop production; high pest density</w:t>
      </w:r>
      <w:r>
        <w:rPr>
          <w:rFonts w:cs="Arial" w:hint="eastAsia"/>
          <w:color w:val="0070C0"/>
          <w:szCs w:val="28"/>
        </w:rPr>
        <w:t>)</w:t>
      </w:r>
      <w:r>
        <w:rPr>
          <w:rFonts w:cs="Arial"/>
          <w:color w:val="0070C0"/>
          <w:szCs w:val="28"/>
        </w:rPr>
        <w:t>, Spider vs. ladybeetles over crop stages</w:t>
      </w:r>
    </w:p>
    <w:p w:rsidR="00460FBE" w:rsidRDefault="00D0138C">
      <w:pPr>
        <w:ind w:firstLine="720"/>
        <w:rPr>
          <w:rFonts w:cs="Arial"/>
          <w:szCs w:val="28"/>
        </w:rPr>
      </w:pPr>
      <w:r>
        <w:rPr>
          <w:rFonts w:cs="Arial"/>
          <w:szCs w:val="28"/>
        </w:rPr>
        <w:t xml:space="preserve">As the world seeks to shift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practices provide one of the important solutions.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this study quantified their diet composition</w:t>
      </w:r>
      <w:r>
        <w:rPr>
          <w:rFonts w:cs="Arial" w:hint="eastAsia"/>
          <w:szCs w:val="28"/>
        </w:rPr>
        <w:t>s</w:t>
      </w:r>
      <w:r>
        <w:rPr>
          <w:rFonts w:cs="Arial"/>
          <w:szCs w:val="28"/>
        </w:rPr>
        <w:t xml:space="preserve"> and revealed high pest consumption at late crop stages </w:t>
      </w:r>
      <w:r>
        <w:rPr>
          <w:rFonts w:cs="Arial" w:hint="eastAsia"/>
          <w:szCs w:val="28"/>
        </w:rPr>
        <w:t>as well as</w:t>
      </w:r>
      <w:r>
        <w:rPr>
          <w:rFonts w:cs="Arial"/>
          <w:szCs w:val="28"/>
        </w:rPr>
        <w:t xml:space="preserve"> consistent consumption patterns over years. The results offer valuable insights </w:t>
      </w:r>
      <w:r>
        <w:rPr>
          <w:rFonts w:cs="Arial" w:hint="eastAsia"/>
          <w:szCs w:val="28"/>
        </w:rPr>
        <w:t xml:space="preserve">into designing </w:t>
      </w:r>
      <w:r>
        <w:rPr>
          <w:rFonts w:cs="Arial"/>
          <w:szCs w:val="28"/>
        </w:rPr>
        <w:t>farming practice</w:t>
      </w:r>
      <w:r>
        <w:rPr>
          <w:rFonts w:cs="Arial" w:hint="eastAsia"/>
          <w:szCs w:val="28"/>
        </w:rPr>
        <w:t>s</w:t>
      </w:r>
      <w:r>
        <w:rPr>
          <w:rFonts w:cs="Arial"/>
          <w:szCs w:val="28"/>
        </w:rPr>
        <w:t xml:space="preserve"> towards sustainable agriculture.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proofErr w:type="spellStart"/>
      <w:r>
        <w:rPr>
          <w:rFonts w:cs="Arial" w:hint="eastAsia"/>
          <w:szCs w:val="28"/>
        </w:rPr>
        <w:t>detritivores</w:t>
      </w:r>
      <w:proofErr w:type="spellEnd"/>
      <w:r>
        <w:rPr>
          <w:rFonts w:cs="Arial" w:hint="eastAsia"/>
          <w:szCs w:val="28"/>
        </w:rPr>
        <w:t xml:space="preserve"> and tourist herbivores gradually decreased and contribute</w:t>
      </w:r>
      <w:r>
        <w:rPr>
          <w:rFonts w:cs="Arial"/>
          <w:szCs w:val="28"/>
        </w:rPr>
        <w:t>d</w:t>
      </w:r>
      <w:r>
        <w:rPr>
          <w:rFonts w:cs="Arial" w:hint="eastAsia"/>
          <w:szCs w:val="28"/>
        </w:rPr>
        <w:t xml:space="preserve"> less than 10% to</w:t>
      </w:r>
      <w:r>
        <w:rPr>
          <w:rFonts w:cs="Arial"/>
          <w:szCs w:val="28"/>
        </w:rPr>
        <w:t xml:space="preserve"> the diet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suggests increasing </w:t>
      </w:r>
      <w:proofErr w:type="spellStart"/>
      <w:r>
        <w:rPr>
          <w:rFonts w:cs="Arial"/>
          <w:szCs w:val="28"/>
        </w:rPr>
        <w:t>biocontrol</w:t>
      </w:r>
      <w:proofErr w:type="spellEnd"/>
      <w:r>
        <w:rPr>
          <w:rFonts w:cs="Arial"/>
          <w:szCs w:val="28"/>
        </w:rPr>
        <w:t xml:space="preserve"> value of predators over time, particularly during the later crop season where they fed </w:t>
      </w:r>
      <w:r>
        <w:rPr>
          <w:rFonts w:cs="Arial"/>
          <w:szCs w:val="28"/>
        </w:rPr>
        <w:lastRenderedPageBreak/>
        <w:t xml:space="preserve">predominantly on rice pests. </w:t>
      </w:r>
      <w:r>
        <w:rPr>
          <w:rFonts w:cs="Arial" w:hint="eastAsia"/>
          <w:szCs w:val="28"/>
        </w:rPr>
        <w:t>Interestingly, generalist predators are known to exploit a wide range of prey items</w:t>
      </w:r>
      <w:r>
        <w:rPr>
          <w:rFonts w:cs="Arial"/>
          <w:szCs w:val="28"/>
        </w:rPr>
        <w:t xml:space="preserve"> </w:t>
      </w:r>
      <w:r w:rsidR="00460FBE">
        <w:rPr>
          <w:rFonts w:cs="Arial"/>
          <w:szCs w:val="28"/>
        </w:rPr>
        <w:fldChar w:fldCharType="begin"/>
      </w:r>
      <w:r>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460FBE">
        <w:rPr>
          <w:rFonts w:cs="Arial"/>
          <w:szCs w:val="28"/>
        </w:rPr>
        <w:fldChar w:fldCharType="separate"/>
      </w:r>
      <w:r>
        <w:rPr>
          <w:rFonts w:cs="Arial"/>
          <w:szCs w:val="28"/>
        </w:rPr>
        <w:t>(Albajes and Alomar 1999, Prasad and Snyder 2006)</w:t>
      </w:r>
      <w:r w:rsidR="00460FBE">
        <w:rPr>
          <w:rFonts w:cs="Arial"/>
          <w:szCs w:val="28"/>
        </w:rPr>
        <w:fldChar w:fldCharType="end"/>
      </w:r>
      <w:r>
        <w:rPr>
          <w:rFonts w:cs="Arial" w:hint="eastAsia"/>
          <w:szCs w:val="28"/>
        </w:rPr>
        <w:t xml:space="preserve">, </w:t>
      </w:r>
      <w:r>
        <w:rPr>
          <w:rFonts w:cs="Arial"/>
          <w:szCs w:val="28"/>
        </w:rPr>
        <w:t xml:space="preserve">yet </w:t>
      </w:r>
      <w:r>
        <w:rPr>
          <w:rFonts w:cs="Arial" w:hint="eastAsia"/>
          <w:szCs w:val="28"/>
        </w:rPr>
        <w:t>our diet analysis indeed reveal</w:t>
      </w:r>
      <w:r>
        <w:rPr>
          <w:rFonts w:cs="Arial"/>
          <w:szCs w:val="28"/>
        </w:rPr>
        <w:t>ed</w:t>
      </w:r>
      <w:r>
        <w:rPr>
          <w:rFonts w:cs="Arial" w:hint="eastAsia"/>
          <w:szCs w:val="28"/>
        </w:rPr>
        <w:t xml:space="preserve"> a previously under-appreciated aspect of </w:t>
      </w:r>
      <w:r>
        <w:rPr>
          <w:rFonts w:cs="Arial"/>
          <w:szCs w:val="28"/>
        </w:rPr>
        <w:t>their feeding habits—a generalist by nature could become a specialist in function depending on the context</w:t>
      </w:r>
      <w:r>
        <w:rPr>
          <w:rFonts w:cs="Arial" w:hint="eastAsia"/>
          <w:szCs w:val="28"/>
        </w:rPr>
        <w:t>. This temporary switch in foraging habits may arise if predators encounter and capture prey in a considerably random fashion, that is, prey consumption depends largely on prey availability. For example, a study on aphid pests and generalist predators</w:t>
      </w:r>
      <w:r>
        <w:rPr>
          <w:rFonts w:cs="Arial"/>
          <w:szCs w:val="28"/>
        </w:rPr>
        <w:t xml:space="preserve"> </w:t>
      </w:r>
      <w:r>
        <w:rPr>
          <w:rFonts w:cs="Arial" w:hint="eastAsia"/>
          <w:szCs w:val="28"/>
        </w:rPr>
        <w:t>revealed</w:t>
      </w:r>
      <w:r>
        <w:rPr>
          <w:rFonts w:cs="Arial"/>
          <w:szCs w:val="28"/>
        </w:rPr>
        <w:t xml:space="preserve"> within-season variation</w:t>
      </w:r>
      <w:r>
        <w:rPr>
          <w:rFonts w:cs="Arial" w:hint="eastAsia"/>
          <w:szCs w:val="28"/>
        </w:rPr>
        <w:t>s</w:t>
      </w:r>
      <w:r>
        <w:rPr>
          <w:rFonts w:cs="Arial"/>
          <w:szCs w:val="28"/>
        </w:rPr>
        <w:t xml:space="preserve"> in</w:t>
      </w:r>
      <w:r>
        <w:rPr>
          <w:rFonts w:cs="Arial" w:hint="eastAsia"/>
          <w:szCs w:val="28"/>
        </w:rPr>
        <w:t xml:space="preserve"> their</w:t>
      </w:r>
      <w:r>
        <w:rPr>
          <w:rFonts w:cs="Arial"/>
          <w:szCs w:val="28"/>
        </w:rPr>
        <w:t xml:space="preserve"> interaction strength</w:t>
      </w:r>
      <w:r>
        <w:rPr>
          <w:rFonts w:cs="Arial" w:hint="eastAsia"/>
          <w:szCs w:val="28"/>
        </w:rPr>
        <w:t xml:space="preserve">, which was likely due to the changes in </w:t>
      </w:r>
      <w:r>
        <w:rPr>
          <w:rFonts w:cs="Arial"/>
          <w:szCs w:val="28"/>
        </w:rPr>
        <w:t xml:space="preserve">herbivore abundances </w:t>
      </w:r>
      <w:r>
        <w:rPr>
          <w:rFonts w:cs="Arial" w:hint="eastAsia"/>
          <w:szCs w:val="28"/>
        </w:rPr>
        <w:t>throughout the</w:t>
      </w:r>
      <w:r>
        <w:rPr>
          <w:rFonts w:cs="Arial"/>
          <w:szCs w:val="28"/>
        </w:rPr>
        <w:t xml:space="preserve"> crop season</w:t>
      </w:r>
      <w:r>
        <w:rPr>
          <w:rFonts w:cs="Arial" w:hint="eastAsia"/>
          <w:szCs w:val="28"/>
        </w:rPr>
        <w:t xml:space="preserve"> </w:t>
      </w:r>
      <w:r w:rsidR="00460FBE">
        <w:rPr>
          <w:rFonts w:cs="Arial"/>
          <w:szCs w:val="28"/>
        </w:rPr>
        <w:fldChar w:fldCharType="begin"/>
      </w:r>
      <w:r>
        <w:rPr>
          <w:rFonts w:cs="Arial"/>
          <w:szCs w:val="28"/>
        </w:rPr>
        <w:instrText xml:space="preserve"> ADDIN EN.CITE &lt;EndNote&gt;&lt;Cite&gt;&lt;Author&gt;Roubinet&lt;/Author&gt;&lt;Year&gt;2018&lt;/Year&gt;&lt;RecNum&gt;103&lt;/RecNum&gt;&lt;DisplayText&gt;(Roubinet et al. 2018)&lt;/DisplayText&gt;&lt;record&gt;&lt;rec-number&gt;103&lt;/rec-number&gt;&lt;foreign-keys&gt;&lt;key app="EN" db-id="2vstfap51s9ztmea0af5fa9f5v90srreddde" timestamp="1631805938"&gt;103&lt;/key&gt;&lt;/foreign-keys&gt;&lt;ref-type name="Journal Article"&gt;17&lt;/ref-type&gt;&lt;contributors&gt;&lt;authors&gt;&lt;author&gt;Roubinet, Eve&lt;/author&gt;&lt;author&gt;Jonsson, Tomas&lt;/author&gt;&lt;author&gt;Malsher, Gerard&lt;/author&gt;&lt;author&gt;Staudacher, Karin&lt;/author&gt;&lt;author&gt;Traugott, Michael&lt;/author&gt;&lt;author&gt;Ekbom, Barbara&lt;/author&gt;&lt;author&gt;Jonsson, Mattias&lt;/author&gt;&lt;/authors&gt;&lt;/contributors&gt;&lt;titles&gt;&lt;title&gt;High redundancy as well as complementary prey choice characterize generalist predator food webs in agroecosystems&lt;/title&gt;&lt;secondary-title&gt;Scientific reports&lt;/secondary-title&gt;&lt;/titles&gt;&lt;periodical&gt;&lt;full-title&gt;Scientific Reports&lt;/full-title&gt;&lt;/periodical&gt;&lt;pages&gt;1-10&lt;/pages&gt;&lt;volume&gt;8&lt;/volume&gt;&lt;number&gt;1&lt;/number&gt;&lt;dates&gt;&lt;year&gt;2018&lt;/year&gt;&lt;/dates&gt;&lt;isbn&gt;2045-2322&lt;/isbn&gt;&lt;urls&gt;&lt;/urls&gt;&lt;/record&gt;&lt;/Cite&gt;&lt;/EndNote&gt;</w:instrText>
      </w:r>
      <w:r w:rsidR="00460FBE">
        <w:rPr>
          <w:rFonts w:cs="Arial"/>
          <w:szCs w:val="28"/>
        </w:rPr>
        <w:fldChar w:fldCharType="separate"/>
      </w:r>
      <w:r>
        <w:rPr>
          <w:rFonts w:cs="Arial"/>
          <w:szCs w:val="28"/>
        </w:rPr>
        <w:t>(Roubinet et al. 2018)</w:t>
      </w:r>
      <w:r w:rsidR="00460FBE">
        <w:rPr>
          <w:rFonts w:cs="Arial"/>
          <w:szCs w:val="28"/>
        </w:rPr>
        <w:fldChar w:fldCharType="end"/>
      </w:r>
      <w:r>
        <w:rPr>
          <w:rFonts w:cs="Arial" w:hint="eastAsia"/>
          <w:szCs w:val="28"/>
        </w:rPr>
        <w:t xml:space="preserve">. </w:t>
      </w:r>
    </w:p>
    <w:p w:rsidR="00460FBE" w:rsidRDefault="00D0138C">
      <w:pPr>
        <w:ind w:firstLine="720"/>
        <w:rPr>
          <w:rFonts w:cs="Arial"/>
          <w:szCs w:val="28"/>
        </w:rPr>
      </w:pPr>
      <w:r>
        <w:rPr>
          <w:rFonts w:cs="Arial" w:hint="eastAsia"/>
          <w:szCs w:val="28"/>
        </w:rPr>
        <w:t xml:space="preserve">The two main predator </w:t>
      </w:r>
      <w:r>
        <w:rPr>
          <w:rFonts w:cs="Arial"/>
          <w:szCs w:val="28"/>
        </w:rPr>
        <w:t>groups</w:t>
      </w:r>
      <w:r>
        <w:rPr>
          <w:rFonts w:cs="Arial" w:hint="eastAsia"/>
          <w:szCs w:val="28"/>
        </w:rPr>
        <w:t xml:space="preserve"> in our study system, spiders and ladybeetles, exhibited distinct</w:t>
      </w:r>
      <w:r>
        <w:rPr>
          <w:rFonts w:cs="Arial"/>
          <w:szCs w:val="28"/>
        </w:rPr>
        <w:t xml:space="preserve"> dietary patterns</w:t>
      </w:r>
      <w:r>
        <w:rPr>
          <w:rFonts w:cs="Arial" w:hint="eastAsia"/>
          <w:szCs w:val="28"/>
        </w:rPr>
        <w:t xml:space="preserve"> over the crop season (Fig. 1; Fig. 2). Such distinct patterns may be </w:t>
      </w:r>
      <w:r>
        <w:rPr>
          <w:rFonts w:cs="Arial"/>
          <w:szCs w:val="28"/>
        </w:rPr>
        <w:t>due to the difference in their f</w:t>
      </w:r>
      <w:r>
        <w:rPr>
          <w:rFonts w:cs="Arial" w:hint="eastAsia"/>
          <w:szCs w:val="28"/>
        </w:rPr>
        <w:t>orag</w:t>
      </w:r>
      <w:r>
        <w:rPr>
          <w:rFonts w:cs="Arial"/>
          <w:szCs w:val="28"/>
        </w:rPr>
        <w:t xml:space="preserve">ing </w:t>
      </w:r>
      <w:r>
        <w:rPr>
          <w:rFonts w:cs="Arial" w:hint="eastAsia"/>
          <w:szCs w:val="28"/>
        </w:rPr>
        <w:t>modes</w:t>
      </w:r>
      <w:r>
        <w:rPr>
          <w:rFonts w:cs="Arial"/>
          <w:szCs w:val="28"/>
        </w:rPr>
        <w:t>—sit-and-wait</w:t>
      </w:r>
      <w:r>
        <w:rPr>
          <w:rFonts w:cs="Arial" w:hint="eastAsia"/>
          <w:szCs w:val="28"/>
        </w:rPr>
        <w:t xml:space="preserve"> vs. </w:t>
      </w:r>
      <w:r>
        <w:rPr>
          <w:rFonts w:cs="Arial"/>
          <w:szCs w:val="28"/>
        </w:rPr>
        <w:t>active-pursuit</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460FBE">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sidR="00460FBE">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(Allan et al. 1987, Nyffeler 1999, Klecka and Boukal 2013)</w:t>
      </w:r>
      <w:r w:rsidR="00460FBE">
        <w:rPr>
          <w:rFonts w:cs="Arial"/>
          <w:szCs w:val="28"/>
        </w:rPr>
        <w:fldChar w:fldCharType="end"/>
      </w:r>
      <w:r>
        <w:rPr>
          <w:rFonts w:cs="Arial"/>
          <w:szCs w:val="28"/>
        </w:rPr>
        <w:t>.</w:t>
      </w:r>
      <w:r>
        <w:rPr>
          <w:rFonts w:cs="Arial" w:hint="eastAsia"/>
          <w:szCs w:val="28"/>
        </w:rPr>
        <w:t xml:space="preserve"> Long-jawed orb-weavers </w:t>
      </w:r>
      <w:r>
        <w:rPr>
          <w:rFonts w:cs="Arial"/>
          <w:szCs w:val="28"/>
        </w:rPr>
        <w:t>(</w:t>
      </w:r>
      <w:proofErr w:type="spellStart"/>
      <w:r>
        <w:rPr>
          <w:rFonts w:cs="Arial"/>
          <w:szCs w:val="28"/>
        </w:rPr>
        <w:t>Tetragnathidae</w:t>
      </w:r>
      <w:proofErr w:type="spellEnd"/>
      <w:r>
        <w:rPr>
          <w:rFonts w:cs="Arial"/>
          <w:szCs w:val="28"/>
        </w:rPr>
        <w:t>)</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would be </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460FBE">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460FBE">
        <w:rPr>
          <w:rFonts w:cs="Arial"/>
          <w:szCs w:val="28"/>
        </w:rPr>
        <w:fldChar w:fldCharType="separate"/>
      </w:r>
      <w:r>
        <w:rPr>
          <w:rFonts w:cs="Arial"/>
          <w:szCs w:val="28"/>
        </w:rPr>
        <w:t>(Nyffeler 1999)</w:t>
      </w:r>
      <w:r w:rsidR="00460FBE">
        <w:rPr>
          <w:rFonts w:cs="Arial"/>
          <w:szCs w:val="28"/>
        </w:rPr>
        <w:fldChar w:fldCharType="end"/>
      </w:r>
      <w:r>
        <w:rPr>
          <w:rFonts w:cs="Arial"/>
          <w:szCs w:val="28"/>
        </w:rPr>
        <w:t xml:space="preserve">. </w:t>
      </w:r>
      <w:r>
        <w:rPr>
          <w:rFonts w:cs="Arial" w:hint="eastAsia"/>
          <w:szCs w:val="28"/>
        </w:rPr>
        <w:t>O</w:t>
      </w:r>
      <w:r>
        <w:rPr>
          <w:rFonts w:cs="Arial"/>
          <w:szCs w:val="28"/>
        </w:rPr>
        <w:t xml:space="preserve">ur </w:t>
      </w:r>
      <w:r>
        <w:rPr>
          <w:rFonts w:cs="Arial" w:hint="eastAsia"/>
          <w:szCs w:val="28"/>
        </w:rPr>
        <w:t>findings</w:t>
      </w:r>
      <w:r>
        <w:rPr>
          <w:rFonts w:cs="Arial"/>
          <w:szCs w:val="28"/>
        </w:rPr>
        <w:t xml:space="preserve"> support this explanation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 xml:space="preserve">partly correspond to </w:t>
      </w:r>
      <w:r>
        <w:rPr>
          <w:rFonts w:cs="Arial"/>
          <w:szCs w:val="28"/>
        </w:rPr>
        <w:t>the relative abundances of these sources in the field</w:t>
      </w:r>
      <w:r>
        <w:rPr>
          <w:rFonts w:cs="Arial" w:hint="eastAsia"/>
          <w:szCs w:val="28"/>
        </w:rPr>
        <w:t xml:space="preserve"> (Fig. 1b; Fig. 3). Moreover, </w:t>
      </w:r>
      <w:r>
        <w:rPr>
          <w:rFonts w:cs="Arial"/>
          <w:szCs w:val="28"/>
        </w:rPr>
        <w:t xml:space="preserve">sit-and-wait </w:t>
      </w:r>
      <w:r>
        <w:rPr>
          <w:rFonts w:cs="Arial" w:hint="eastAsia"/>
          <w:szCs w:val="28"/>
        </w:rPr>
        <w:t>predators</w:t>
      </w:r>
      <w:r>
        <w:rPr>
          <w:rFonts w:cs="Arial"/>
          <w:szCs w:val="28"/>
        </w:rPr>
        <w:t xml:space="preserve"> </w:t>
      </w:r>
      <w:r>
        <w:rPr>
          <w:rFonts w:cs="Arial" w:hint="eastAsia"/>
          <w:szCs w:val="28"/>
        </w:rPr>
        <w:t>are more likely to</w:t>
      </w:r>
      <w:r>
        <w:rPr>
          <w:rFonts w:cs="Arial"/>
          <w:szCs w:val="28"/>
        </w:rPr>
        <w:t xml:space="preserve"> </w:t>
      </w:r>
      <w:r>
        <w:rPr>
          <w:rFonts w:cs="Arial" w:hint="eastAsia"/>
          <w:szCs w:val="28"/>
        </w:rPr>
        <w:t>capture</w:t>
      </w:r>
      <w:r>
        <w:rPr>
          <w:rFonts w:cs="Arial"/>
          <w:szCs w:val="28"/>
        </w:rPr>
        <w:t xml:space="preserve"> prey</w:t>
      </w:r>
      <w:r>
        <w:rPr>
          <w:rFonts w:cs="Arial" w:hint="eastAsia"/>
          <w:szCs w:val="28"/>
        </w:rPr>
        <w:t xml:space="preserve"> with higher mobility and activity levels </w:t>
      </w:r>
      <w:r w:rsidR="00460FBE">
        <w:rPr>
          <w:rFonts w:cs="Arial"/>
          <w:szCs w:val="28"/>
        </w:rPr>
        <w:fldChar w:fldCharType="begin"/>
      </w:r>
      <w:r>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460FBE">
        <w:rPr>
          <w:rFonts w:cs="Arial"/>
          <w:szCs w:val="28"/>
        </w:rPr>
        <w:fldChar w:fldCharType="separate"/>
      </w:r>
      <w:r>
        <w:rPr>
          <w:rFonts w:cs="Arial"/>
          <w:szCs w:val="28"/>
        </w:rPr>
        <w:t>(Haraguchi et al. 2013)</w:t>
      </w:r>
      <w:r w:rsidR="00460FBE">
        <w:rPr>
          <w:rFonts w:cs="Arial"/>
          <w:szCs w:val="28"/>
        </w:rPr>
        <w:fldChar w:fldCharType="end"/>
      </w:r>
      <w:r>
        <w:rPr>
          <w:rFonts w:cs="Arial" w:hint="eastAsia"/>
          <w:szCs w:val="28"/>
        </w:rPr>
        <w:t xml:space="preserve">. Since </w:t>
      </w:r>
      <w:proofErr w:type="spellStart"/>
      <w:r>
        <w:rPr>
          <w:rFonts w:cs="Arial" w:hint="eastAsia"/>
          <w:szCs w:val="28"/>
        </w:rPr>
        <w:t>detritivores</w:t>
      </w:r>
      <w:proofErr w:type="spellEnd"/>
      <w:r>
        <w:rPr>
          <w:rFonts w:cs="Arial" w:hint="eastAsia"/>
          <w:szCs w:val="28"/>
        </w:rPr>
        <w:t xml:space="preserve"> and tourist herbivores are comparatively more active than rice </w:t>
      </w:r>
      <w:r>
        <w:rPr>
          <w:rFonts w:cs="Arial" w:hint="eastAsia"/>
          <w:szCs w:val="28"/>
        </w:rPr>
        <w:lastRenderedPageBreak/>
        <w:t>herbivores, they could be more vulnerable to capture by these orb-weavers and thus contribute more to the diet at early crop stage (Fig. 1b). By contrast</w:t>
      </w:r>
      <w:r>
        <w:rPr>
          <w:rFonts w:cs="Arial"/>
          <w:szCs w:val="28"/>
        </w:rPr>
        <w:t xml:space="preserve">, </w:t>
      </w:r>
      <w:r>
        <w:rPr>
          <w:rFonts w:cs="Arial" w:hint="eastAsia"/>
          <w:szCs w:val="28"/>
        </w:rPr>
        <w:t>l</w:t>
      </w:r>
      <w:r>
        <w:rPr>
          <w:rFonts w:cs="Arial"/>
          <w:szCs w:val="28"/>
        </w:rPr>
        <w:t xml:space="preserve">adybeetles are active-pursuit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which are relative </w:t>
      </w:r>
      <w:r>
        <w:rPr>
          <w:rFonts w:cs="Arial"/>
          <w:szCs w:val="28"/>
        </w:rPr>
        <w:t>sedentary</w:t>
      </w:r>
      <w:r>
        <w:rPr>
          <w:rFonts w:cs="Arial" w:hint="eastAsia"/>
          <w:szCs w:val="28"/>
        </w:rPr>
        <w:t xml:space="preserve"> and thus easier to capture</w:t>
      </w:r>
      <w:r>
        <w:rPr>
          <w:rFonts w:cs="Arial"/>
          <w:szCs w:val="28"/>
        </w:rPr>
        <w:t>.</w:t>
      </w:r>
      <w:r>
        <w:rPr>
          <w:rFonts w:cs="Arial" w:hint="eastAsia"/>
          <w:szCs w:val="28"/>
        </w:rPr>
        <w:t xml:space="preserve"> Furthermore</w:t>
      </w:r>
      <w:r>
        <w:rPr>
          <w:rFonts w:cs="Arial"/>
          <w:szCs w:val="28"/>
        </w:rPr>
        <w:t xml:space="preserve">, </w:t>
      </w:r>
      <w:r>
        <w:rPr>
          <w:rFonts w:cs="Arial" w:hint="eastAsia"/>
          <w:szCs w:val="28"/>
        </w:rPr>
        <w:t>l</w:t>
      </w:r>
      <w:r>
        <w:rPr>
          <w:rFonts w:cs="Arial"/>
          <w:szCs w:val="28"/>
        </w:rPr>
        <w:t xml:space="preserve">adybeetles are </w:t>
      </w:r>
      <w:r>
        <w:rPr>
          <w:rFonts w:cs="Arial" w:hint="eastAsia"/>
          <w:szCs w:val="28"/>
        </w:rPr>
        <w:t xml:space="preserve">generally </w:t>
      </w:r>
      <w:r>
        <w:rPr>
          <w:rFonts w:cs="Arial"/>
          <w:szCs w:val="28"/>
        </w:rPr>
        <w:t>more active in the</w:t>
      </w:r>
      <w:r>
        <w:rPr>
          <w:rFonts w:cs="Arial" w:hint="eastAsia"/>
          <w:szCs w:val="28"/>
        </w:rPr>
        <w:t xml:space="preserve"> crop</w:t>
      </w:r>
      <w:r>
        <w:rPr>
          <w:rFonts w:cs="Arial"/>
          <w:szCs w:val="28"/>
        </w:rPr>
        <w:t xml:space="preserve"> </w:t>
      </w:r>
      <w:r>
        <w:rPr>
          <w:rFonts w:cs="Arial" w:hint="eastAsia"/>
          <w:szCs w:val="28"/>
        </w:rPr>
        <w:t>canopy</w:t>
      </w:r>
      <w:r>
        <w:rPr>
          <w:rFonts w:cs="Arial"/>
          <w:szCs w:val="28"/>
        </w:rPr>
        <w:t xml:space="preserve">, where </w:t>
      </w:r>
      <w:r>
        <w:rPr>
          <w:rFonts w:cs="Arial" w:hint="eastAsia"/>
          <w:szCs w:val="28"/>
        </w:rPr>
        <w:t xml:space="preserve">the densities of </w:t>
      </w:r>
      <w:r>
        <w:rPr>
          <w:rFonts w:cs="Arial"/>
          <w:szCs w:val="28"/>
        </w:rPr>
        <w:t>rice herbivores</w:t>
      </w:r>
      <w:r>
        <w:rPr>
          <w:rFonts w:cs="Arial" w:hint="eastAsia"/>
          <w:szCs w:val="28"/>
        </w:rPr>
        <w:t xml:space="preserve"> are also higher </w:t>
      </w:r>
      <w:r>
        <w:rPr>
          <w:rFonts w:cs="Arial"/>
          <w:szCs w:val="28"/>
        </w:rPr>
        <w:t xml:space="preserve">compared </w:t>
      </w:r>
      <w:r>
        <w:rPr>
          <w:rFonts w:cs="Arial" w:hint="eastAsia"/>
          <w:szCs w:val="28"/>
        </w:rPr>
        <w:t>with</w:t>
      </w:r>
      <w:r>
        <w:rPr>
          <w:rFonts w:cs="Arial"/>
          <w:szCs w:val="28"/>
        </w:rPr>
        <w:t xml:space="preserve"> the lower part of the rice plant.</w:t>
      </w:r>
      <w:r>
        <w:rPr>
          <w:rFonts w:cs="Arial" w:hint="eastAsia"/>
          <w:szCs w:val="28"/>
        </w:rPr>
        <w:t xml:space="preserve"> Consequently, their diets may deviate from the relative abundance of prey sources in the field and consist of mainly rice herbivores (Fig. 1c; Fig. 2c; Fig. 3). Despite the distinction in dietary patterns, both spiders and ladybeetles consumed predominantly rice herbivores at the ripening stage and may contribute significantly to pest regulation during this period. Since p</w:t>
      </w:r>
      <w:r>
        <w:rPr>
          <w:rFonts w:cs="Arial"/>
          <w:szCs w:val="28"/>
        </w:rPr>
        <w:t xml:space="preserve">redator foraging </w:t>
      </w:r>
      <w:r>
        <w:rPr>
          <w:rFonts w:cs="Arial" w:hint="eastAsia"/>
          <w:szCs w:val="28"/>
        </w:rPr>
        <w:t>behavior plays a key role in</w:t>
      </w:r>
      <w:r>
        <w:rPr>
          <w:rFonts w:cs="Arial"/>
          <w:szCs w:val="28"/>
        </w:rPr>
        <w:t xml:space="preserve"> </w:t>
      </w:r>
      <w:r>
        <w:rPr>
          <w:rFonts w:cs="Arial" w:hint="eastAsia"/>
          <w:szCs w:val="28"/>
        </w:rPr>
        <w:t xml:space="preserve">mediating predator-prey </w:t>
      </w:r>
      <w:proofErr w:type="spellStart"/>
      <w:r>
        <w:rPr>
          <w:rFonts w:cs="Arial" w:hint="eastAsia"/>
          <w:szCs w:val="28"/>
        </w:rPr>
        <w:t>trophic</w:t>
      </w:r>
      <w:proofErr w:type="spellEnd"/>
      <w:r>
        <w:rPr>
          <w:rFonts w:cs="Arial" w:hint="eastAsia"/>
          <w:szCs w:val="28"/>
        </w:rPr>
        <w:t xml:space="preserve"> interactions </w:t>
      </w:r>
      <w:r w:rsidR="00460FBE">
        <w:rPr>
          <w:rFonts w:cs="Arial"/>
          <w:szCs w:val="28"/>
        </w:rPr>
        <w:fldChar w:fldCharType="begin"/>
      </w:r>
      <w:r>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460FBE">
        <w:rPr>
          <w:rFonts w:cs="Arial"/>
          <w:szCs w:val="28"/>
        </w:rPr>
        <w:fldChar w:fldCharType="separate"/>
      </w:r>
      <w:r>
        <w:rPr>
          <w:rFonts w:cs="Arial"/>
          <w:szCs w:val="28"/>
        </w:rPr>
        <w:t>(Schmitz 2008, Liu et al. 2015)</w:t>
      </w:r>
      <w:r w:rsidR="00460FBE">
        <w:rPr>
          <w:rFonts w:cs="Arial"/>
          <w:szCs w:val="28"/>
        </w:rPr>
        <w:fldChar w:fldCharType="end"/>
      </w:r>
      <w:r>
        <w:rPr>
          <w:rFonts w:cs="Arial" w:hint="eastAsia"/>
          <w:szCs w:val="28"/>
        </w:rPr>
        <w:t xml:space="preserve">, it would be critical to further examine how assemblages of predators with different foraging strategies and habitat domains may jointly influence the overall </w:t>
      </w:r>
      <w:r>
        <w:rPr>
          <w:rFonts w:cs="Arial"/>
          <w:szCs w:val="28"/>
        </w:rPr>
        <w:t xml:space="preserve">effectiveness of </w:t>
      </w:r>
      <w:r>
        <w:rPr>
          <w:rFonts w:cs="Arial" w:hint="eastAsia"/>
          <w:szCs w:val="28"/>
        </w:rPr>
        <w:t>top-down</w:t>
      </w:r>
      <w:r>
        <w:rPr>
          <w:rFonts w:cs="Arial"/>
          <w:szCs w:val="28"/>
        </w:rPr>
        <w:t xml:space="preserve"> control</w:t>
      </w:r>
      <w:r>
        <w:rPr>
          <w:rFonts w:cs="Arial" w:hint="eastAsia"/>
          <w:szCs w:val="28"/>
        </w:rPr>
        <w:t xml:space="preserve"> on pests. </w:t>
      </w:r>
    </w:p>
    <w:p w:rsidR="00460FBE" w:rsidRDefault="00460FBE">
      <w:pPr>
        <w:rPr>
          <w:rFonts w:cs="Arial"/>
          <w:b/>
          <w:color w:val="0070C0"/>
          <w:szCs w:val="28"/>
        </w:rPr>
      </w:pPr>
    </w:p>
    <w:p w:rsidR="00460FBE" w:rsidRDefault="00D0138C">
      <w:pPr>
        <w:ind w:firstLine="720"/>
        <w:rPr>
          <w:rFonts w:cs="Arial"/>
          <w:i/>
          <w:color w:val="0070C0"/>
          <w:szCs w:val="28"/>
        </w:rPr>
      </w:pPr>
      <w:r>
        <w:rPr>
          <w:rFonts w:cs="Arial"/>
          <w:i/>
          <w:color w:val="0070C0"/>
          <w:szCs w:val="28"/>
        </w:rPr>
        <w:t>Generalist</w:t>
      </w:r>
      <w:r>
        <w:rPr>
          <w:rFonts w:cs="Arial" w:hint="eastAsia"/>
          <w:i/>
          <w:color w:val="0070C0"/>
          <w:szCs w:val="28"/>
        </w:rPr>
        <w:t>s exhibit</w:t>
      </w:r>
      <w:r>
        <w:rPr>
          <w:rFonts w:cs="Arial"/>
          <w:i/>
          <w:color w:val="0070C0"/>
          <w:szCs w:val="28"/>
        </w:rPr>
        <w:t xml:space="preserve"> consistent </w:t>
      </w:r>
      <w:r>
        <w:rPr>
          <w:rFonts w:cs="Arial" w:hint="eastAsia"/>
          <w:i/>
          <w:color w:val="0070C0"/>
          <w:szCs w:val="28"/>
        </w:rPr>
        <w:t>pest consumption patterns</w:t>
      </w:r>
      <w:r>
        <w:rPr>
          <w:rFonts w:cs="Arial"/>
          <w:i/>
          <w:color w:val="0070C0"/>
          <w:szCs w:val="28"/>
        </w:rPr>
        <w:t xml:space="preserve"> over years</w:t>
      </w:r>
    </w:p>
    <w:p w:rsidR="00460FBE" w:rsidRDefault="00D0138C">
      <w:pPr>
        <w:ind w:firstLine="720"/>
        <w:rPr>
          <w:rFonts w:cs="Arial"/>
          <w:color w:val="0070C0"/>
          <w:szCs w:val="28"/>
        </w:rPr>
      </w:pPr>
      <w:r>
        <w:rPr>
          <w:rFonts w:cs="Arial"/>
          <w:color w:val="0070C0"/>
          <w:szCs w:val="28"/>
        </w:rPr>
        <w:t xml:space="preserve">Consistent over years (show </w:t>
      </w:r>
      <w:proofErr w:type="spellStart"/>
      <w:r>
        <w:rPr>
          <w:rFonts w:cs="Arial"/>
          <w:color w:val="0070C0"/>
          <w:szCs w:val="28"/>
        </w:rPr>
        <w:t>abiotic</w:t>
      </w:r>
      <w:proofErr w:type="spellEnd"/>
      <w:r>
        <w:rPr>
          <w:rFonts w:cs="Arial"/>
          <w:color w:val="0070C0"/>
          <w:szCs w:val="28"/>
        </w:rPr>
        <w:t xml:space="preserve"> factors and biotic factors [guild level &gt; rice herbivore species level]) &gt; highlight the value/implication of our finding: regardless of </w:t>
      </w:r>
      <w:proofErr w:type="spellStart"/>
      <w:r>
        <w:rPr>
          <w:rFonts w:cs="Arial"/>
          <w:color w:val="0070C0"/>
          <w:szCs w:val="28"/>
        </w:rPr>
        <w:t>abiotic</w:t>
      </w:r>
      <w:proofErr w:type="spellEnd"/>
      <w:r>
        <w:rPr>
          <w:rFonts w:cs="Arial"/>
          <w:color w:val="0070C0"/>
          <w:szCs w:val="28"/>
        </w:rPr>
        <w:t xml:space="preserve"> change and biotic change (e.g., outbreak of different pests over years), GAP will provide consistent </w:t>
      </w:r>
      <w:proofErr w:type="spellStart"/>
      <w:r>
        <w:rPr>
          <w:rFonts w:cs="Arial"/>
          <w:color w:val="0070C0"/>
          <w:szCs w:val="28"/>
        </w:rPr>
        <w:t>biocontrol</w:t>
      </w:r>
      <w:proofErr w:type="spellEnd"/>
      <w:r>
        <w:rPr>
          <w:rFonts w:cs="Arial"/>
          <w:color w:val="0070C0"/>
          <w:szCs w:val="28"/>
        </w:rPr>
        <w:t xml:space="preserve"> value &gt; Good tool for sustainable agriculture. </w:t>
      </w:r>
      <w:r>
        <w:rPr>
          <w:rFonts w:cs="Arial"/>
          <w:color w:val="BFBFBF" w:themeColor="background1" w:themeShade="BF"/>
          <w:szCs w:val="28"/>
        </w:rPr>
        <w:t>(</w:t>
      </w:r>
      <w:proofErr w:type="gramStart"/>
      <w:r>
        <w:rPr>
          <w:rFonts w:cs="Arial"/>
          <w:color w:val="BFBFBF" w:themeColor="background1" w:themeShade="BF"/>
          <w:szCs w:val="28"/>
        </w:rPr>
        <w:t>check</w:t>
      </w:r>
      <w:proofErr w:type="gramEnd"/>
      <w:r>
        <w:rPr>
          <w:rFonts w:cs="Arial"/>
          <w:color w:val="BFBFBF" w:themeColor="background1" w:themeShade="BF"/>
          <w:szCs w:val="28"/>
        </w:rPr>
        <w:t xml:space="preserve"> if the composition of rice herbivore species changed over years [e.g., BPH and sting bug were the most abundant in </w:t>
      </w:r>
      <w:r>
        <w:rPr>
          <w:rFonts w:cs="Arial" w:hint="eastAsia"/>
          <w:color w:val="BFBFBF" w:themeColor="background1" w:themeShade="BF"/>
          <w:szCs w:val="28"/>
        </w:rPr>
        <w:t>Y</w:t>
      </w:r>
      <w:r>
        <w:rPr>
          <w:rFonts w:cs="Arial"/>
          <w:color w:val="BFBFBF" w:themeColor="background1" w:themeShade="BF"/>
          <w:szCs w:val="28"/>
        </w:rPr>
        <w:t xml:space="preserve">ear 1 and 2, respectively] ) </w:t>
      </w:r>
    </w:p>
    <w:p w:rsidR="00460FBE" w:rsidRDefault="00D0138C">
      <w:pPr>
        <w:ind w:firstLine="720"/>
        <w:rPr>
          <w:rFonts w:cs="Arial"/>
          <w:szCs w:val="28"/>
        </w:rPr>
      </w:pPr>
      <w:r>
        <w:rPr>
          <w:rFonts w:cs="Arial" w:hint="eastAsia"/>
          <w:szCs w:val="28"/>
        </w:rPr>
        <w:lastRenderedPageBreak/>
        <w:t>Pest</w:t>
      </w:r>
      <w:r>
        <w:rPr>
          <w:rFonts w:cs="Arial"/>
          <w:szCs w:val="28"/>
        </w:rPr>
        <w:t xml:space="preserve"> consumption </w:t>
      </w:r>
      <w:r>
        <w:rPr>
          <w:rFonts w:cs="Arial" w:hint="eastAsia"/>
          <w:szCs w:val="28"/>
        </w:rPr>
        <w:t>b</w:t>
      </w:r>
      <w:r>
        <w:rPr>
          <w:rFonts w:cs="Arial"/>
          <w:szCs w:val="28"/>
        </w:rPr>
        <w:t>y predator</w:t>
      </w:r>
      <w:r>
        <w:rPr>
          <w:rFonts w:cs="Arial" w:hint="eastAsia"/>
          <w:szCs w:val="28"/>
        </w:rPr>
        <w:t xml:space="preserve">s, both as a whole and </w:t>
      </w:r>
      <w:r>
        <w:rPr>
          <w:rFonts w:cs="Arial"/>
          <w:szCs w:val="28"/>
        </w:rPr>
        <w:t xml:space="preserve">as </w:t>
      </w:r>
      <w:r>
        <w:rPr>
          <w:rFonts w:cs="Arial" w:hint="eastAsia"/>
          <w:szCs w:val="28"/>
        </w:rPr>
        <w:t>individual</w:t>
      </w:r>
      <w:r>
        <w:rPr>
          <w:rFonts w:cs="Arial"/>
          <w:szCs w:val="28"/>
        </w:rPr>
        <w:t xml:space="preserve"> groups</w:t>
      </w:r>
      <w:r>
        <w:rPr>
          <w:rFonts w:cs="Arial" w:hint="eastAsia"/>
          <w:szCs w:val="28"/>
        </w:rPr>
        <w:t>, showed consistent patterns</w:t>
      </w:r>
      <w:r>
        <w:rPr>
          <w:rFonts w:cs="Arial"/>
          <w:szCs w:val="28"/>
        </w:rPr>
        <w:t xml:space="preserve"> across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the environmental conditions during the crop season among the three study years</w:t>
      </w:r>
      <w:r>
        <w:rPr>
          <w:rFonts w:cs="Arial"/>
          <w:szCs w:val="28"/>
        </w:rPr>
        <w:t xml:space="preserve">. </w:t>
      </w:r>
      <w:r w:rsidRPr="00D0138C">
        <w:rPr>
          <w:rFonts w:cs="Arial" w:hint="eastAsia"/>
          <w:szCs w:val="28"/>
        </w:rPr>
        <w:t>The</w:t>
      </w:r>
      <w:r w:rsidRPr="00D0138C">
        <w:rPr>
          <w:rFonts w:cs="Arial"/>
          <w:szCs w:val="28"/>
        </w:rPr>
        <w:t xml:space="preserve"> </w:t>
      </w:r>
      <w:r w:rsidRPr="00D0138C">
        <w:rPr>
          <w:rFonts w:cs="Arial" w:hint="eastAsia"/>
          <w:szCs w:val="28"/>
        </w:rPr>
        <w:t xml:space="preserve">daily mean </w:t>
      </w:r>
      <w:r w:rsidRPr="00D0138C">
        <w:rPr>
          <w:rFonts w:cs="Arial"/>
          <w:szCs w:val="28"/>
        </w:rPr>
        <w:t>temperature</w:t>
      </w:r>
      <w:r w:rsidRPr="00D0138C">
        <w:rPr>
          <w:rFonts w:cs="Arial" w:hint="eastAsia"/>
          <w:szCs w:val="28"/>
        </w:rPr>
        <w:t xml:space="preserve">, particularly during the early crop season </w:t>
      </w:r>
      <w:r w:rsidR="00F254B0">
        <w:rPr>
          <w:rFonts w:cs="Arial" w:hint="eastAsia"/>
          <w:szCs w:val="28"/>
        </w:rPr>
        <w:t>(</w:t>
      </w:r>
      <w:r w:rsidRPr="00D0138C">
        <w:rPr>
          <w:rFonts w:cs="Arial" w:hint="eastAsia"/>
          <w:szCs w:val="28"/>
        </w:rPr>
        <w:t>from</w:t>
      </w:r>
      <w:r w:rsidRPr="00D0138C">
        <w:rPr>
          <w:rFonts w:cs="Arial"/>
          <w:szCs w:val="28"/>
        </w:rPr>
        <w:t xml:space="preserve"> April</w:t>
      </w:r>
      <w:r w:rsidRPr="00D0138C">
        <w:rPr>
          <w:rFonts w:cs="Arial" w:hint="eastAsia"/>
          <w:szCs w:val="28"/>
        </w:rPr>
        <w:t xml:space="preserve"> to </w:t>
      </w:r>
      <w:r w:rsidRPr="00D0138C">
        <w:rPr>
          <w:rFonts w:cs="Arial"/>
          <w:szCs w:val="28"/>
        </w:rPr>
        <w:t>Ju</w:t>
      </w:r>
      <w:r w:rsidRPr="00D0138C">
        <w:rPr>
          <w:rFonts w:cs="Arial" w:hint="eastAsia"/>
          <w:szCs w:val="28"/>
        </w:rPr>
        <w:t>ne</w:t>
      </w:r>
      <w:r w:rsidR="00F254B0">
        <w:rPr>
          <w:rFonts w:cs="Arial" w:hint="eastAsia"/>
          <w:szCs w:val="28"/>
        </w:rPr>
        <w:t>)</w:t>
      </w:r>
      <w:r w:rsidRPr="00D0138C">
        <w:rPr>
          <w:rFonts w:cs="Arial" w:hint="eastAsia"/>
          <w:szCs w:val="28"/>
        </w:rPr>
        <w:t>,</w:t>
      </w:r>
      <w:r w:rsidRPr="00D0138C">
        <w:rPr>
          <w:rFonts w:cs="Arial"/>
          <w:szCs w:val="28"/>
        </w:rPr>
        <w:t xml:space="preserve"> </w:t>
      </w:r>
      <w:r w:rsidRPr="00D0138C">
        <w:rPr>
          <w:rFonts w:cs="Arial" w:hint="eastAsia"/>
          <w:szCs w:val="28"/>
        </w:rPr>
        <w:t xml:space="preserve">varied substantially </w:t>
      </w:r>
      <w:r w:rsidRPr="00D0138C">
        <w:rPr>
          <w:rFonts w:cs="Arial"/>
          <w:szCs w:val="28"/>
        </w:rPr>
        <w:t>among</w:t>
      </w:r>
      <w:r w:rsidRPr="00D0138C">
        <w:rPr>
          <w:rFonts w:cs="Arial" w:hint="eastAsia"/>
          <w:szCs w:val="28"/>
        </w:rPr>
        <w:t xml:space="preserve"> </w:t>
      </w:r>
      <w:r w:rsidRPr="00D0138C">
        <w:rPr>
          <w:rFonts w:cs="Arial"/>
          <w:szCs w:val="28"/>
        </w:rPr>
        <w:t>year</w:t>
      </w:r>
      <w:r w:rsidRPr="00D0138C">
        <w:rPr>
          <w:rFonts w:cs="Arial" w:hint="eastAsia"/>
          <w:szCs w:val="28"/>
        </w:rPr>
        <w:t xml:space="preserve">s </w:t>
      </w:r>
      <w:r w:rsidRPr="00D0138C">
        <w:rPr>
          <w:rFonts w:cs="Arial"/>
          <w:szCs w:val="28"/>
        </w:rPr>
        <w:t xml:space="preserve">(Appendix S1: </w:t>
      </w:r>
      <w:r w:rsidRPr="00D0138C">
        <w:rPr>
          <w:rFonts w:cs="Arial" w:hint="eastAsia"/>
          <w:szCs w:val="28"/>
        </w:rPr>
        <w:t>Fig.</w:t>
      </w:r>
      <w:r w:rsidRPr="00D0138C">
        <w:rPr>
          <w:rFonts w:cs="Arial"/>
          <w:szCs w:val="28"/>
        </w:rPr>
        <w:t xml:space="preserve"> S</w:t>
      </w:r>
      <w:r w:rsidRPr="00D0138C">
        <w:rPr>
          <w:rFonts w:cs="Arial" w:hint="eastAsia"/>
          <w:szCs w:val="28"/>
        </w:rPr>
        <w:t>2a</w:t>
      </w:r>
      <w:r w:rsidRPr="00D0138C">
        <w:rPr>
          <w:rFonts w:cs="Arial"/>
          <w:szCs w:val="28"/>
        </w:rPr>
        <w:t>)</w:t>
      </w:r>
      <w:r w:rsidRPr="00D0138C">
        <w:rPr>
          <w:rFonts w:cs="Arial" w:hint="eastAsia"/>
          <w:szCs w:val="28"/>
        </w:rPr>
        <w:t>.</w:t>
      </w:r>
      <w:r w:rsidR="00D3760C">
        <w:rPr>
          <w:rFonts w:cs="Arial" w:hint="eastAsia"/>
          <w:color w:val="FF0000"/>
          <w:szCs w:val="28"/>
        </w:rPr>
        <w:t xml:space="preserve"> </w:t>
      </w:r>
      <w:r w:rsidRPr="00D3760C">
        <w:rPr>
          <w:rFonts w:cs="Arial" w:hint="eastAsia"/>
          <w:szCs w:val="28"/>
        </w:rPr>
        <w:t xml:space="preserve">The daily </w:t>
      </w:r>
      <w:r w:rsidRPr="00D3760C">
        <w:rPr>
          <w:rFonts w:cs="Arial"/>
          <w:szCs w:val="28"/>
        </w:rPr>
        <w:t xml:space="preserve">precipitation </w:t>
      </w:r>
      <w:r w:rsidRPr="00D3760C">
        <w:rPr>
          <w:rFonts w:cs="Arial" w:hint="eastAsia"/>
          <w:szCs w:val="28"/>
        </w:rPr>
        <w:t xml:space="preserve">patterns also </w:t>
      </w:r>
      <w:r w:rsidR="00F254B0">
        <w:rPr>
          <w:rFonts w:cs="Arial" w:hint="eastAsia"/>
          <w:szCs w:val="28"/>
        </w:rPr>
        <w:t>fluctuated</w:t>
      </w:r>
      <w:r w:rsidRPr="00D3760C">
        <w:rPr>
          <w:rFonts w:cs="Arial" w:hint="eastAsia"/>
          <w:szCs w:val="28"/>
        </w:rPr>
        <w:t xml:space="preserve"> </w:t>
      </w:r>
      <w:r w:rsidR="00F254B0">
        <w:rPr>
          <w:rFonts w:cs="Arial" w:hint="eastAsia"/>
          <w:szCs w:val="28"/>
        </w:rPr>
        <w:t>over</w:t>
      </w:r>
      <w:r w:rsidRPr="00D3760C">
        <w:rPr>
          <w:rFonts w:cs="Arial" w:hint="eastAsia"/>
          <w:szCs w:val="28"/>
        </w:rPr>
        <w:t xml:space="preserve"> the three study years, with frequent </w:t>
      </w:r>
      <w:r w:rsidRPr="00D3760C">
        <w:rPr>
          <w:rFonts w:cs="Arial"/>
          <w:szCs w:val="28"/>
        </w:rPr>
        <w:t>high precipitation events in 2017</w:t>
      </w:r>
      <w:r w:rsidR="00F254B0">
        <w:rPr>
          <w:rFonts w:cs="Arial" w:hint="eastAsia"/>
          <w:szCs w:val="28"/>
        </w:rPr>
        <w:t>,</w:t>
      </w:r>
      <w:r w:rsidRPr="00D3760C">
        <w:rPr>
          <w:rFonts w:cs="Arial" w:hint="eastAsia"/>
          <w:szCs w:val="28"/>
        </w:rPr>
        <w:t xml:space="preserve"> </w:t>
      </w:r>
      <w:r w:rsidR="00F254B0">
        <w:rPr>
          <w:rFonts w:cs="Arial" w:hint="eastAsia"/>
          <w:szCs w:val="28"/>
        </w:rPr>
        <w:t xml:space="preserve">overall </w:t>
      </w:r>
      <w:r w:rsidR="00274052" w:rsidRPr="00D3760C">
        <w:rPr>
          <w:rFonts w:cs="Arial" w:hint="eastAsia"/>
          <w:szCs w:val="28"/>
        </w:rPr>
        <w:t>low</w:t>
      </w:r>
      <w:r w:rsidRPr="00D3760C">
        <w:rPr>
          <w:rFonts w:cs="Arial" w:hint="eastAsia"/>
          <w:szCs w:val="28"/>
        </w:rPr>
        <w:t xml:space="preserve"> </w:t>
      </w:r>
      <w:r w:rsidR="00274052" w:rsidRPr="00D3760C">
        <w:rPr>
          <w:rFonts w:cs="Arial" w:hint="eastAsia"/>
          <w:szCs w:val="28"/>
        </w:rPr>
        <w:t xml:space="preserve">precipitation in </w:t>
      </w:r>
      <w:r w:rsidRPr="00D3760C">
        <w:rPr>
          <w:rFonts w:cs="Arial"/>
          <w:szCs w:val="28"/>
        </w:rPr>
        <w:t>2018</w:t>
      </w:r>
      <w:r w:rsidR="00F254B0">
        <w:rPr>
          <w:rFonts w:cs="Arial" w:hint="eastAsia"/>
          <w:szCs w:val="28"/>
        </w:rPr>
        <w:t xml:space="preserve">, and </w:t>
      </w:r>
      <w:r w:rsidR="00F254B0" w:rsidRPr="00F254B0">
        <w:rPr>
          <w:rFonts w:cs="Arial" w:hint="eastAsia"/>
          <w:szCs w:val="28"/>
        </w:rPr>
        <w:t xml:space="preserve">relatively </w:t>
      </w:r>
      <w:r w:rsidR="00F254B0">
        <w:rPr>
          <w:rFonts w:cs="Arial" w:hint="eastAsia"/>
          <w:szCs w:val="28"/>
        </w:rPr>
        <w:t>even</w:t>
      </w:r>
      <w:r w:rsidR="00274052" w:rsidRPr="00D3760C">
        <w:rPr>
          <w:rFonts w:cs="Arial" w:hint="eastAsia"/>
          <w:szCs w:val="28"/>
        </w:rPr>
        <w:t xml:space="preserve"> </w:t>
      </w:r>
      <w:r w:rsidR="00F254B0" w:rsidRPr="00F254B0">
        <w:rPr>
          <w:rFonts w:cs="Arial"/>
          <w:szCs w:val="28"/>
        </w:rPr>
        <w:t>precipitation</w:t>
      </w:r>
      <w:r w:rsidR="00F254B0">
        <w:rPr>
          <w:rFonts w:cs="Arial" w:hint="eastAsia"/>
          <w:szCs w:val="28"/>
        </w:rPr>
        <w:t xml:space="preserve"> in 2019 </w:t>
      </w:r>
      <w:r w:rsidRPr="00D3760C">
        <w:rPr>
          <w:rFonts w:cs="Arial"/>
          <w:szCs w:val="28"/>
        </w:rPr>
        <w:t xml:space="preserve">(Appendix S1: </w:t>
      </w:r>
      <w:r w:rsidRPr="00D3760C">
        <w:rPr>
          <w:rFonts w:cs="Arial" w:hint="eastAsia"/>
          <w:szCs w:val="28"/>
        </w:rPr>
        <w:t>Fig.</w:t>
      </w:r>
      <w:r w:rsidRPr="00D3760C">
        <w:rPr>
          <w:rFonts w:cs="Arial"/>
          <w:szCs w:val="28"/>
        </w:rPr>
        <w:t xml:space="preserve"> S</w:t>
      </w:r>
      <w:r w:rsidR="00274052" w:rsidRPr="00D3760C">
        <w:rPr>
          <w:rFonts w:cs="Arial" w:hint="eastAsia"/>
          <w:szCs w:val="28"/>
        </w:rPr>
        <w:t>2b</w:t>
      </w:r>
      <w:r w:rsidRPr="00D3760C">
        <w:rPr>
          <w:rFonts w:cs="Arial"/>
          <w:szCs w:val="28"/>
        </w:rPr>
        <w:t>).</w:t>
      </w:r>
      <w:r w:rsidRPr="00D3760C">
        <w:rPr>
          <w:rFonts w:cs="Arial" w:hint="eastAsia"/>
          <w:szCs w:val="28"/>
        </w:rPr>
        <w:t xml:space="preserve"> </w:t>
      </w:r>
      <w:r w:rsidR="007045AC" w:rsidRPr="00E84491">
        <w:rPr>
          <w:rFonts w:cs="Arial" w:hint="eastAsia"/>
          <w:szCs w:val="28"/>
        </w:rPr>
        <w:t>Additionally</w:t>
      </w:r>
      <w:r w:rsidR="00CF5EBA" w:rsidRPr="00E84491">
        <w:rPr>
          <w:rFonts w:cs="Arial" w:hint="eastAsia"/>
          <w:szCs w:val="28"/>
        </w:rPr>
        <w:t xml:space="preserve">, </w:t>
      </w:r>
      <w:r w:rsidR="00CC59DE" w:rsidRPr="00E84491">
        <w:rPr>
          <w:rFonts w:cs="Arial" w:hint="eastAsia"/>
          <w:szCs w:val="28"/>
        </w:rPr>
        <w:t xml:space="preserve">the compositions of rice herbivores at the flowering and ripening stage </w:t>
      </w:r>
      <w:r w:rsidR="007045AC" w:rsidRPr="00E84491">
        <w:rPr>
          <w:rFonts w:cs="Arial" w:hint="eastAsia"/>
          <w:szCs w:val="28"/>
        </w:rPr>
        <w:t>differed</w:t>
      </w:r>
      <w:r w:rsidR="00CC59DE" w:rsidRPr="00E84491">
        <w:rPr>
          <w:rFonts w:cs="Arial" w:hint="eastAsia"/>
          <w:szCs w:val="28"/>
        </w:rPr>
        <w:t xml:space="preserve"> substantially </w:t>
      </w:r>
      <w:r w:rsidR="007045AC" w:rsidRPr="00E84491">
        <w:rPr>
          <w:rFonts w:cs="Arial" w:hint="eastAsia"/>
          <w:szCs w:val="28"/>
        </w:rPr>
        <w:t>among</w:t>
      </w:r>
      <w:r w:rsidR="00F254B0" w:rsidRPr="00E84491">
        <w:rPr>
          <w:rFonts w:cs="Arial" w:hint="eastAsia"/>
          <w:szCs w:val="28"/>
        </w:rPr>
        <w:t xml:space="preserve"> the three years</w:t>
      </w:r>
      <w:r w:rsidR="007045AC" w:rsidRPr="00E84491">
        <w:rPr>
          <w:rFonts w:cs="Arial" w:hint="eastAsia"/>
          <w:szCs w:val="28"/>
        </w:rPr>
        <w:t>, in particular the two most dominant groups leafhopper</w:t>
      </w:r>
      <w:r w:rsidR="00AB3637" w:rsidRPr="00E84491">
        <w:rPr>
          <w:rFonts w:cs="Arial" w:hint="eastAsia"/>
          <w:szCs w:val="28"/>
        </w:rPr>
        <w:t>s</w:t>
      </w:r>
      <w:r w:rsidR="007045AC" w:rsidRPr="00E84491">
        <w:rPr>
          <w:rFonts w:cs="Arial" w:hint="eastAsia"/>
          <w:szCs w:val="28"/>
        </w:rPr>
        <w:t xml:space="preserve"> (</w:t>
      </w:r>
      <w:proofErr w:type="spellStart"/>
      <w:r w:rsidR="007045AC" w:rsidRPr="00E84491">
        <w:rPr>
          <w:rFonts w:cs="Arial"/>
          <w:szCs w:val="28"/>
        </w:rPr>
        <w:t>Cicadellidae</w:t>
      </w:r>
      <w:proofErr w:type="spellEnd"/>
      <w:r w:rsidR="007045AC" w:rsidRPr="00E84491">
        <w:rPr>
          <w:rFonts w:cs="Arial"/>
          <w:szCs w:val="28"/>
        </w:rPr>
        <w:t>/</w:t>
      </w:r>
      <w:proofErr w:type="spellStart"/>
      <w:r w:rsidR="007045AC" w:rsidRPr="00E84491">
        <w:rPr>
          <w:rFonts w:cs="Arial"/>
          <w:i/>
          <w:szCs w:val="28"/>
        </w:rPr>
        <w:t>Nephotettix</w:t>
      </w:r>
      <w:proofErr w:type="spellEnd"/>
      <w:r w:rsidR="007045AC" w:rsidRPr="00E84491">
        <w:rPr>
          <w:rFonts w:cs="Arial" w:hint="eastAsia"/>
          <w:szCs w:val="28"/>
        </w:rPr>
        <w:t xml:space="preserve">) and </w:t>
      </w:r>
      <w:proofErr w:type="spellStart"/>
      <w:r w:rsidR="007045AC" w:rsidRPr="00E84491">
        <w:rPr>
          <w:rFonts w:cs="Arial" w:hint="eastAsia"/>
          <w:szCs w:val="28"/>
        </w:rPr>
        <w:t>planthopper</w:t>
      </w:r>
      <w:r w:rsidR="00AB3637" w:rsidRPr="00E84491">
        <w:rPr>
          <w:rFonts w:cs="Arial" w:hint="eastAsia"/>
          <w:szCs w:val="28"/>
        </w:rPr>
        <w:t>s</w:t>
      </w:r>
      <w:proofErr w:type="spellEnd"/>
      <w:r w:rsidR="007045AC" w:rsidRPr="00E84491">
        <w:rPr>
          <w:rFonts w:cs="Arial" w:hint="eastAsia"/>
          <w:szCs w:val="28"/>
        </w:rPr>
        <w:t xml:space="preserve"> (</w:t>
      </w:r>
      <w:proofErr w:type="spellStart"/>
      <w:r w:rsidR="007045AC" w:rsidRPr="00E84491">
        <w:rPr>
          <w:rFonts w:cs="Arial"/>
          <w:szCs w:val="28"/>
        </w:rPr>
        <w:t>Delphacidae</w:t>
      </w:r>
      <w:proofErr w:type="spellEnd"/>
      <w:r w:rsidR="007045AC" w:rsidRPr="00E84491">
        <w:rPr>
          <w:rFonts w:cs="Arial"/>
          <w:szCs w:val="28"/>
        </w:rPr>
        <w:t>/</w:t>
      </w:r>
      <w:proofErr w:type="spellStart"/>
      <w:r w:rsidR="007045AC" w:rsidRPr="00E84491">
        <w:rPr>
          <w:rFonts w:cs="Arial"/>
          <w:i/>
          <w:szCs w:val="28"/>
        </w:rPr>
        <w:t>Nilaparvata</w:t>
      </w:r>
      <w:proofErr w:type="spellEnd"/>
      <w:r w:rsidR="007045AC" w:rsidRPr="00E84491">
        <w:rPr>
          <w:rFonts w:cs="Arial" w:hint="eastAsia"/>
          <w:szCs w:val="28"/>
        </w:rPr>
        <w:t>)</w:t>
      </w:r>
      <w:r w:rsidR="00CC59DE" w:rsidRPr="00E84491">
        <w:rPr>
          <w:rFonts w:cs="Arial" w:hint="eastAsia"/>
          <w:szCs w:val="28"/>
        </w:rPr>
        <w:t xml:space="preserve"> </w:t>
      </w:r>
      <w:r w:rsidR="00F254B0" w:rsidRPr="00E84491">
        <w:rPr>
          <w:rFonts w:cs="Arial"/>
          <w:szCs w:val="28"/>
        </w:rPr>
        <w:t>(Appendix S1: Table S3</w:t>
      </w:r>
      <w:r w:rsidR="00F254B0" w:rsidRPr="00E84491">
        <w:rPr>
          <w:rFonts w:cs="Arial" w:hint="eastAsia"/>
          <w:szCs w:val="28"/>
        </w:rPr>
        <w:t>)</w:t>
      </w:r>
      <w:r w:rsidR="00E84491">
        <w:rPr>
          <w:rFonts w:cs="Arial" w:hint="eastAsia"/>
          <w:szCs w:val="28"/>
        </w:rPr>
        <w:t xml:space="preserve">. </w:t>
      </w:r>
      <w:r>
        <w:rPr>
          <w:rFonts w:cs="Arial" w:hint="eastAsia"/>
          <w:szCs w:val="28"/>
        </w:rPr>
        <w:t xml:space="preserve">Although the foraging behavior of generalist predators </w:t>
      </w:r>
      <w:r>
        <w:rPr>
          <w:rFonts w:cs="Arial"/>
          <w:szCs w:val="28"/>
        </w:rPr>
        <w:t>could</w:t>
      </w:r>
      <w:r>
        <w:rPr>
          <w:rFonts w:cs="Arial" w:hint="eastAsia"/>
          <w:szCs w:val="28"/>
        </w:rPr>
        <w:t xml:space="preserve"> </w:t>
      </w:r>
      <w:r>
        <w:rPr>
          <w:rFonts w:cs="Arial"/>
          <w:szCs w:val="28"/>
        </w:rPr>
        <w:t>be</w:t>
      </w:r>
      <w:r w:rsidR="00E84491">
        <w:rPr>
          <w:rFonts w:cs="Arial" w:hint="eastAsia"/>
          <w:szCs w:val="28"/>
        </w:rPr>
        <w:t xml:space="preserve"> largely</w:t>
      </w:r>
      <w:r>
        <w:rPr>
          <w:rFonts w:cs="Arial"/>
          <w:szCs w:val="28"/>
        </w:rPr>
        <w:t xml:space="preserve"> influenced by</w:t>
      </w:r>
      <w:r>
        <w:rPr>
          <w:rFonts w:cs="Arial" w:hint="eastAsia"/>
          <w:szCs w:val="28"/>
        </w:rPr>
        <w:t xml:space="preserve"> various</w:t>
      </w:r>
      <w:r>
        <w:rPr>
          <w:rFonts w:cs="Arial"/>
          <w:szCs w:val="28"/>
        </w:rPr>
        <w:t xml:space="preserve"> </w:t>
      </w:r>
      <w:proofErr w:type="spellStart"/>
      <w:r>
        <w:rPr>
          <w:rFonts w:cs="Arial" w:hint="eastAsia"/>
          <w:szCs w:val="28"/>
        </w:rPr>
        <w:t>abiotic</w:t>
      </w:r>
      <w:proofErr w:type="spellEnd"/>
      <w:r>
        <w:rPr>
          <w:rFonts w:cs="Arial" w:hint="eastAsia"/>
          <w:szCs w:val="28"/>
        </w:rPr>
        <w:t xml:space="preserve"> and biotic</w:t>
      </w:r>
      <w:r>
        <w:rPr>
          <w:rFonts w:cs="Arial"/>
          <w:szCs w:val="28"/>
        </w:rPr>
        <w:t xml:space="preserve"> factors </w:t>
      </w:r>
      <w:r w:rsidR="00460FBE">
        <w:rPr>
          <w:rFonts w:cs="Arial"/>
          <w:szCs w:val="28"/>
        </w:rPr>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460FBE">
        <w:rPr>
          <w:rFonts w:cs="Arial"/>
          <w:szCs w:val="28"/>
        </w:rPr>
        <w:fldChar w:fldCharType="separate"/>
      </w:r>
      <w:r>
        <w:rPr>
          <w:rFonts w:cs="Arial"/>
          <w:szCs w:val="28"/>
        </w:rPr>
        <w:t>(Whitney et al. 2018, Eitzinger et al. 2021)</w:t>
      </w:r>
      <w:r w:rsidR="00460FBE">
        <w:rPr>
          <w:rFonts w:cs="Arial"/>
          <w:szCs w:val="28"/>
        </w:rPr>
        <w:fldChar w:fldCharType="end"/>
      </w:r>
      <w:r>
        <w:rPr>
          <w:rFonts w:cs="Arial" w:hint="eastAsia"/>
          <w:szCs w:val="28"/>
        </w:rPr>
        <w:t>, our results suggest that their</w:t>
      </w:r>
      <w:r>
        <w:rPr>
          <w:rFonts w:cs="Arial"/>
          <w:szCs w:val="28"/>
        </w:rPr>
        <w:t xml:space="preserve"> feeding habits </w:t>
      </w:r>
      <w:r>
        <w:rPr>
          <w:rFonts w:cs="Arial" w:hint="eastAsia"/>
          <w:szCs w:val="28"/>
        </w:rPr>
        <w:t>might</w:t>
      </w:r>
      <w:r>
        <w:rPr>
          <w:rFonts w:cs="Arial"/>
          <w:szCs w:val="28"/>
        </w:rPr>
        <w:t xml:space="preserve"> not be as variable and unpredictable as previously thought</w:t>
      </w:r>
      <w:r>
        <w:rPr>
          <w:rFonts w:cs="Arial" w:hint="eastAsia"/>
          <w:szCs w:val="28"/>
        </w:rPr>
        <w:t>.</w:t>
      </w:r>
      <w:r>
        <w:rPr>
          <w:rFonts w:cs="Arial"/>
          <w:szCs w:val="28"/>
        </w:rPr>
        <w:t xml:space="preserve"> </w:t>
      </w:r>
      <w:r>
        <w:rPr>
          <w:rFonts w:cs="Arial" w:hint="eastAsia"/>
          <w:szCs w:val="28"/>
        </w:rPr>
        <w:t xml:space="preserve">Such consistency in </w:t>
      </w:r>
      <w:r>
        <w:rPr>
          <w:rFonts w:cs="Arial"/>
          <w:szCs w:val="28"/>
        </w:rPr>
        <w:t xml:space="preserve">generalist predators’ </w:t>
      </w:r>
      <w:r>
        <w:rPr>
          <w:rFonts w:cs="Arial" w:hint="eastAsia"/>
          <w:szCs w:val="28"/>
        </w:rPr>
        <w:t xml:space="preserve">dietary patterns across years </w:t>
      </w:r>
      <w:r>
        <w:rPr>
          <w:rFonts w:cs="Arial"/>
          <w:szCs w:val="28"/>
        </w:rPr>
        <w:t>hints</w:t>
      </w:r>
      <w:r>
        <w:rPr>
          <w:rFonts w:cs="Arial" w:hint="eastAsia"/>
          <w:szCs w:val="28"/>
        </w:rPr>
        <w:t xml:space="preserve"> </w:t>
      </w:r>
      <w:r>
        <w:rPr>
          <w:rFonts w:cs="Arial"/>
          <w:szCs w:val="28"/>
        </w:rPr>
        <w:t xml:space="preserve">at their stable and reliable top-down </w:t>
      </w:r>
      <w:r>
        <w:rPr>
          <w:rFonts w:cs="Arial" w:hint="eastAsia"/>
          <w:szCs w:val="28"/>
        </w:rPr>
        <w:t>effect</w:t>
      </w:r>
      <w:r w:rsidR="00E84491">
        <w:rPr>
          <w:rFonts w:cs="Arial" w:hint="eastAsia"/>
          <w:szCs w:val="28"/>
        </w:rPr>
        <w:t>s</w:t>
      </w:r>
      <w:r>
        <w:rPr>
          <w:rFonts w:cs="Arial"/>
          <w:szCs w:val="28"/>
        </w:rPr>
        <w:t xml:space="preserve"> on pest herbivores</w:t>
      </w:r>
      <w:r>
        <w:rPr>
          <w:rFonts w:cs="Arial" w:hint="eastAsia"/>
          <w:szCs w:val="28"/>
        </w:rPr>
        <w:t>, offer</w:t>
      </w:r>
      <w:r>
        <w:rPr>
          <w:rFonts w:cs="Arial"/>
          <w:szCs w:val="28"/>
        </w:rPr>
        <w:t>ing</w:t>
      </w:r>
      <w:r>
        <w:rPr>
          <w:rFonts w:cs="Arial" w:hint="eastAsia"/>
          <w:szCs w:val="28"/>
        </w:rPr>
        <w:t xml:space="preserve"> a </w:t>
      </w:r>
      <w:r>
        <w:rPr>
          <w:rFonts w:cs="Arial"/>
          <w:szCs w:val="28"/>
        </w:rPr>
        <w:t>promising</w:t>
      </w:r>
      <w:r>
        <w:rPr>
          <w:rFonts w:cs="Arial" w:hint="eastAsia"/>
          <w:szCs w:val="28"/>
        </w:rPr>
        <w:t xml:space="preserve"> opportunity for </w:t>
      </w:r>
      <w:r>
        <w:rPr>
          <w:rFonts w:cs="Arial"/>
          <w:szCs w:val="28"/>
        </w:rPr>
        <w:t>practitioner</w:t>
      </w:r>
      <w:r>
        <w:rPr>
          <w:rFonts w:cs="Arial" w:hint="eastAsia"/>
          <w:szCs w:val="28"/>
        </w:rPr>
        <w:t xml:space="preserve">s to incorporate </w:t>
      </w:r>
      <w:r>
        <w:rPr>
          <w:rFonts w:cs="Arial"/>
          <w:szCs w:val="28"/>
        </w:rPr>
        <w:t>these</w:t>
      </w:r>
      <w:r>
        <w:rPr>
          <w:rFonts w:cs="Arial" w:hint="eastAsia"/>
          <w:szCs w:val="28"/>
        </w:rPr>
        <w:t xml:space="preserve"> predators as </w:t>
      </w:r>
      <w:proofErr w:type="spellStart"/>
      <w:r>
        <w:rPr>
          <w:rFonts w:cs="Arial" w:hint="eastAsia"/>
          <w:szCs w:val="28"/>
        </w:rPr>
        <w:t>biocontrol</w:t>
      </w:r>
      <w:proofErr w:type="spellEnd"/>
      <w:r>
        <w:rPr>
          <w:rFonts w:cs="Arial" w:hint="eastAsia"/>
          <w:szCs w:val="28"/>
        </w:rPr>
        <w:t xml:space="preserve"> agents in pest management programs.</w:t>
      </w:r>
    </w:p>
    <w:p w:rsidR="00460FBE" w:rsidRDefault="00D0138C">
      <w:pPr>
        <w:rPr>
          <w:rFonts w:cs="Arial"/>
          <w:szCs w:val="28"/>
        </w:rPr>
      </w:pPr>
      <w:r>
        <w:rPr>
          <w:rFonts w:cs="Arial" w:hint="eastAsia"/>
          <w:szCs w:val="28"/>
        </w:rPr>
        <w:tab/>
      </w:r>
    </w:p>
    <w:p w:rsidR="00460FBE" w:rsidRDefault="00D0138C">
      <w:pPr>
        <w:jc w:val="center"/>
        <w:rPr>
          <w:rFonts w:cs="Arial"/>
          <w:i/>
          <w:szCs w:val="28"/>
        </w:rPr>
      </w:pPr>
      <w:r>
        <w:rPr>
          <w:rFonts w:cs="Arial"/>
          <w:i/>
          <w:szCs w:val="28"/>
        </w:rPr>
        <w:t>Factors associated with pest consumption by predators</w:t>
      </w:r>
    </w:p>
    <w:p w:rsidR="00460FBE" w:rsidRDefault="00D0138C">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rsidR="00460FBE" w:rsidRDefault="00D0138C">
      <w:pPr>
        <w:ind w:firstLine="720"/>
        <w:rPr>
          <w:rFonts w:cs="Arial"/>
          <w:szCs w:val="28"/>
        </w:rPr>
      </w:pPr>
      <w:r>
        <w:rPr>
          <w:rFonts w:cs="Arial" w:hint="eastAsia"/>
          <w:szCs w:val="28"/>
        </w:rPr>
        <w:lastRenderedPageBreak/>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Previous studies have shown that organic farming generally promotes arthropod diversity in the farms </w:t>
      </w:r>
      <w:r w:rsidR="00460FBE">
        <w:rPr>
          <w:rFonts w:cs="Arial"/>
          <w:szCs w:val="28"/>
        </w:rPr>
        <w:fldChar w:fldCharType="begin"/>
      </w:r>
      <w:r>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Pr>
          <w:rFonts w:ascii="Cambria Math" w:hAnsi="Cambria Math" w:cs="Cambria Math"/>
          <w:szCs w:val="28"/>
        </w:rPr>
        <w:instrText>‐</w:instrText>
      </w:r>
      <w:r>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w:instrText>
      </w:r>
      <w:r>
        <w:rPr>
          <w:rFonts w:cs="Arial"/>
          <w:szCs w:val="28"/>
        </w:rPr>
        <w:instrText>CHRISTIN&lt;/author&gt;&lt;/authors&gt;&lt;/contributors&gt;&lt;titles&gt;&lt;title&gt;The effects of organic agriculture on biodiversity and abundance: a meta</w:instrText>
      </w:r>
      <w:r>
        <w:rPr>
          <w:rFonts w:ascii="Cambria Math" w:hAnsi="Cambria Math" w:cs="Cambria Math"/>
          <w:szCs w:val="28"/>
        </w:rPr>
        <w:instrText>‐</w:instrText>
      </w:r>
      <w:r>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460FBE">
        <w:rPr>
          <w:rFonts w:cs="Arial"/>
          <w:szCs w:val="28"/>
        </w:rPr>
        <w:fldChar w:fldCharType="separate"/>
      </w:r>
      <w:r>
        <w:rPr>
          <w:rFonts w:cs="Arial"/>
          <w:szCs w:val="28"/>
        </w:rPr>
        <w:t>(Bengtsson et al. 2005, Lichtenberg et al. 2017)</w:t>
      </w:r>
      <w:r w:rsidR="00460FBE">
        <w:rPr>
          <w:rFonts w:cs="Arial"/>
          <w:szCs w:val="28"/>
        </w:rPr>
        <w:fldChar w:fldCharType="end"/>
      </w:r>
      <w:r>
        <w:rPr>
          <w:rFonts w:cs="Arial"/>
          <w:szCs w:val="28"/>
        </w:rPr>
        <w:t xml:space="preserve">. Such increase in prey availability may distract predators from feeding on target species and thus result in lower consumption of pests </w:t>
      </w:r>
      <w:r w:rsidR="00460FBE">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460FBE">
        <w:rPr>
          <w:rFonts w:cs="Arial"/>
          <w:szCs w:val="28"/>
        </w:rPr>
        <w:fldChar w:fldCharType="separate"/>
      </w:r>
      <w:r>
        <w:rPr>
          <w:rFonts w:cs="Arial"/>
          <w:szCs w:val="28"/>
        </w:rPr>
        <w:t>(Birkhofer et al. 2008b)</w:t>
      </w:r>
      <w:r w:rsidR="00460FBE">
        <w:rPr>
          <w:rFonts w:cs="Arial"/>
          <w:szCs w:val="28"/>
        </w:rPr>
        <w:fldChar w:fldCharType="end"/>
      </w:r>
      <w:r>
        <w:rPr>
          <w:rFonts w:cs="Arial"/>
          <w:szCs w:val="28"/>
        </w:rPr>
        <w:t xml:space="preserve">. Another possibility is that conventional farming may cause higher pest densities </w:t>
      </w:r>
      <w:r w:rsidR="00460FBE">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460FBE">
        <w:rPr>
          <w:rFonts w:cs="Arial"/>
          <w:szCs w:val="28"/>
        </w:rPr>
        <w:fldChar w:fldCharType="separate"/>
      </w:r>
      <w:r>
        <w:rPr>
          <w:rFonts w:cs="Arial"/>
          <w:szCs w:val="28"/>
        </w:rPr>
        <w:t>(Porcel et al. 2018)</w:t>
      </w:r>
      <w:r w:rsidR="00460FBE">
        <w:rPr>
          <w:rFonts w:cs="Arial"/>
          <w:szCs w:val="28"/>
        </w:rPr>
        <w:fldChar w:fldCharType="end"/>
      </w:r>
      <w:r>
        <w:rPr>
          <w:rFonts w:cs="Arial"/>
          <w:szCs w:val="28"/>
        </w:rPr>
        <w:t xml:space="preserve">, thus increasing pest consumption in predators’ diet owning to higher encounter rates. This explanation is partly supported by the observed </w:t>
      </w:r>
      <w:commentRangeStart w:id="1"/>
      <w:r>
        <w:rPr>
          <w:rFonts w:cs="Arial"/>
          <w:szCs w:val="28"/>
        </w:rPr>
        <w:t xml:space="preserve">higher relative abundance of rice herbivores </w:t>
      </w:r>
      <w:commentRangeEnd w:id="1"/>
      <w:r>
        <w:rPr>
          <w:rStyle w:val="a5"/>
        </w:rPr>
        <w:commentReference w:id="1"/>
      </w:r>
      <w:r>
        <w:rPr>
          <w:rFonts w:cs="Arial"/>
          <w:szCs w:val="28"/>
        </w:rPr>
        <w:t>in conventional farms based on our sweep net samples in 2018 and 2019 (Fig. 3b</w:t>
      </w:r>
      <w:r>
        <w:rPr>
          <w:rFonts w:cs="Arial" w:hint="eastAsia"/>
          <w:szCs w:val="28"/>
        </w:rPr>
        <w:t>,</w:t>
      </w:r>
      <w:r>
        <w:rPr>
          <w:rFonts w:cs="Arial"/>
          <w:szCs w:val="28"/>
        </w:rPr>
        <w:t xml:space="preserve"> c). Our results highlight the high potential of using generalist arthropod predators as </w:t>
      </w:r>
      <w:proofErr w:type="spellStart"/>
      <w:r>
        <w:rPr>
          <w:rFonts w:cs="Arial"/>
          <w:szCs w:val="28"/>
        </w:rPr>
        <w:t>biocontrol</w:t>
      </w:r>
      <w:proofErr w:type="spellEnd"/>
      <w:r>
        <w:rPr>
          <w:rFonts w:cs="Arial"/>
          <w:szCs w:val="28"/>
        </w:rPr>
        <w:t xml:space="preserve"> agents in conventional farming systems. Further investigation in various agricultural systems is needed to test the generality of higher consumption of crop herbivores (pests) in the diet of predators, as well as the mechanisms underlying such patterns.</w:t>
      </w:r>
    </w:p>
    <w:p w:rsidR="00460FBE" w:rsidRDefault="00D0138C">
      <w:pPr>
        <w:ind w:firstLine="720"/>
        <w:rPr>
          <w:rFonts w:cs="Arial"/>
          <w:szCs w:val="28"/>
        </w:rPr>
      </w:pPr>
      <w:r>
        <w:rPr>
          <w:rFonts w:cs="Arial"/>
          <w:color w:val="FF0000"/>
          <w:szCs w:val="28"/>
        </w:rPr>
        <w:t>2) Increasing pest consumption &gt; value &gt; mechanism</w:t>
      </w:r>
      <w:r>
        <w:rPr>
          <w:rFonts w:cs="Arial"/>
          <w:szCs w:val="28"/>
        </w:rPr>
        <w:t xml:space="preserve"> </w:t>
      </w:r>
    </w:p>
    <w:p w:rsidR="00460FBE" w:rsidRDefault="00D0138C">
      <w:pPr>
        <w:ind w:firstLine="720"/>
        <w:rPr>
          <w:rFonts w:cs="Arial"/>
          <w:color w:val="0070C0"/>
          <w:szCs w:val="28"/>
        </w:rPr>
      </w:pPr>
      <w:r>
        <w:rPr>
          <w:rFonts w:cs="Arial"/>
          <w:szCs w:val="28"/>
        </w:rPr>
        <w:t xml:space="preserve">Pest consumption by predators increased from the </w:t>
      </w:r>
      <w:proofErr w:type="spellStart"/>
      <w:r>
        <w:rPr>
          <w:rFonts w:cs="Arial"/>
          <w:szCs w:val="28"/>
        </w:rPr>
        <w:t>tillering</w:t>
      </w:r>
      <w:proofErr w:type="spellEnd"/>
      <w:r>
        <w:rPr>
          <w:rFonts w:cs="Arial"/>
          <w:szCs w:val="28"/>
        </w:rPr>
        <w:t xml:space="preserve"> to the ripening stage (Fig. 2; Table 3), consistent with previous studies showing that predators consumed more pests in the diet over the crop season </w:t>
      </w:r>
      <w:r w:rsidR="00460FBE">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rPr>
          <w:rFonts w:cs="Arial"/>
          <w:szCs w:val="28"/>
        </w:rPr>
        <w:fldChar w:fldCharType="separate"/>
      </w:r>
      <w:r>
        <w:rPr>
          <w:rFonts w:cs="Arial"/>
          <w:szCs w:val="28"/>
        </w:rPr>
        <w:t>(Roubinet et al. 2017, Hsu et al. 2021)</w:t>
      </w:r>
      <w:r w:rsidR="00460FBE">
        <w:rPr>
          <w:rFonts w:cs="Arial"/>
          <w:szCs w:val="28"/>
        </w:rPr>
        <w:fldChar w:fldCharType="end"/>
      </w:r>
      <w:r>
        <w:rPr>
          <w:rFonts w:cs="Arial" w:hint="eastAsia"/>
          <w:szCs w:val="28"/>
        </w:rPr>
        <w:t>.</w:t>
      </w:r>
      <w:r>
        <w:rPr>
          <w:rFonts w:cs="Arial"/>
          <w:szCs w:val="28"/>
        </w:rPr>
        <w:t xml:space="preserve"> There were not many rice herbivores in our study farms at the early crop stage (Fig. 2). As a result, </w:t>
      </w:r>
      <w:r>
        <w:rPr>
          <w:rFonts w:cs="Arial"/>
          <w:szCs w:val="28"/>
        </w:rPr>
        <w:lastRenderedPageBreak/>
        <w:t xml:space="preserve">the proportion of these herbivores in predators’ diet was relatively low. Through the development of rice plants, rice herbivore populations rose and predominated at the ripening stage (Fig. 2), leading to high pest consumption by predators during this period. These findings suggest a higher </w:t>
      </w:r>
      <w:proofErr w:type="spellStart"/>
      <w:r>
        <w:rPr>
          <w:rFonts w:cs="Arial"/>
          <w:szCs w:val="28"/>
        </w:rPr>
        <w:t>biocontrol</w:t>
      </w:r>
      <w:proofErr w:type="spellEnd"/>
      <w:r>
        <w:rPr>
          <w:rFonts w:cs="Arial"/>
          <w:szCs w:val="28"/>
        </w:rPr>
        <w:t xml:space="preserve"> value of predators during later crop season, when the crop production is most vulnerable to pest damage. Therefore, farm management (e.g., chemical applications) that could potentially impact predator populations should be minimized during later season to maintain healthy populations of predators in the field.</w:t>
      </w:r>
    </w:p>
    <w:p w:rsidR="00460FBE" w:rsidRDefault="00D0138C">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rsidR="00460FBE" w:rsidRDefault="00D0138C">
      <w:pPr>
        <w:rPr>
          <w:rFonts w:cs="Arial"/>
          <w:color w:val="0070C0"/>
          <w:szCs w:val="28"/>
        </w:rPr>
      </w:pPr>
      <w:r>
        <w:rPr>
          <w:rFonts w:cs="Arial" w:hint="eastAsia"/>
          <w:szCs w:val="28"/>
        </w:rPr>
        <w:tab/>
        <w:t xml:space="preserve">Habitat structure plays critical roles in governing the </w:t>
      </w:r>
      <w:proofErr w:type="spellStart"/>
      <w:r>
        <w:rPr>
          <w:rFonts w:cs="Arial" w:hint="eastAsia"/>
          <w:szCs w:val="28"/>
        </w:rPr>
        <w:t>trophic</w:t>
      </w:r>
      <w:proofErr w:type="spellEnd"/>
      <w:r>
        <w:rPr>
          <w:rFonts w:cs="Arial" w:hint="eastAsia"/>
          <w:szCs w:val="28"/>
        </w:rPr>
        <w:t xml:space="preserve"> dynamics of terrestrial arthropods </w:t>
      </w:r>
      <w:r w:rsidR="00460FBE">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460FBE">
        <w:rPr>
          <w:rFonts w:cs="Arial"/>
          <w:szCs w:val="28"/>
        </w:rPr>
        <w:fldChar w:fldCharType="separate"/>
      </w:r>
      <w:r>
        <w:rPr>
          <w:rFonts w:cs="Arial"/>
          <w:szCs w:val="28"/>
        </w:rPr>
        <w:t>(Barbosa and Castellanos 2005)</w:t>
      </w:r>
      <w:r w:rsidR="00460FBE">
        <w:rPr>
          <w:rFonts w:cs="Arial"/>
          <w:szCs w:val="28"/>
        </w:rPr>
        <w:fldChar w:fldCharType="end"/>
      </w:r>
      <w:r>
        <w:rPr>
          <w:rFonts w:cs="Arial" w:hint="eastAsia"/>
          <w:szCs w:val="28"/>
        </w:rPr>
        <w:t xml:space="preserve">. Higher vegetation complexity in the surrounding landscape could promote the abundance and diversity of natural enemies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as well as providing refuge from intra-guild predation</w:t>
      </w:r>
      <w:r>
        <w:rPr>
          <w:rFonts w:cs="Arial"/>
          <w:szCs w:val="28"/>
        </w:rPr>
        <w:t xml:space="preserve"> </w:t>
      </w:r>
      <w:r w:rsidR="00460FBE">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460FBE">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(Langellotto and Denno 2004, Sanders et al. 2008, Diehl et al. 2013)</w:t>
      </w:r>
      <w:r w:rsidR="00460FBE">
        <w:rPr>
          <w:rFonts w:cs="Arial"/>
          <w:szCs w:val="28"/>
        </w:rPr>
        <w:fldChar w:fldCharType="end"/>
      </w:r>
      <w:r>
        <w:rPr>
          <w:rFonts w:cs="Arial" w:hint="eastAsia"/>
          <w:szCs w:val="28"/>
        </w:rPr>
        <w:t xml:space="preserve">. </w:t>
      </w:r>
      <w:r>
        <w:rPr>
          <w:rFonts w:cs="Arial"/>
          <w:szCs w:val="28"/>
        </w:rPr>
        <w:t xml:space="preserve">However, </w:t>
      </w:r>
      <w:r>
        <w:rPr>
          <w:rFonts w:cs="Arial" w:hint="eastAsia"/>
          <w:szCs w:val="28"/>
        </w:rPr>
        <w:t xml:space="preserve">our results showed that </w:t>
      </w:r>
      <w:r>
        <w:rPr>
          <w:rFonts w:cs="Arial"/>
          <w:szCs w:val="28"/>
        </w:rPr>
        <w:t xml:space="preserve">pest consumption by predators was not </w:t>
      </w:r>
      <w:r>
        <w:rPr>
          <w:rFonts w:cs="Arial" w:hint="eastAsia"/>
          <w:szCs w:val="28"/>
        </w:rPr>
        <w:t>related to</w:t>
      </w:r>
      <w:r>
        <w:rPr>
          <w:rFonts w:cs="Arial"/>
          <w:szCs w:val="28"/>
        </w:rPr>
        <w:t xml:space="preserve"> the </w:t>
      </w:r>
      <w:r>
        <w:rPr>
          <w:rFonts w:cs="Arial" w:hint="eastAsia"/>
          <w:szCs w:val="28"/>
        </w:rPr>
        <w:t>vegetated area</w:t>
      </w:r>
      <w:r>
        <w:rPr>
          <w:rFonts w:cs="Arial"/>
          <w:szCs w:val="28"/>
        </w:rPr>
        <w:t xml:space="preserve"> </w:t>
      </w:r>
      <w:r>
        <w:rPr>
          <w:rFonts w:cs="Arial" w:hint="eastAsia"/>
          <w:szCs w:val="28"/>
        </w:rPr>
        <w:t xml:space="preserve">(percent forest </w:t>
      </w:r>
      <w:r>
        <w:rPr>
          <w:rFonts w:cs="Arial"/>
          <w:szCs w:val="28"/>
        </w:rPr>
        <w:t>cover</w:t>
      </w:r>
      <w:r>
        <w:rPr>
          <w:rFonts w:cs="Arial" w:hint="eastAsia"/>
          <w:szCs w:val="28"/>
        </w:rPr>
        <w:t>)</w:t>
      </w:r>
      <w:r>
        <w:rPr>
          <w:rFonts w:cs="Arial"/>
          <w:szCs w:val="28"/>
        </w:rPr>
        <w:t xml:space="preserve"> surrounding the farms</w:t>
      </w:r>
      <w:r>
        <w:rPr>
          <w:rFonts w:cs="Arial" w:hint="eastAsia"/>
          <w:szCs w:val="28"/>
        </w:rPr>
        <w:t xml:space="preserve">. In fact, a meta-analysis reveals no </w:t>
      </w:r>
      <w:r>
        <w:rPr>
          <w:rFonts w:cs="Arial"/>
          <w:szCs w:val="28"/>
        </w:rPr>
        <w:t xml:space="preserve">significant </w:t>
      </w:r>
      <w:r>
        <w:rPr>
          <w:rFonts w:cs="Arial" w:hint="eastAsia"/>
          <w:szCs w:val="28"/>
        </w:rPr>
        <w:t>changes in</w:t>
      </w:r>
      <w:r>
        <w:rPr>
          <w:rFonts w:cs="Arial"/>
          <w:szCs w:val="28"/>
        </w:rPr>
        <w:t xml:space="preserve"> </w:t>
      </w:r>
      <w:r>
        <w:rPr>
          <w:rFonts w:cs="Arial" w:hint="eastAsia"/>
          <w:szCs w:val="28"/>
        </w:rPr>
        <w:t>p</w:t>
      </w:r>
      <w:r>
        <w:rPr>
          <w:rFonts w:cs="Arial"/>
          <w:szCs w:val="28"/>
        </w:rPr>
        <w:t>otential prey</w:t>
      </w:r>
      <w:r>
        <w:rPr>
          <w:rFonts w:cs="Arial" w:hint="eastAsia"/>
          <w:szCs w:val="28"/>
        </w:rPr>
        <w:t xml:space="preserve"> (crop herbivore) density in agricultural fields</w:t>
      </w:r>
      <w:r>
        <w:rPr>
          <w:rFonts w:cs="Arial"/>
          <w:szCs w:val="28"/>
        </w:rPr>
        <w:t xml:space="preserve"> </w:t>
      </w:r>
      <w:r>
        <w:rPr>
          <w:rFonts w:cs="Arial" w:hint="eastAsia"/>
          <w:szCs w:val="28"/>
        </w:rPr>
        <w:t xml:space="preserve">in response to </w:t>
      </w:r>
      <w:r>
        <w:rPr>
          <w:rFonts w:cs="Arial"/>
          <w:szCs w:val="28"/>
        </w:rPr>
        <w:t xml:space="preserve">habitat complexity </w:t>
      </w:r>
      <w:r w:rsidR="00460FBE">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460FBE">
        <w:rPr>
          <w:rFonts w:cs="Arial"/>
          <w:szCs w:val="28"/>
        </w:rPr>
        <w:fldChar w:fldCharType="separate"/>
      </w:r>
      <w:r>
        <w:rPr>
          <w:rFonts w:cs="Arial"/>
          <w:szCs w:val="28"/>
        </w:rPr>
        <w:t>(Langellotto and Denno 2004)</w:t>
      </w:r>
      <w:r w:rsidR="00460FBE">
        <w:rPr>
          <w:rFonts w:cs="Arial"/>
          <w:szCs w:val="28"/>
        </w:rPr>
        <w:fldChar w:fldCharType="end"/>
      </w:r>
      <w:r>
        <w:rPr>
          <w:rFonts w:cs="Arial" w:hint="eastAsia"/>
          <w:szCs w:val="28"/>
        </w:rPr>
        <w:t>. Consequently, we speculate that the lack of vegetation effects in our study may be partly due to no difference in prey availability, which ultimately determines the diet compositions of generalist predators. Increasing surrounding vegetation complexity may benefit pest control through enhancing overall predator density and diversity but not per capita pest consumption by predator.</w:t>
      </w:r>
    </w:p>
    <w:p w:rsidR="00460FBE" w:rsidRDefault="00D0138C">
      <w:pPr>
        <w:rPr>
          <w:rFonts w:cs="Arial"/>
          <w:color w:val="FF0000"/>
          <w:szCs w:val="28"/>
        </w:rPr>
      </w:pPr>
      <w:r>
        <w:rPr>
          <w:rFonts w:cs="Arial" w:hint="eastAsia"/>
          <w:color w:val="FF0000"/>
          <w:szCs w:val="28"/>
        </w:rPr>
        <w:lastRenderedPageBreak/>
        <w:tab/>
      </w:r>
      <w:r>
        <w:rPr>
          <w:rFonts w:cs="Arial"/>
          <w:color w:val="FF0000"/>
          <w:szCs w:val="28"/>
        </w:rPr>
        <w:t xml:space="preserve">4) No relationship between pest abundance and pest consumption &gt; value &gt; mechanism </w:t>
      </w:r>
    </w:p>
    <w:p w:rsidR="00460FBE" w:rsidRDefault="00D0138C">
      <w:pPr>
        <w:rPr>
          <w:rFonts w:cs="Arial"/>
          <w:szCs w:val="28"/>
        </w:rPr>
      </w:pPr>
      <w:r>
        <w:rPr>
          <w:rFonts w:cs="Arial" w:hint="eastAsia"/>
          <w:szCs w:val="28"/>
        </w:rPr>
        <w:tab/>
        <w:t xml:space="preserve">Surprisingly, the beta regression model </w:t>
      </w:r>
      <w:r>
        <w:rPr>
          <w:rFonts w:cs="Arial"/>
          <w:szCs w:val="28"/>
        </w:rPr>
        <w:t>suggest</w:t>
      </w:r>
      <w:r>
        <w:rPr>
          <w:rFonts w:cs="Arial" w:hint="eastAsia"/>
          <w:szCs w:val="28"/>
        </w:rPr>
        <w:t xml:space="preserve">s no effect of the relative </w:t>
      </w:r>
      <w:r>
        <w:rPr>
          <w:rFonts w:cs="Arial"/>
          <w:szCs w:val="28"/>
        </w:rPr>
        <w:t>abundance</w:t>
      </w:r>
      <w:r>
        <w:rPr>
          <w:rFonts w:cs="Arial" w:hint="eastAsia"/>
          <w:szCs w:val="28"/>
        </w:rPr>
        <w:t xml:space="preserve"> of rice herbivores in the field on the proportion of these herbivores consumed in predators</w:t>
      </w:r>
      <w:r>
        <w:rPr>
          <w:rFonts w:cs="Arial"/>
          <w:szCs w:val="28"/>
        </w:rPr>
        <w:t>’</w:t>
      </w:r>
      <w:r>
        <w:rPr>
          <w:rFonts w:cs="Arial" w:hint="eastAsia"/>
          <w:szCs w:val="28"/>
        </w:rPr>
        <w:t xml:space="preserve"> diet (Table 1). Although the feeding habits and diet compositions of generalist predators could be largely influenced by the prey availability in the habitat </w:t>
      </w:r>
      <w:r w:rsidR="00460FBE">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 </w:instrText>
      </w:r>
      <w:r w:rsidR="00460FBE">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(Madsen et al. 2004, Wise et al. 2006, Hsu et al. 2021)</w:t>
      </w:r>
      <w:r w:rsidR="00460FBE">
        <w:rPr>
          <w:rFonts w:cs="Arial"/>
          <w:szCs w:val="28"/>
        </w:rPr>
        <w:fldChar w:fldCharType="end"/>
      </w:r>
      <w:r>
        <w:rPr>
          <w:rFonts w:cs="Arial" w:hint="eastAsia"/>
          <w:szCs w:val="28"/>
        </w:rPr>
        <w:t xml:space="preserve">, we failed to detect such </w:t>
      </w:r>
      <w:r>
        <w:rPr>
          <w:rFonts w:cs="Arial"/>
          <w:szCs w:val="28"/>
        </w:rPr>
        <w:t>effect</w:t>
      </w:r>
      <w:r>
        <w:rPr>
          <w:rFonts w:cs="Arial" w:hint="eastAsia"/>
          <w:szCs w:val="28"/>
        </w:rPr>
        <w:t xml:space="preserve"> in our analysis. An </w:t>
      </w:r>
      <w:r>
        <w:rPr>
          <w:rFonts w:cs="Arial"/>
          <w:szCs w:val="28"/>
        </w:rPr>
        <w:t>explanation</w:t>
      </w:r>
      <w:r>
        <w:rPr>
          <w:rFonts w:cs="Arial" w:hint="eastAsia"/>
          <w:szCs w:val="28"/>
        </w:rPr>
        <w:t xml:space="preserve"> for this is that the relative abundance of rice herbivore was highly related to crop stage, which was also included as a factor in the model (Fig. 3). This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More experiments, both observational and manipulative, are needed to clarify the link between prey availability and diet compositions of generalist predators in the field and to shed light on the potential mechanisms underlying the foraging patterns of predators.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p>
    <w:p w:rsidR="00460FBE" w:rsidRDefault="00460FBE">
      <w:pPr>
        <w:rPr>
          <w:rFonts w:cs="Arial"/>
          <w:i/>
          <w:szCs w:val="28"/>
        </w:rPr>
      </w:pPr>
    </w:p>
    <w:p w:rsidR="00460FBE" w:rsidRDefault="00D0138C">
      <w:pPr>
        <w:jc w:val="center"/>
        <w:rPr>
          <w:rFonts w:cs="Arial"/>
          <w:i/>
          <w:szCs w:val="28"/>
        </w:rPr>
      </w:pPr>
      <w:r>
        <w:rPr>
          <w:rFonts w:cs="Arial"/>
          <w:i/>
          <w:szCs w:val="28"/>
        </w:rPr>
        <w:t>Potential caveats</w:t>
      </w:r>
      <w:r>
        <w:rPr>
          <w:rFonts w:cs="Arial" w:hint="eastAsia"/>
          <w:i/>
          <w:szCs w:val="28"/>
        </w:rPr>
        <w:t xml:space="preserve"> and limitations</w:t>
      </w:r>
    </w:p>
    <w:p w:rsidR="00460FBE" w:rsidRDefault="00D0138C">
      <w:pPr>
        <w:rPr>
          <w:rFonts w:cs="Arial"/>
          <w:szCs w:val="28"/>
        </w:rPr>
      </w:pPr>
      <w:r>
        <w:rPr>
          <w:rFonts w:cs="Arial" w:hint="eastAsia"/>
          <w:szCs w:val="28"/>
        </w:rPr>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potential factors that may influence </w:t>
      </w:r>
      <w:r>
        <w:rPr>
          <w:rFonts w:cs="Arial"/>
          <w:szCs w:val="28"/>
        </w:rPr>
        <w:lastRenderedPageBreak/>
        <w:t xml:space="preserve">predators’ dietary patterns, providing more convincing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460FBE">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460FBE">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(Duelli and Obrist 2003, Letourneau et al. 2009, Rusch et al. 2016)</w:t>
      </w:r>
      <w:r w:rsidR="00460FBE">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460FBE">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460FBE">
        <w:rPr>
          <w:rFonts w:cs="Arial"/>
          <w:szCs w:val="28"/>
        </w:rPr>
        <w:fldChar w:fldCharType="separate"/>
      </w:r>
      <w:r>
        <w:rPr>
          <w:rFonts w:cs="Arial"/>
          <w:szCs w:val="28"/>
        </w:rPr>
        <w:t>(Straub et al. 2008)</w:t>
      </w:r>
      <w:r w:rsidR="00460FBE">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460FBE">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460FBE">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(Michalko et al. 2019a)</w:t>
      </w:r>
      <w:r w:rsidR="00460FBE">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460FBE">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460FBE">
        <w:rPr>
          <w:rFonts w:cs="Arial"/>
          <w:szCs w:val="28"/>
        </w:rPr>
        <w:fldChar w:fldCharType="separate"/>
      </w:r>
      <w:r>
        <w:rPr>
          <w:rFonts w:cs="Arial"/>
          <w:szCs w:val="28"/>
        </w:rPr>
        <w:t>(Finke and Denno 2006, Janssen et al. 2007)</w:t>
      </w:r>
      <w:r w:rsidR="00460FBE">
        <w:rPr>
          <w:rFonts w:cs="Arial"/>
          <w:szCs w:val="28"/>
        </w:rPr>
        <w:fldChar w:fldCharType="end"/>
      </w:r>
      <w:r>
        <w:rPr>
          <w:rFonts w:cs="Arial"/>
          <w:szCs w:val="28"/>
        </w:rPr>
        <w:t xml:space="preserve">. </w:t>
      </w:r>
      <w:r>
        <w:rPr>
          <w:rFonts w:cs="Arial" w:hint="eastAsia"/>
          <w:szCs w:val="28"/>
        </w:rPr>
        <w:t xml:space="preserve">Such effects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460FBE">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460FBE">
        <w:rPr>
          <w:rFonts w:cs="Arial"/>
          <w:szCs w:val="28"/>
        </w:rPr>
        <w:fldChar w:fldCharType="separate"/>
      </w:r>
      <w:r>
        <w:rPr>
          <w:rFonts w:cs="Arial"/>
          <w:szCs w:val="28"/>
        </w:rPr>
        <w:t>(Janssen et al. 2006)</w:t>
      </w:r>
      <w:r w:rsidR="00460FBE">
        <w:rPr>
          <w:rFonts w:cs="Arial"/>
          <w:szCs w:val="28"/>
        </w:rPr>
        <w:fldChar w:fldCharType="end"/>
      </w:r>
      <w:r>
        <w:rPr>
          <w:rFonts w:cs="Arial" w:hint="eastAsia"/>
          <w:szCs w:val="28"/>
        </w:rPr>
        <w:t xml:space="preserve">. For example, intra-guild predation among spiders was relatively minor compared with their predation on pests </w:t>
      </w:r>
      <w:r w:rsidR="00460FBE">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460FBE">
        <w:rPr>
          <w:rFonts w:cs="Arial"/>
          <w:szCs w:val="28"/>
        </w:rPr>
        <w:fldChar w:fldCharType="separate"/>
      </w:r>
      <w:r>
        <w:rPr>
          <w:rFonts w:cs="Arial"/>
          <w:szCs w:val="28"/>
        </w:rPr>
        <w:t>(Petrakova et al. 2016)</w:t>
      </w:r>
      <w:r w:rsidR="00460FBE">
        <w:rPr>
          <w:rFonts w:cs="Arial"/>
          <w:szCs w:val="28"/>
        </w:rPr>
        <w:fldChar w:fldCharType="end"/>
      </w:r>
      <w:r>
        <w:rPr>
          <w:rFonts w:cs="Arial" w:hint="eastAsia"/>
          <w:szCs w:val="28"/>
        </w:rPr>
        <w:t>. Still, w</w:t>
      </w:r>
      <w:r>
        <w:rPr>
          <w:rFonts w:cs="Arial"/>
          <w:szCs w:val="28"/>
        </w:rPr>
        <w:t xml:space="preserve">e </w:t>
      </w:r>
      <w:r>
        <w:rPr>
          <w:rFonts w:cs="Arial" w:hint="eastAsia"/>
          <w:szCs w:val="28"/>
        </w:rPr>
        <w:t xml:space="preserve">caution that our diet estimates of predators represent the situations without predator-predator interferences and thus might be biased if such interactions do occur in our system. </w:t>
      </w:r>
    </w:p>
    <w:p w:rsidR="00460FBE" w:rsidRDefault="00460FBE">
      <w:pPr>
        <w:rPr>
          <w:rFonts w:cs="Arial"/>
          <w:i/>
          <w:color w:val="FF0000"/>
          <w:szCs w:val="28"/>
        </w:rPr>
      </w:pPr>
    </w:p>
    <w:p w:rsidR="00460FBE" w:rsidRDefault="00D0138C">
      <w:pPr>
        <w:jc w:val="center"/>
        <w:rPr>
          <w:rFonts w:cs="Arial"/>
          <w:i/>
          <w:szCs w:val="28"/>
        </w:rPr>
      </w:pPr>
      <w:r>
        <w:rPr>
          <w:rFonts w:cs="Arial"/>
          <w:i/>
          <w:szCs w:val="28"/>
        </w:rPr>
        <w:t>Conclusions</w:t>
      </w:r>
    </w:p>
    <w:p w:rsidR="00460FBE" w:rsidRDefault="00D0138C">
      <w:pPr>
        <w:pStyle w:val="af3"/>
        <w:numPr>
          <w:ilvl w:val="0"/>
          <w:numId w:val="3"/>
        </w:numPr>
        <w:rPr>
          <w:rFonts w:cs="Arial"/>
          <w:color w:val="FF0000"/>
          <w:szCs w:val="28"/>
        </w:rPr>
      </w:pPr>
      <w:r>
        <w:rPr>
          <w:rFonts w:cs="Arial"/>
          <w:color w:val="FF0000"/>
          <w:szCs w:val="28"/>
        </w:rPr>
        <w:t xml:space="preserve">Quantify data &gt; </w:t>
      </w:r>
      <w:proofErr w:type="spellStart"/>
      <w:r>
        <w:rPr>
          <w:rFonts w:cs="Arial"/>
          <w:color w:val="FF0000"/>
          <w:szCs w:val="28"/>
        </w:rPr>
        <w:t>biocontrol</w:t>
      </w:r>
      <w:proofErr w:type="spellEnd"/>
      <w:r>
        <w:rPr>
          <w:rFonts w:cs="Arial"/>
          <w:color w:val="FF0000"/>
          <w:szCs w:val="28"/>
        </w:rPr>
        <w:t xml:space="preserve">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rsidR="00460FBE" w:rsidRDefault="00D0138C">
      <w:pPr>
        <w:pStyle w:val="af3"/>
        <w:numPr>
          <w:ilvl w:val="0"/>
          <w:numId w:val="3"/>
        </w:numPr>
        <w:rPr>
          <w:rFonts w:cs="Arial"/>
          <w:color w:val="FF0000"/>
          <w:szCs w:val="28"/>
        </w:rPr>
      </w:pPr>
      <w:r>
        <w:rPr>
          <w:rFonts w:cs="Arial"/>
          <w:color w:val="FF0000"/>
          <w:szCs w:val="28"/>
        </w:rPr>
        <w:t>Consistent over years</w:t>
      </w:r>
    </w:p>
    <w:p w:rsidR="00460FBE" w:rsidRDefault="00D0138C">
      <w:pPr>
        <w:pStyle w:val="af3"/>
        <w:numPr>
          <w:ilvl w:val="0"/>
          <w:numId w:val="3"/>
        </w:numPr>
        <w:rPr>
          <w:rFonts w:cs="Arial"/>
          <w:color w:val="FF0000"/>
          <w:szCs w:val="28"/>
        </w:rPr>
      </w:pPr>
      <w:r>
        <w:rPr>
          <w:rFonts w:cs="Arial"/>
          <w:color w:val="FF0000"/>
          <w:szCs w:val="28"/>
        </w:rPr>
        <w:t xml:space="preserve">Analysis in </w:t>
      </w:r>
      <w:proofErr w:type="spellStart"/>
      <w:r>
        <w:rPr>
          <w:rFonts w:cs="Arial"/>
          <w:color w:val="FF0000"/>
          <w:szCs w:val="28"/>
        </w:rPr>
        <w:t>abiotic</w:t>
      </w:r>
      <w:proofErr w:type="spellEnd"/>
      <w:r>
        <w:rPr>
          <w:rFonts w:cs="Arial"/>
          <w:color w:val="FF0000"/>
          <w:szCs w:val="28"/>
        </w:rPr>
        <w:t xml:space="preserve"> and biotic factors &gt; value / implication</w:t>
      </w:r>
    </w:p>
    <w:p w:rsidR="00460FBE" w:rsidRDefault="00D0138C">
      <w:pPr>
        <w:pStyle w:val="af3"/>
        <w:numPr>
          <w:ilvl w:val="0"/>
          <w:numId w:val="3"/>
        </w:numPr>
        <w:rPr>
          <w:rFonts w:cs="Arial"/>
          <w:color w:val="FF0000"/>
          <w:szCs w:val="28"/>
        </w:rPr>
      </w:pPr>
      <w:r>
        <w:rPr>
          <w:rFonts w:cs="Arial"/>
          <w:color w:val="FF0000"/>
          <w:szCs w:val="28"/>
        </w:rPr>
        <w:t>Take home messages &gt; Global shift toward sustainable agriculture.</w:t>
      </w:r>
    </w:p>
    <w:p w:rsidR="00460FBE" w:rsidRDefault="00D0138C">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w:t>
      </w:r>
      <w:proofErr w:type="spellStart"/>
      <w:r>
        <w:rPr>
          <w:rFonts w:cs="Arial" w:hint="eastAsia"/>
          <w:szCs w:val="28"/>
        </w:rPr>
        <w:t>biocontrol</w:t>
      </w:r>
      <w:proofErr w:type="spellEnd"/>
      <w:r>
        <w:rPr>
          <w:rFonts w:cs="Arial" w:hint="eastAsia"/>
          <w:szCs w:val="28"/>
        </w:rPr>
        <w:t xml:space="preserve"> agents in pest 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w:t>
      </w:r>
      <w:proofErr w:type="spellStart"/>
      <w:r>
        <w:rPr>
          <w:rFonts w:cs="Arial" w:hint="eastAsia"/>
          <w:szCs w:val="28"/>
        </w:rPr>
        <w:t>biocontrol</w:t>
      </w:r>
      <w:proofErr w:type="spellEnd"/>
      <w:r>
        <w:rPr>
          <w:rFonts w:cs="Arial" w:hint="eastAsia"/>
          <w:szCs w:val="28"/>
        </w:rPr>
        <w:t xml:space="preserve">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 xml:space="preserve">stable and reliable top-down effect on pests. Therefore, incorporating generalist arthropod predators as </w:t>
      </w:r>
      <w:proofErr w:type="spellStart"/>
      <w:r>
        <w:rPr>
          <w:rFonts w:cs="Arial" w:hint="eastAsia"/>
          <w:szCs w:val="28"/>
        </w:rPr>
        <w:t>biocontrol</w:t>
      </w:r>
      <w:proofErr w:type="spellEnd"/>
      <w:r>
        <w:rPr>
          <w:rFonts w:cs="Arial" w:hint="eastAsia"/>
          <w:szCs w:val="28"/>
        </w:rPr>
        <w:t xml:space="preserve">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rsidR="00460FBE" w:rsidRDefault="00460FBE" w:rsidP="00D0138C">
      <w:pPr>
        <w:spacing w:afterLines="200"/>
        <w:rPr>
          <w:b/>
        </w:rPr>
      </w:pPr>
    </w:p>
    <w:p w:rsidR="00460FBE" w:rsidRDefault="00D0138C">
      <w:pPr>
        <w:rPr>
          <w:b/>
        </w:rPr>
      </w:pPr>
      <w:r>
        <w:rPr>
          <w:b/>
        </w:rPr>
        <w:br w:type="page"/>
      </w:r>
    </w:p>
    <w:p w:rsidR="00460FBE" w:rsidRDefault="00D0138C" w:rsidP="00D0138C">
      <w:pPr>
        <w:spacing w:afterLines="200"/>
        <w:rPr>
          <w:b/>
        </w:rPr>
      </w:pPr>
      <w:r>
        <w:rPr>
          <w:rFonts w:hint="eastAsia"/>
          <w:b/>
        </w:rPr>
        <w:lastRenderedPageBreak/>
        <w:t>Acknowledgement</w:t>
      </w:r>
    </w:p>
    <w:p w:rsidR="00460FBE" w:rsidRDefault="00D0138C">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460FBE" w:rsidRDefault="00D0138C">
      <w:pPr>
        <w:jc w:val="left"/>
        <w:rPr>
          <w:b/>
        </w:rPr>
      </w:pPr>
      <w:r>
        <w:rPr>
          <w:b/>
        </w:rPr>
        <w:br w:type="page"/>
      </w:r>
    </w:p>
    <w:p w:rsidR="00460FBE" w:rsidRDefault="00460FBE">
      <w:pPr>
        <w:pStyle w:val="EndNoteBibliographyTitle"/>
      </w:pPr>
      <w:r w:rsidRPr="00460FBE">
        <w:lastRenderedPageBreak/>
        <w:fldChar w:fldCharType="begin"/>
      </w:r>
      <w:r w:rsidR="00D0138C">
        <w:instrText xml:space="preserve"> ADDIN EN.REFLIST </w:instrText>
      </w:r>
      <w:r w:rsidRPr="00460FBE">
        <w:fldChar w:fldCharType="separate"/>
      </w:r>
      <w:r w:rsidR="00D0138C">
        <w:t>Reference</w:t>
      </w:r>
    </w:p>
    <w:p w:rsidR="00460FBE" w:rsidRDefault="00460FBE">
      <w:pPr>
        <w:pStyle w:val="EndNoteBibliographyTitle"/>
      </w:pPr>
    </w:p>
    <w:p w:rsidR="00460FBE" w:rsidRDefault="00D0138C">
      <w:pPr>
        <w:pStyle w:val="EndNoteBibliography"/>
        <w:spacing w:after="0"/>
        <w:ind w:left="720" w:hanging="720"/>
      </w:pPr>
      <w:r>
        <w:t>Albajes, R., and Ò. Alomar. 1999. Current and potential use of polyphagous predators. Pages 265-275  Integrated pest and disease management in greenhouse crops. Springer.</w:t>
      </w:r>
    </w:p>
    <w:p w:rsidR="00460FBE" w:rsidRDefault="00D0138C">
      <w:pPr>
        <w:pStyle w:val="EndNoteBibliography"/>
        <w:spacing w:after="0"/>
        <w:ind w:left="720" w:hanging="720"/>
      </w:pPr>
      <w:r>
        <w:t xml:space="preserve">Albertini, A., S. Marchi, C. Ratti, G. Burgio, R. Petacchi, and S. Magagnoli. 2018. Bactrocera oleae pupae predation by Ocypus olens detected by molecular gut content analysis. BioControl </w:t>
      </w:r>
      <w:r>
        <w:rPr>
          <w:b/>
        </w:rPr>
        <w:t>63</w:t>
      </w:r>
      <w:r>
        <w:t>:227-239.</w:t>
      </w:r>
    </w:p>
    <w:p w:rsidR="00460FBE" w:rsidRDefault="00D0138C">
      <w:pPr>
        <w:pStyle w:val="EndNoteBibliography"/>
        <w:spacing w:after="0"/>
        <w:ind w:left="720" w:hanging="720"/>
      </w:pPr>
      <w:r>
        <w:t>Allan, J., A. Flecker, and N. McClintock. 1987. Prey preference of stoneflies: sedentary vs mobile prey. Oikos:323-331.</w:t>
      </w:r>
    </w:p>
    <w:p w:rsidR="00460FBE" w:rsidRDefault="00D0138C">
      <w:pPr>
        <w:pStyle w:val="EndNoteBibliography"/>
        <w:spacing w:after="0"/>
        <w:ind w:left="720" w:hanging="720"/>
      </w:pPr>
      <w:r>
        <w:t>Altieri, M. A. 1999. The ecological role of biodiversity in agroecosystems. Pages 19-31  Invertebrate biodiversity as bioindicators of sustainable landscapes. Elsevier.</w:t>
      </w:r>
    </w:p>
    <w:p w:rsidR="00460FBE" w:rsidRDefault="00D0138C">
      <w:pPr>
        <w:pStyle w:val="EndNoteBibliography"/>
        <w:spacing w:after="0"/>
        <w:ind w:left="720" w:hanging="720"/>
      </w:pPr>
      <w:r>
        <w:t xml:space="preserve">Altieri, M. A., and D. K. Letourneau. 1982. Vegetation management and biological control in agroecosystems. Crop Protection </w:t>
      </w:r>
      <w:r>
        <w:rPr>
          <w:b/>
        </w:rPr>
        <w:t>1</w:t>
      </w:r>
      <w:r>
        <w:t>:405-430.</w:t>
      </w:r>
    </w:p>
    <w:p w:rsidR="00460FBE" w:rsidRDefault="00D0138C">
      <w:pPr>
        <w:pStyle w:val="EndNoteBibliography"/>
        <w:spacing w:after="0"/>
        <w:ind w:left="720" w:hanging="720"/>
      </w:pPr>
      <w:r>
        <w:t>Barbosa, P., and I. Castellanos. 2005. Ecology of predator-prey interactions. Oxford University Press.</w:t>
      </w:r>
    </w:p>
    <w:p w:rsidR="00460FBE" w:rsidRDefault="00D0138C">
      <w:pPr>
        <w:pStyle w:val="EndNoteBibliography"/>
        <w:spacing w:after="0"/>
        <w:ind w:left="720" w:hanging="720"/>
      </w:pPr>
      <w:r>
        <w:t>Bengtsson, J., J. Ahnström, and A. C. WEIBULL. 2005. The effects of organic agriculture on biodiversity and abundance: a meta</w:t>
      </w:r>
      <w:r>
        <w:rPr>
          <w:rFonts w:ascii="Cambria Math" w:hAnsi="Cambria Math" w:cs="Cambria Math"/>
        </w:rPr>
        <w:t>‐</w:t>
      </w:r>
      <w:r>
        <w:t xml:space="preserve">analysis. Journal of Applied Ecology </w:t>
      </w:r>
      <w:r>
        <w:rPr>
          <w:b/>
        </w:rPr>
        <w:t>42</w:t>
      </w:r>
      <w:r>
        <w:t>:261-269.</w:t>
      </w:r>
    </w:p>
    <w:p w:rsidR="00460FBE" w:rsidRDefault="00D0138C">
      <w:pPr>
        <w:pStyle w:val="EndNoteBibliography"/>
        <w:spacing w:after="0"/>
        <w:ind w:left="720" w:hanging="720"/>
      </w:pPr>
      <w: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Pr>
          <w:b/>
        </w:rPr>
        <w:t>40</w:t>
      </w:r>
      <w:r>
        <w:t>:2297-2308.</w:t>
      </w:r>
    </w:p>
    <w:p w:rsidR="00460FBE" w:rsidRDefault="00D0138C">
      <w:pPr>
        <w:pStyle w:val="EndNoteBibliography"/>
        <w:spacing w:after="0"/>
        <w:ind w:left="720" w:hanging="720"/>
      </w:pPr>
      <w:r>
        <w:t>Birkhofer, K., A. Fließbach, D. H. Wise, and S. Scheu. 2011. Arthropod food webs in organic and conventional wheat farming systems of an agricultural long</w:t>
      </w:r>
      <w:r>
        <w:rPr>
          <w:rFonts w:ascii="Cambria Math" w:hAnsi="Cambria Math" w:cs="Cambria Math"/>
        </w:rPr>
        <w:t>‐</w:t>
      </w:r>
      <w:r>
        <w:t xml:space="preserve">term experiment: a stable isotope approach. Agricultural and Forest Entomology </w:t>
      </w:r>
      <w:r>
        <w:rPr>
          <w:b/>
        </w:rPr>
        <w:t>13</w:t>
      </w:r>
      <w:r>
        <w:t>:197-204.</w:t>
      </w:r>
    </w:p>
    <w:p w:rsidR="00460FBE" w:rsidRDefault="00D0138C">
      <w:pPr>
        <w:pStyle w:val="EndNoteBibliography"/>
        <w:spacing w:after="0"/>
        <w:ind w:left="720" w:hanging="720"/>
      </w:pPr>
      <w:r>
        <w:t xml:space="preserve">Birkhofer, K., D. H. Wise, and S. Scheu. 2008b. Subsidy from the detrital food web, but not microhabitat complexity, affects the role of generalist predators in an aboveground herbivore food web. Oikos </w:t>
      </w:r>
      <w:r>
        <w:rPr>
          <w:b/>
        </w:rPr>
        <w:t>117</w:t>
      </w:r>
      <w:r>
        <w:t>:494-500.</w:t>
      </w:r>
    </w:p>
    <w:p w:rsidR="00460FBE" w:rsidRDefault="00D0138C">
      <w:pPr>
        <w:pStyle w:val="EndNoteBibliography"/>
        <w:spacing w:after="0"/>
        <w:ind w:left="720" w:hanging="720"/>
      </w:pPr>
      <w:r>
        <w:t xml:space="preserve">Blondel, J. 2003. Guilds or functional groups: does it matter? Oikos </w:t>
      </w:r>
      <w:r>
        <w:rPr>
          <w:b/>
        </w:rPr>
        <w:t>100</w:t>
      </w:r>
      <w:r>
        <w:t>:223-231.</w:t>
      </w:r>
    </w:p>
    <w:p w:rsidR="00460FBE" w:rsidRDefault="00D0138C">
      <w:pPr>
        <w:pStyle w:val="EndNoteBibliography"/>
        <w:spacing w:after="0"/>
        <w:ind w:left="720" w:hanging="720"/>
      </w:pPr>
      <w:r>
        <w:t xml:space="preserve">Boecklen, W. J., C. T. Yarnes, B. A. Cook, and A. C. James. 2011. On the use of stable isotopes in trophic ecology. Annual review of ecology, evolution, and systematics </w:t>
      </w:r>
      <w:r>
        <w:rPr>
          <w:b/>
        </w:rPr>
        <w:t>42</w:t>
      </w:r>
      <w:r>
        <w:t>:411-440.</w:t>
      </w:r>
    </w:p>
    <w:p w:rsidR="00460FBE" w:rsidRDefault="00D0138C">
      <w:pPr>
        <w:pStyle w:val="EndNoteBibliography"/>
        <w:spacing w:after="0"/>
        <w:ind w:left="720" w:hanging="720"/>
      </w:pPr>
      <w: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Pr>
          <w:b/>
        </w:rPr>
        <w:t>22</w:t>
      </w:r>
      <w:r>
        <w:t>.</w:t>
      </w:r>
    </w:p>
    <w:p w:rsidR="00460FBE" w:rsidRDefault="00D0138C">
      <w:pPr>
        <w:pStyle w:val="EndNoteBibliography"/>
        <w:spacing w:after="0"/>
        <w:ind w:left="720" w:hanging="720"/>
      </w:pPr>
      <w:r>
        <w:t xml:space="preserve">Caut, S., E. Angulo, and F. Courchamp. 2009. Variation in discrimination factors (Δ15N and Δ13C): the effect of diet isotopic values and applications for diet reconstruction. Journal of Applied Ecology </w:t>
      </w:r>
      <w:r>
        <w:rPr>
          <w:b/>
        </w:rPr>
        <w:t>46</w:t>
      </w:r>
      <w:r>
        <w:t>:443-453.</w:t>
      </w:r>
    </w:p>
    <w:p w:rsidR="00460FBE" w:rsidRDefault="00D0138C">
      <w:pPr>
        <w:pStyle w:val="EndNoteBibliography"/>
        <w:spacing w:after="0"/>
        <w:ind w:left="720" w:hanging="720"/>
      </w:pPr>
      <w:r>
        <w:t xml:space="preserve">Diehl, E., V. L. Mader, V. Wolters, and K. Birkhofer. 2013. Management intensity and vegetation complexity affect web-building spiders and their prey. Oecologia </w:t>
      </w:r>
      <w:r>
        <w:rPr>
          <w:b/>
        </w:rPr>
        <w:t>173</w:t>
      </w:r>
      <w:r>
        <w:t>:579-589.</w:t>
      </w:r>
    </w:p>
    <w:p w:rsidR="00460FBE" w:rsidRDefault="00D0138C">
      <w:pPr>
        <w:pStyle w:val="EndNoteBibliography"/>
        <w:spacing w:after="0"/>
        <w:ind w:left="720" w:hanging="720"/>
      </w:pPr>
      <w:r>
        <w:t xml:space="preserve">Dominik, C., R. Seppelt, F. G. Horgan, J. Settele, and T. Václavík. 2018. Landscape composition, configuration, and trophic interactions shape arthropod communities in rice agroecosystems. Journal of Applied Ecology </w:t>
      </w:r>
      <w:r>
        <w:rPr>
          <w:b/>
        </w:rPr>
        <w:t>55</w:t>
      </w:r>
      <w:r>
        <w:t>:2461-2472.</w:t>
      </w:r>
    </w:p>
    <w:p w:rsidR="00460FBE" w:rsidRDefault="00D0138C">
      <w:pPr>
        <w:pStyle w:val="EndNoteBibliography"/>
        <w:spacing w:after="0"/>
        <w:ind w:left="720" w:hanging="720"/>
      </w:pPr>
      <w:r>
        <w:t xml:space="preserve">Duelli, P., and M. K. Obrist. 2003. Biodiversity indicators: the choice of values and measures. Agriculture Ecosystems &amp; Environment </w:t>
      </w:r>
      <w:r>
        <w:rPr>
          <w:b/>
        </w:rPr>
        <w:t>98</w:t>
      </w:r>
      <w:r>
        <w:t>:87-98.</w:t>
      </w:r>
    </w:p>
    <w:p w:rsidR="00460FBE" w:rsidRDefault="00D0138C">
      <w:pPr>
        <w:pStyle w:val="EndNoteBibliography"/>
        <w:spacing w:after="0"/>
        <w:ind w:left="720" w:hanging="720"/>
      </w:pPr>
      <w:r>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460FBE" w:rsidRDefault="00D0138C">
      <w:pPr>
        <w:pStyle w:val="EndNoteBibliography"/>
        <w:spacing w:after="0"/>
        <w:ind w:left="720" w:hanging="720"/>
      </w:pPr>
      <w:r>
        <w:t>Eitzinger, B., N. Abrego, D. Gravel, T. Huotari, E. J. Vesterinen, and T. Roslin. 2019. Assessing changes in arthropod predator–prey interactions through DNA</w:t>
      </w:r>
      <w:r>
        <w:rPr>
          <w:rFonts w:ascii="Cambria Math" w:hAnsi="Cambria Math" w:cs="Cambria Math"/>
        </w:rPr>
        <w:t>‐</w:t>
      </w:r>
      <w:r>
        <w:t xml:space="preserve">based gut content analysis—variable environment, stable diet. Molecular ecology </w:t>
      </w:r>
      <w:r>
        <w:rPr>
          <w:b/>
        </w:rPr>
        <w:t>28</w:t>
      </w:r>
      <w:r>
        <w:t>:266-280.</w:t>
      </w:r>
    </w:p>
    <w:p w:rsidR="00460FBE" w:rsidRDefault="00D0138C">
      <w:pPr>
        <w:pStyle w:val="EndNoteBibliography"/>
        <w:spacing w:after="0"/>
        <w:ind w:left="720" w:hanging="720"/>
      </w:pPr>
      <w:r>
        <w:t xml:space="preserve">Eitzinger, B., T. Roslin, E. J. Vesterinen, S. I. Robinson, and E. J. O'Gorman. 2021. Temperature affects both the Grinnellian and Eltonian dimensions of ecological niches–A tale of two Arctic wolf spiders. Basic and Applied Ecology </w:t>
      </w:r>
      <w:r>
        <w:rPr>
          <w:b/>
        </w:rPr>
        <w:t>50</w:t>
      </w:r>
      <w:r>
        <w:t>:132-143.</w:t>
      </w:r>
    </w:p>
    <w:p w:rsidR="00460FBE" w:rsidRDefault="00D0138C">
      <w:pPr>
        <w:pStyle w:val="EndNoteBibliography"/>
        <w:spacing w:after="0"/>
        <w:ind w:left="720" w:hanging="720"/>
      </w:pPr>
      <w:r>
        <w:t>Eitzinger, B., and M. Traugott. 2011.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Journal of Applied Ecology </w:t>
      </w:r>
      <w:r>
        <w:rPr>
          <w:b/>
        </w:rPr>
        <w:t>48</w:t>
      </w:r>
      <w:r>
        <w:t>:591-599.</w:t>
      </w:r>
    </w:p>
    <w:p w:rsidR="00460FBE" w:rsidRDefault="00D0138C">
      <w:pPr>
        <w:pStyle w:val="EndNoteBibliography"/>
        <w:spacing w:after="0"/>
        <w:ind w:left="720" w:hanging="720"/>
      </w:pPr>
      <w:r>
        <w:t xml:space="preserve">Finke, D. L., and R. F. Denno. 2006. Spatial refuge from intraguild predation: implications for prey suppression and trophic cascades. Oecologia </w:t>
      </w:r>
      <w:r>
        <w:rPr>
          <w:b/>
        </w:rPr>
        <w:t>149</w:t>
      </w:r>
      <w:r>
        <w:t>:265-275.</w:t>
      </w:r>
    </w:p>
    <w:p w:rsidR="00460FBE" w:rsidRDefault="00D0138C">
      <w:pPr>
        <w:pStyle w:val="EndNoteBibliography"/>
        <w:spacing w:after="0"/>
        <w:ind w:left="720" w:hanging="720"/>
      </w:pPr>
      <w:r>
        <w:t>Fox, J., and S. Weisberg. 2018. An R companion to applied regression. Sage publications.</w:t>
      </w:r>
    </w:p>
    <w:p w:rsidR="00460FBE" w:rsidRDefault="00D0138C">
      <w:pPr>
        <w:pStyle w:val="EndNoteBibliography"/>
        <w:spacing w:after="0"/>
        <w:ind w:left="720" w:hanging="720"/>
      </w:pPr>
      <w: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Pr>
          <w:b/>
        </w:rPr>
        <w:t>11</w:t>
      </w:r>
      <w:r>
        <w:t>:97-105.</w:t>
      </w:r>
    </w:p>
    <w:p w:rsidR="00460FBE" w:rsidRDefault="00D0138C">
      <w:pPr>
        <w:pStyle w:val="EndNoteBibliography"/>
        <w:spacing w:after="0"/>
        <w:ind w:left="720" w:hanging="720"/>
      </w:pPr>
      <w:r>
        <w:t xml:space="preserve">Gomiero, T., D. Pimentel, and M. G. Paoletti. 2011. Is there a need for a more sustainable agriculture? Critical reviews in plant sciences </w:t>
      </w:r>
      <w:r>
        <w:rPr>
          <w:b/>
        </w:rPr>
        <w:t>30</w:t>
      </w:r>
      <w:r>
        <w:t>:6-23.</w:t>
      </w:r>
    </w:p>
    <w:p w:rsidR="00460FBE" w:rsidRDefault="00D0138C">
      <w:pPr>
        <w:pStyle w:val="EndNoteBibliography"/>
        <w:spacing w:after="0"/>
        <w:ind w:left="720" w:hanging="720"/>
      </w:pPr>
      <w:r>
        <w:t xml:space="preserve">Guedes, R., G. Smagghe, J. Stark, and N. Desneux. 2016. Pesticide-induced stress in arthropod pests for optimized integrated pest management programs. Annual review of entomology </w:t>
      </w:r>
      <w:r>
        <w:rPr>
          <w:b/>
        </w:rPr>
        <w:t>61</w:t>
      </w:r>
      <w:r>
        <w:t>:43-62.</w:t>
      </w:r>
    </w:p>
    <w:p w:rsidR="00460FBE" w:rsidRDefault="00D0138C">
      <w:pPr>
        <w:pStyle w:val="EndNoteBibliography"/>
        <w:spacing w:after="0"/>
        <w:ind w:left="720" w:hanging="720"/>
      </w:pPr>
      <w:r>
        <w:t xml:space="preserve">Haraguchi, T. F., M. Uchida, Y. Shibata, and I. Tayasu. 2013. Contributions of detrital subsidies to aboveground spiders during secondary succession, revealed by radiocarbon and stable isotope signatures. Oecologia </w:t>
      </w:r>
      <w:r>
        <w:rPr>
          <w:b/>
        </w:rPr>
        <w:t>171</w:t>
      </w:r>
      <w:r>
        <w:t>:935-944.</w:t>
      </w:r>
    </w:p>
    <w:p w:rsidR="00460FBE" w:rsidRDefault="00D0138C">
      <w:pPr>
        <w:pStyle w:val="EndNoteBibliography"/>
        <w:spacing w:after="0"/>
        <w:ind w:left="720" w:hanging="720"/>
      </w:pPr>
      <w:r>
        <w:t xml:space="preserve">Hardin, M. R., B. Benrey, M. Coll, W. O. Lamp, G. K. Roderick, and P. Barbosa. 1995. Arthropod pest resurgence: an overview of potential mechanisms. Crop Protection </w:t>
      </w:r>
      <w:r>
        <w:rPr>
          <w:b/>
        </w:rPr>
        <w:t>14</w:t>
      </w:r>
      <w:r>
        <w:t>:3-18.</w:t>
      </w:r>
    </w:p>
    <w:p w:rsidR="00460FBE" w:rsidRDefault="00D0138C">
      <w:pPr>
        <w:pStyle w:val="EndNoteBibliography"/>
        <w:spacing w:after="0"/>
        <w:ind w:left="720" w:hanging="720"/>
      </w:pPr>
      <w:r>
        <w:t xml:space="preserve">Hothorn, T., F. Bretz, and P. Westfall. 2008. Simultaneous inference in general parametric models. Biometrical Journal: Journal of Mathematical Methods in Biosciences </w:t>
      </w:r>
      <w:r>
        <w:rPr>
          <w:b/>
        </w:rPr>
        <w:t>50</w:t>
      </w:r>
      <w:r>
        <w:t>:346-363.</w:t>
      </w:r>
    </w:p>
    <w:p w:rsidR="00460FBE" w:rsidRDefault="00D0138C">
      <w:pPr>
        <w:pStyle w:val="EndNoteBibliography"/>
        <w:spacing w:after="0"/>
        <w:ind w:left="720" w:hanging="720"/>
      </w:pPr>
      <w:r>
        <w:t xml:space="preserve">Hsu, G.-C., J.-A. Ou, and C.-K. Ho. 2021. Pest consumption by generalist arthropod predators increases with crop stage in both organic and conventional farms. Ecosphere </w:t>
      </w:r>
      <w:r>
        <w:rPr>
          <w:b/>
        </w:rPr>
        <w:t>12</w:t>
      </w:r>
      <w:r>
        <w:t>:e03625.</w:t>
      </w:r>
    </w:p>
    <w:p w:rsidR="00460FBE" w:rsidRDefault="00D0138C">
      <w:pPr>
        <w:pStyle w:val="EndNoteBibliography"/>
        <w:spacing w:after="0"/>
        <w:ind w:left="720" w:hanging="720"/>
      </w:pPr>
      <w:r>
        <w:t xml:space="preserve">Huang, H., and P. Yang. 1987. The ancient cultured citrus ant. BioScience </w:t>
      </w:r>
      <w:r>
        <w:rPr>
          <w:b/>
        </w:rPr>
        <w:t>37</w:t>
      </w:r>
      <w:r>
        <w:t>:665-671.</w:t>
      </w:r>
    </w:p>
    <w:p w:rsidR="00460FBE" w:rsidRDefault="00D0138C">
      <w:pPr>
        <w:pStyle w:val="EndNoteBibliography"/>
        <w:spacing w:after="0"/>
        <w:ind w:left="720" w:hanging="720"/>
      </w:pPr>
      <w:r>
        <w:t xml:space="preserve">Ingrao, A. J., J. Schmidt, J. Jubenville, A. Grode, L. Komondy, D. VanderZee, and Z. Szendrei. 2017. Biocontrol on the edge: Field margin habitats in asparagus fields influence natural enemy-pest interactions. Agriculture, Ecosystems &amp; Environment </w:t>
      </w:r>
      <w:r>
        <w:rPr>
          <w:b/>
        </w:rPr>
        <w:t>243</w:t>
      </w:r>
      <w:r>
        <w:t>:47-54.</w:t>
      </w:r>
    </w:p>
    <w:p w:rsidR="00460FBE" w:rsidRDefault="00D0138C">
      <w:pPr>
        <w:pStyle w:val="EndNoteBibliography"/>
        <w:spacing w:after="0"/>
        <w:ind w:left="720" w:hanging="720"/>
      </w:pPr>
      <w:r>
        <w:t>Janssen, A., M. Montserrat, R. HilleRisLambers, A. M. de Roos, A. Pallini, and M. W. Sabelis. 2006. Intraguild predation usually does not disrupt biological control. Pages 21-44  Trophic and guild in biological interactions control. Springer.</w:t>
      </w:r>
    </w:p>
    <w:p w:rsidR="00460FBE" w:rsidRDefault="00D0138C">
      <w:pPr>
        <w:pStyle w:val="EndNoteBibliography"/>
        <w:spacing w:after="0"/>
        <w:ind w:left="720" w:hanging="720"/>
      </w:pPr>
      <w:r>
        <w:t xml:space="preserve">Janssen, A., M. W. Sabelis, S. Magalhães, M. Montserrat, and T. Van der Hammen. 2007. Habitat structure affects intraguild predation. Ecology </w:t>
      </w:r>
      <w:r>
        <w:rPr>
          <w:b/>
        </w:rPr>
        <w:t>88</w:t>
      </w:r>
      <w:r>
        <w:t>:2713-2719.</w:t>
      </w:r>
    </w:p>
    <w:p w:rsidR="00460FBE" w:rsidRDefault="00D0138C">
      <w:pPr>
        <w:pStyle w:val="EndNoteBibliography"/>
        <w:spacing w:after="0"/>
        <w:ind w:left="720" w:hanging="720"/>
      </w:pPr>
      <w:r>
        <w:t xml:space="preserve">Karp, D. S., R. Chaplin-Kramer, T. D. Meehan, E. A. Martin, F. DeClerck, H. Grab, C. Gratton, L. Hunt, A. E. Larsen, and A. Martínez-Salinas. 2018. Crop pests and predators exhibit inconsistent responses to </w:t>
      </w:r>
      <w:r>
        <w:lastRenderedPageBreak/>
        <w:t xml:space="preserve">surrounding landscape composition. Proceedings of the National Academy of Sciences </w:t>
      </w:r>
      <w:r>
        <w:rPr>
          <w:b/>
        </w:rPr>
        <w:t>115</w:t>
      </w:r>
      <w:r>
        <w:t>:E7863-E7870.</w:t>
      </w:r>
    </w:p>
    <w:p w:rsidR="00460FBE" w:rsidRDefault="00D0138C">
      <w:pPr>
        <w:pStyle w:val="EndNoteBibliography"/>
        <w:spacing w:after="0"/>
        <w:ind w:left="720" w:hanging="720"/>
      </w:pPr>
      <w:r>
        <w:t xml:space="preserve">Kehoe, L., A. Romero-Muñoz, E. Polaina, L. Estes, H. Kreft, and T. Kuemmerle. 2017. Biodiversity at risk under future cropland expansion and intensification. Nature Ecology &amp; Evolution </w:t>
      </w:r>
      <w:r>
        <w:rPr>
          <w:b/>
        </w:rPr>
        <w:t>1</w:t>
      </w:r>
      <w:r>
        <w:t>:1129-1135.</w:t>
      </w:r>
    </w:p>
    <w:p w:rsidR="00460FBE" w:rsidRDefault="00D0138C">
      <w:pPr>
        <w:pStyle w:val="EndNoteBibliography"/>
        <w:spacing w:after="0"/>
        <w:ind w:left="720" w:hanging="720"/>
      </w:pPr>
      <w:r>
        <w:t xml:space="preserve">Klecka, J., and D. S. Boukal. 2013. Foraging and vulnerability traits modify predator–prey body mass allometry: freshwater macroinvertebrates as a case study. Journal of Animal Ecology </w:t>
      </w:r>
      <w:r>
        <w:rPr>
          <w:b/>
        </w:rPr>
        <w:t>82</w:t>
      </w:r>
      <w:r>
        <w:t>:1031-1041.</w:t>
      </w:r>
    </w:p>
    <w:p w:rsidR="00460FBE" w:rsidRDefault="00D0138C">
      <w:pPr>
        <w:pStyle w:val="EndNoteBibliography"/>
        <w:spacing w:after="0"/>
        <w:ind w:left="720" w:hanging="720"/>
      </w:pPr>
      <w:r>
        <w:t xml:space="preserve">Krey, K. L., C. K. Blubaugh, E. G. Chapman, C. A. Lynch, G. B. Snyder, A. S. Jensen, Z. Fu, D. A. Prischmann-Voldseth, J. D. Harwood, and W. E. Snyder. 2017. Generalist predators consume spider mites despite the presence of alternative prey. Biological Control </w:t>
      </w:r>
      <w:r>
        <w:rPr>
          <w:b/>
        </w:rPr>
        <w:t>115</w:t>
      </w:r>
      <w:r>
        <w:t>:157-164.</w:t>
      </w:r>
    </w:p>
    <w:p w:rsidR="00460FBE" w:rsidRDefault="00D0138C">
      <w:pPr>
        <w:pStyle w:val="EndNoteBibliography"/>
        <w:spacing w:after="0"/>
        <w:ind w:left="720" w:hanging="720"/>
      </w:pPr>
      <w:r>
        <w:t xml:space="preserve">Kuusk, A.-K., and B. Ekbom. 2012. Feeding habits of lycosid spiders in field habitats. Journal of Pest Science </w:t>
      </w:r>
      <w:r>
        <w:rPr>
          <w:b/>
        </w:rPr>
        <w:t>85</w:t>
      </w:r>
      <w:r>
        <w:t>:253-260.</w:t>
      </w:r>
    </w:p>
    <w:p w:rsidR="00460FBE" w:rsidRDefault="00D0138C">
      <w:pPr>
        <w:pStyle w:val="EndNoteBibliography"/>
        <w:spacing w:after="0"/>
        <w:ind w:left="720" w:hanging="720"/>
      </w:pPr>
      <w:r>
        <w:t xml:space="preserve">Langellotto, G. A., and R. F. Denno. 2004. Responses of invertebrate natural enemies to complex-structured habitats: a meta-analytical synthesis. Oecologia </w:t>
      </w:r>
      <w:r>
        <w:rPr>
          <w:b/>
        </w:rPr>
        <w:t>139</w:t>
      </w:r>
      <w:r>
        <w:t>:1-10.</w:t>
      </w:r>
    </w:p>
    <w:p w:rsidR="00460FBE" w:rsidRDefault="00D0138C">
      <w:pPr>
        <w:pStyle w:val="EndNoteBibliography"/>
        <w:spacing w:after="0"/>
        <w:ind w:left="720" w:hanging="720"/>
      </w:pPr>
      <w:r>
        <w:t>Layman, C. A., M. S. Araujo, R. Boucek, C. M. Hammerschlag</w:t>
      </w:r>
      <w:r>
        <w:rPr>
          <w:rFonts w:ascii="Cambria Math" w:hAnsi="Cambria Math" w:cs="Cambria Math"/>
        </w:rPr>
        <w:t>‐</w:t>
      </w:r>
      <w:r>
        <w:t>Peyer, E. Harrison, Z. R. Jud, P. Matich, A. E. Rosenblatt, J. J. Vaudo, and L. A. Yeager. 2012. Applying stable isotopes to examine food</w:t>
      </w:r>
      <w:r>
        <w:rPr>
          <w:rFonts w:ascii="Cambria Math" w:hAnsi="Cambria Math" w:cs="Cambria Math"/>
        </w:rPr>
        <w:t>‐</w:t>
      </w:r>
      <w:r>
        <w:t xml:space="preserve">web structure: an overview of analytical tools. Biological Reviews </w:t>
      </w:r>
      <w:r>
        <w:rPr>
          <w:b/>
        </w:rPr>
        <w:t>87</w:t>
      </w:r>
      <w:r>
        <w:t>:545-562.</w:t>
      </w:r>
    </w:p>
    <w:p w:rsidR="00460FBE" w:rsidRDefault="00D0138C">
      <w:pPr>
        <w:pStyle w:val="EndNoteBibliography"/>
        <w:spacing w:after="0"/>
        <w:ind w:left="720" w:hanging="720"/>
      </w:pPr>
      <w:r>
        <w:t xml:space="preserve">Lenth, R., and M. R. Lenth. 2018. Package ‘lsmeans’. The American Statistician </w:t>
      </w:r>
      <w:r>
        <w:rPr>
          <w:b/>
        </w:rPr>
        <w:t>34</w:t>
      </w:r>
      <w:r>
        <w:t>:216-221.</w:t>
      </w:r>
    </w:p>
    <w:p w:rsidR="00460FBE" w:rsidRDefault="00D0138C">
      <w:pPr>
        <w:pStyle w:val="EndNoteBibliography"/>
        <w:spacing w:after="0"/>
        <w:ind w:left="720" w:hanging="720"/>
      </w:pPr>
      <w:r>
        <w:t xml:space="preserve">Letourneau, D. K., J. A. Jedlicka, S. G. Bothwell, and C. R. Moreno. 2009. Effects of natural enemy biodiversity on the suppression of arthropod herbivores in terrestrial ecosystems. Annual Review of Ecology Evolution and Systematics </w:t>
      </w:r>
      <w:r>
        <w:rPr>
          <w:b/>
        </w:rPr>
        <w:t>40</w:t>
      </w:r>
      <w:r>
        <w:t>:573-592.</w:t>
      </w:r>
    </w:p>
    <w:p w:rsidR="00460FBE" w:rsidRDefault="00D0138C">
      <w:pPr>
        <w:pStyle w:val="EndNoteBibliography"/>
        <w:spacing w:after="0"/>
        <w:ind w:left="720" w:hanging="720"/>
      </w:pPr>
      <w:r>
        <w:t>Lichtenberg, E. M., C. M. Kennedy, C. Kremen, P. Batary, F. Berendse, R. Bommarco, N. A. Bosque</w:t>
      </w:r>
      <w:r>
        <w:rPr>
          <w:rFonts w:ascii="Cambria Math" w:hAnsi="Cambria Math" w:cs="Cambria Math"/>
        </w:rPr>
        <w:t>‐</w:t>
      </w:r>
      <w:r>
        <w:t xml:space="preserve">Pérez, L. G. Carvalheiro, W. E. Snyder, and N. M. Williams. 2017. A global synthesis of the effects of diversified farming systems on arthropod diversity within fields and across agricultural landscapes. Global change biology </w:t>
      </w:r>
      <w:r>
        <w:rPr>
          <w:b/>
        </w:rPr>
        <w:t>23</w:t>
      </w:r>
      <w:r>
        <w:t>:4946-4957.</w:t>
      </w:r>
    </w:p>
    <w:p w:rsidR="00460FBE" w:rsidRDefault="00D0138C">
      <w:pPr>
        <w:pStyle w:val="EndNoteBibliography"/>
        <w:spacing w:after="0"/>
        <w:ind w:left="720" w:hanging="720"/>
      </w:pPr>
      <w:r>
        <w:t xml:space="preserve">Liu, S., Z. Li, Y. Sui, D. A. Schaefer, P. O. Alele, J. Chen, and X. Yang. 2015. Spider foraging strategies dominate pest suppression in organic tea plantations. BioControl </w:t>
      </w:r>
      <w:r>
        <w:rPr>
          <w:b/>
        </w:rPr>
        <w:t>60</w:t>
      </w:r>
      <w:r>
        <w:t>:839-847.</w:t>
      </w:r>
    </w:p>
    <w:p w:rsidR="00460FBE" w:rsidRDefault="00D0138C">
      <w:pPr>
        <w:pStyle w:val="EndNoteBibliography"/>
        <w:spacing w:after="0"/>
        <w:ind w:left="720" w:hanging="720"/>
      </w:pPr>
      <w:r>
        <w:t xml:space="preserve">Madsen, M., S. Terkildsen, and S. Toft. 2004. Microcosm studies on control of aphids by generalist arthropod predators: effects of alternative prey. BioControl </w:t>
      </w:r>
      <w:r>
        <w:rPr>
          <w:b/>
        </w:rPr>
        <w:t>49</w:t>
      </w:r>
      <w:r>
        <w:t>:483-504.</w:t>
      </w:r>
    </w:p>
    <w:p w:rsidR="00460FBE" w:rsidRDefault="00D0138C">
      <w:pPr>
        <w:pStyle w:val="EndNoteBibliography"/>
        <w:spacing w:after="0"/>
        <w:ind w:left="720" w:hanging="720"/>
      </w:pPr>
      <w:r>
        <w:lastRenderedPageBreak/>
        <w:t xml:space="preserve">Mazzi, D., and S. Dorn. 2012. Movement of insect pests in agricultural landscapes. Annals of applied biology </w:t>
      </w:r>
      <w:r>
        <w:rPr>
          <w:b/>
        </w:rPr>
        <w:t>160</w:t>
      </w:r>
      <w:r>
        <w:t>:97-113.</w:t>
      </w:r>
    </w:p>
    <w:p w:rsidR="00460FBE" w:rsidRDefault="00D0138C">
      <w:pPr>
        <w:pStyle w:val="EndNoteBibliography"/>
        <w:spacing w:after="0"/>
        <w:ind w:left="720" w:hanging="720"/>
      </w:pPr>
      <w:r>
        <w:t xml:space="preserve">Michalko, R., S. Pekar, and M. H. Entling. 2019a. An updated perspective on spiders as generalist predators in biological control. Oecologia </w:t>
      </w:r>
      <w:r>
        <w:rPr>
          <w:b/>
        </w:rPr>
        <w:t>189</w:t>
      </w:r>
      <w:r>
        <w:t>:21-36.</w:t>
      </w:r>
    </w:p>
    <w:p w:rsidR="00460FBE" w:rsidRDefault="00D0138C">
      <w:pPr>
        <w:pStyle w:val="EndNoteBibliography"/>
        <w:spacing w:after="0"/>
        <w:ind w:left="720" w:hanging="720"/>
      </w:pPr>
      <w:r>
        <w:t xml:space="preserve">Michalko, R., S. Pekár, and M. H. Entling. 2019b. An updated perspective on spiders as generalist predators in biological control. Oecologia </w:t>
      </w:r>
      <w:r>
        <w:rPr>
          <w:b/>
        </w:rPr>
        <w:t>189</w:t>
      </w:r>
      <w:r>
        <w:t>:21-36.</w:t>
      </w:r>
    </w:p>
    <w:p w:rsidR="00460FBE" w:rsidRDefault="00D0138C">
      <w:pPr>
        <w:pStyle w:val="EndNoteBibliography"/>
        <w:spacing w:after="0"/>
        <w:ind w:left="720" w:hanging="720"/>
      </w:pPr>
      <w:r>
        <w:t>Newton, J. 2016. Stable isotopes as tools in ecological research. eLS:1-8.</w:t>
      </w:r>
    </w:p>
    <w:p w:rsidR="00460FBE" w:rsidRDefault="00D0138C">
      <w:pPr>
        <w:pStyle w:val="EndNoteBibliography"/>
        <w:spacing w:after="0"/>
        <w:ind w:left="720" w:hanging="720"/>
      </w:pPr>
      <w:r>
        <w:t>Nyffeler, M. 1999. Prey selection of spiders in the field. Journal of Arachnology:317-324.</w:t>
      </w:r>
    </w:p>
    <w:p w:rsidR="00460FBE" w:rsidRDefault="00D0138C">
      <w:pPr>
        <w:pStyle w:val="EndNoteBibliography"/>
        <w:spacing w:after="0"/>
        <w:ind w:left="720" w:hanging="720"/>
      </w:pPr>
      <w:r>
        <w:t xml:space="preserve">Petrakova, L., R. Michalko, P. Loverre, L. Sentenska, S. Korenko, and S. Pekar. 2016. Intraguild predation among spiders and their effect on the pear psylla during winter. Agriculture, Ecosystems &amp; Environment </w:t>
      </w:r>
      <w:r>
        <w:rPr>
          <w:b/>
        </w:rPr>
        <w:t>233</w:t>
      </w:r>
      <w:r>
        <w:t>:67-74.</w:t>
      </w:r>
    </w:p>
    <w:p w:rsidR="00460FBE" w:rsidRDefault="00D0138C">
      <w:pPr>
        <w:pStyle w:val="EndNoteBibliography"/>
        <w:spacing w:after="0"/>
        <w:ind w:left="720" w:hanging="720"/>
      </w:pPr>
      <w:r>
        <w:t xml:space="preserve">Phillips, D. L., and P. L. Koch. 2002. Incorporating concentration dependence in stable isotope mixing models. Oecologia </w:t>
      </w:r>
      <w:r>
        <w:rPr>
          <w:b/>
        </w:rPr>
        <w:t>130</w:t>
      </w:r>
      <w:r>
        <w:t>:114-125.</w:t>
      </w:r>
    </w:p>
    <w:p w:rsidR="00460FBE" w:rsidRDefault="00D0138C">
      <w:pPr>
        <w:pStyle w:val="EndNoteBibliography"/>
        <w:spacing w:after="0"/>
        <w:ind w:left="720" w:hanging="720"/>
      </w:pPr>
      <w:r>
        <w:t xml:space="preserve">Porcel, M., G. K. Andersson, J. Pålsson, and M. Tasin. 2018. Organic management in apple orchards: higher impacts on biological control than on pollination. Journal of Applied Ecology </w:t>
      </w:r>
      <w:r>
        <w:rPr>
          <w:b/>
        </w:rPr>
        <w:t>55</w:t>
      </w:r>
      <w:r>
        <w:t>:2779-2789.</w:t>
      </w:r>
    </w:p>
    <w:p w:rsidR="00460FBE" w:rsidRDefault="00D0138C">
      <w:pPr>
        <w:pStyle w:val="EndNoteBibliography"/>
        <w:spacing w:after="0"/>
        <w:ind w:left="720" w:hanging="720"/>
      </w:pPr>
      <w:r>
        <w:t xml:space="preserve">Post, D. M. 2002. Using stable isotopes to estimate trophic position: models, methods, and assumptions. Ecology </w:t>
      </w:r>
      <w:r>
        <w:rPr>
          <w:b/>
        </w:rPr>
        <w:t>83</w:t>
      </w:r>
      <w:r>
        <w:t>:703-718.</w:t>
      </w:r>
    </w:p>
    <w:p w:rsidR="00460FBE" w:rsidRDefault="00D0138C">
      <w:pPr>
        <w:pStyle w:val="EndNoteBibliography"/>
        <w:spacing w:after="0"/>
        <w:ind w:left="720" w:hanging="720"/>
      </w:pPr>
      <w:r>
        <w:t xml:space="preserve">Prasad, R., and W. Snyder. 2006. Polyphagy complicates conservation biological control that targets generalist predators. Journal of Applied Ecology </w:t>
      </w:r>
      <w:r>
        <w:rPr>
          <w:b/>
        </w:rPr>
        <w:t>43</w:t>
      </w:r>
      <w:r>
        <w:t>:343-352.</w:t>
      </w:r>
    </w:p>
    <w:p w:rsidR="00460FBE" w:rsidRDefault="00D0138C">
      <w:pPr>
        <w:pStyle w:val="EndNoteBibliography"/>
        <w:spacing w:after="0"/>
        <w:ind w:left="720" w:hanging="720"/>
      </w:pPr>
      <w:r>
        <w:t>R Core Team. 2021. R: A language and environment for statistical computing. R Foundation for Statistical Computing, Vienna, Austria.</w:t>
      </w:r>
    </w:p>
    <w:p w:rsidR="00460FBE" w:rsidRDefault="00D0138C">
      <w:pPr>
        <w:pStyle w:val="EndNoteBibliography"/>
        <w:spacing w:after="0"/>
        <w:ind w:left="720" w:hanging="720"/>
      </w:pPr>
      <w:r>
        <w:t>Roubinet, E., K. Birkhofer, G. Malsher, K. Staudacher, B. Ekbom, M. Traugott, and M. Jonsson. 2017. Diet of generalist predators reflects effects of cropping period and farming system on extra</w:t>
      </w:r>
      <w:r>
        <w:rPr>
          <w:rFonts w:ascii="Cambria Math" w:hAnsi="Cambria Math" w:cs="Cambria Math"/>
        </w:rPr>
        <w:t>‐</w:t>
      </w:r>
      <w:r>
        <w:t xml:space="preserve">and intraguild prey. Ecological Applications </w:t>
      </w:r>
      <w:r>
        <w:rPr>
          <w:b/>
        </w:rPr>
        <w:t>27</w:t>
      </w:r>
      <w:r>
        <w:t>:1167-1177.</w:t>
      </w:r>
    </w:p>
    <w:p w:rsidR="00460FBE" w:rsidRDefault="00D0138C">
      <w:pPr>
        <w:pStyle w:val="EndNoteBibliography"/>
        <w:spacing w:after="0"/>
        <w:ind w:left="720" w:hanging="720"/>
      </w:pPr>
      <w:r>
        <w:t xml:space="preserve">Roubinet, E., T. Jonsson, G. Malsher, K. Staudacher, M. Traugott, B. Ekbom, and M. Jonsson. 2018. High redundancy as well as complementary prey choice characterize generalist predator food webs in agroecosystems. Scientific Reports </w:t>
      </w:r>
      <w:r>
        <w:rPr>
          <w:b/>
        </w:rPr>
        <w:t>8</w:t>
      </w:r>
      <w:r>
        <w:t>:1-10.</w:t>
      </w:r>
    </w:p>
    <w:p w:rsidR="00460FBE" w:rsidRDefault="00D0138C">
      <w:pPr>
        <w:pStyle w:val="EndNoteBibliography"/>
        <w:spacing w:after="0"/>
        <w:ind w:left="720" w:hanging="720"/>
      </w:pPr>
      <w: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Pr>
          <w:b/>
        </w:rPr>
        <w:t>221</w:t>
      </w:r>
      <w:r>
        <w:t>:198-204.</w:t>
      </w:r>
    </w:p>
    <w:p w:rsidR="00460FBE" w:rsidRDefault="00D0138C">
      <w:pPr>
        <w:pStyle w:val="EndNoteBibliography"/>
        <w:spacing w:after="0"/>
        <w:ind w:left="720" w:hanging="720"/>
      </w:pPr>
      <w:r>
        <w:lastRenderedPageBreak/>
        <w:t xml:space="preserve">Sanders, D., H. Nickel, T. Grützner, and C. Platner. 2008. Habitat structure mediates top–down effects of spiders and ants on herbivores. Basic and Applied Ecology </w:t>
      </w:r>
      <w:r>
        <w:rPr>
          <w:b/>
        </w:rPr>
        <w:t>9</w:t>
      </w:r>
      <w:r>
        <w:t>:152-160.</w:t>
      </w:r>
    </w:p>
    <w:p w:rsidR="00460FBE" w:rsidRDefault="00D0138C">
      <w:pPr>
        <w:pStyle w:val="EndNoteBibliography"/>
        <w:spacing w:after="0"/>
        <w:ind w:left="720" w:hanging="720"/>
      </w:pPr>
      <w:r>
        <w:t xml:space="preserve">Schmitz, O. J. 2008. Effects of predator hunting mode on grassland ecosystem function. Science </w:t>
      </w:r>
      <w:r>
        <w:rPr>
          <w:b/>
        </w:rPr>
        <w:t>319</w:t>
      </w:r>
      <w:r>
        <w:t>:952-954.</w:t>
      </w:r>
    </w:p>
    <w:p w:rsidR="00460FBE" w:rsidRDefault="00D0138C">
      <w:pPr>
        <w:pStyle w:val="EndNoteBibliography"/>
        <w:spacing w:after="0"/>
        <w:ind w:left="720" w:hanging="720"/>
      </w:pPr>
      <w:r>
        <w:t xml:space="preserve">Settle, W. H., H. Ariawan, E. T. Astuti, W. Cahyana, A. L. Hakim, D. Hindayana, and A. S. Lestari. 1996. Managing tropical rice pests through conservation of generalist natural enemies and alternative prey. Ecology </w:t>
      </w:r>
      <w:r>
        <w:rPr>
          <w:b/>
        </w:rPr>
        <w:t>77</w:t>
      </w:r>
      <w:r>
        <w:t>:1975-1988.</w:t>
      </w:r>
    </w:p>
    <w:p w:rsidR="00460FBE" w:rsidRDefault="00D0138C">
      <w:pPr>
        <w:pStyle w:val="EndNoteBibliography"/>
        <w:spacing w:after="0"/>
        <w:ind w:left="720" w:hanging="720"/>
      </w:pPr>
      <w:r>
        <w:t xml:space="preserve">Stiling, P., and T. Cornelissen. 2005. What makes a successful biocontrol agent? A meta-analysis of biological control agent performance. Biological Control </w:t>
      </w:r>
      <w:r>
        <w:rPr>
          <w:b/>
        </w:rPr>
        <w:t>34</w:t>
      </w:r>
      <w:r>
        <w:t>:236-246.</w:t>
      </w:r>
    </w:p>
    <w:p w:rsidR="00460FBE" w:rsidRDefault="00D0138C">
      <w:pPr>
        <w:pStyle w:val="EndNoteBibliography"/>
        <w:spacing w:after="0"/>
        <w:ind w:left="720" w:hanging="720"/>
      </w:pPr>
      <w:r>
        <w:t>Stock, B., and B. Semmens. 2017. MixSIAR GUI user manual v3. 1. San Diego.</w:t>
      </w:r>
    </w:p>
    <w:p w:rsidR="00460FBE" w:rsidRDefault="00D0138C">
      <w:pPr>
        <w:pStyle w:val="EndNoteBibliography"/>
        <w:spacing w:after="0"/>
        <w:ind w:left="720" w:hanging="720"/>
      </w:pPr>
      <w:r>
        <w:t xml:space="preserve">Stock, B. C., and B. X. Semmens. 2016. Unifying error structures in commonly used biotracer mixing models. Ecology </w:t>
      </w:r>
      <w:r>
        <w:rPr>
          <w:b/>
        </w:rPr>
        <w:t>97</w:t>
      </w:r>
      <w:r>
        <w:t>:2562-2569.</w:t>
      </w:r>
    </w:p>
    <w:p w:rsidR="00460FBE" w:rsidRDefault="00D0138C">
      <w:pPr>
        <w:pStyle w:val="EndNoteBibliography"/>
        <w:spacing w:after="0"/>
        <w:ind w:left="720" w:hanging="720"/>
      </w:pPr>
      <w:r>
        <w:t xml:space="preserve">Straub, C. S., D. L. Finke, and W. E. Snyder. 2008. Are the conservation of natural enemy biodiversity and biological control compatible goals? Biological Control </w:t>
      </w:r>
      <w:r>
        <w:rPr>
          <w:b/>
        </w:rPr>
        <w:t>45</w:t>
      </w:r>
      <w:r>
        <w:t>:225-237.</w:t>
      </w:r>
    </w:p>
    <w:p w:rsidR="00460FBE" w:rsidRDefault="00D0138C">
      <w:pPr>
        <w:pStyle w:val="EndNoteBibliography"/>
        <w:spacing w:after="0"/>
        <w:ind w:left="720" w:hanging="720"/>
      </w:pPr>
      <w:r>
        <w:t xml:space="preserve">Sun, J.-T., M.-M. Wang, Y.-K. Zhang, M.-P. Chapuis, X.-Y. Jiang, G. Hu, X.-M. Yang, C. Ge, X.-F. Xue, and X.-Y. Hong. 2015. Evidence for high dispersal ability and mito-nuclear discordance in the small brown planthopper, Laodelphax striatellus. Scientific Reports </w:t>
      </w:r>
      <w:r>
        <w:rPr>
          <w:b/>
        </w:rPr>
        <w:t>5</w:t>
      </w:r>
      <w:r>
        <w:t>:1-10.</w:t>
      </w:r>
    </w:p>
    <w:p w:rsidR="00460FBE" w:rsidRDefault="00D0138C">
      <w:pPr>
        <w:pStyle w:val="EndNoteBibliography"/>
        <w:spacing w:after="0"/>
        <w:ind w:left="720" w:hanging="720"/>
      </w:pPr>
      <w:r>
        <w:t xml:space="preserve">Symondson, W., K. Sunderland, and M. Greenstone. 2002. Can generalist predators be effective biocontrol agents? Annual review of entomology </w:t>
      </w:r>
      <w:r>
        <w:rPr>
          <w:b/>
        </w:rPr>
        <w:t>47</w:t>
      </w:r>
      <w:r>
        <w:t>:561-594.</w:t>
      </w:r>
    </w:p>
    <w:p w:rsidR="00460FBE" w:rsidRDefault="00D0138C">
      <w:pPr>
        <w:pStyle w:val="EndNoteBibliography"/>
        <w:spacing w:after="0"/>
        <w:ind w:left="720" w:hanging="720"/>
      </w:pPr>
      <w:r>
        <w:t xml:space="preserve">Whitney, T. D., M. I. Sitvarin, E. A. Roualdes, S. J. Bonner, and J. D. Harwood. 2018. Selectivity underlies the dissociation between seasonal prey availability and prey consumption in a generalist predator. Molecular ecology </w:t>
      </w:r>
      <w:r>
        <w:rPr>
          <w:b/>
        </w:rPr>
        <w:t>27</w:t>
      </w:r>
      <w:r>
        <w:t>:1739-1748.</w:t>
      </w:r>
    </w:p>
    <w:p w:rsidR="00460FBE" w:rsidRDefault="00D0138C">
      <w:pPr>
        <w:pStyle w:val="EndNoteBibliography"/>
        <w:spacing w:after="0"/>
        <w:ind w:left="720" w:hanging="720"/>
      </w:pPr>
      <w:r>
        <w:t xml:space="preserve">Wise, D. H., D. M. Moldenhauer, and J. Halaj. 2006. Using stable isotopes to reveal shifts in prey consumption by generalist predators. Ecological Applications </w:t>
      </w:r>
      <w:r>
        <w:rPr>
          <w:b/>
        </w:rPr>
        <w:t>16</w:t>
      </w:r>
      <w:r>
        <w:t>:865-876.</w:t>
      </w:r>
    </w:p>
    <w:p w:rsidR="00460FBE" w:rsidRDefault="00D0138C">
      <w:pPr>
        <w:pStyle w:val="EndNoteBibliography"/>
        <w:ind w:left="720" w:hanging="720"/>
      </w:pPr>
      <w:r>
        <w:t xml:space="preserve">Zeileis, A., F. Cribari-Neto, B. Gruen, I. Kosmidis, A. B. Simas, A. V. Rocha, and M. A. Zeileis. 2016. Package ‘betareg’. R package </w:t>
      </w:r>
      <w:r>
        <w:rPr>
          <w:b/>
        </w:rPr>
        <w:t>3</w:t>
      </w:r>
      <w:r>
        <w:t>:2.</w:t>
      </w:r>
    </w:p>
    <w:p w:rsidR="00460FBE" w:rsidRDefault="00460FBE">
      <w:pPr>
        <w:jc w:val="center"/>
        <w:rPr>
          <w:color w:val="FF0000"/>
        </w:rPr>
      </w:pPr>
      <w:r>
        <w:rPr>
          <w:color w:val="FF0000"/>
        </w:rPr>
        <w:fldChar w:fldCharType="end"/>
      </w:r>
      <w:r w:rsidR="00D0138C">
        <w:rPr>
          <w:color w:val="FF0000"/>
        </w:rPr>
        <w:br w:type="page"/>
      </w:r>
    </w:p>
    <w:p w:rsidR="00460FBE" w:rsidRDefault="00D0138C">
      <w:pPr>
        <w:jc w:val="center"/>
        <w:rPr>
          <w:b/>
          <w:bCs/>
          <w:szCs w:val="24"/>
        </w:rPr>
      </w:pPr>
      <w:r>
        <w:rPr>
          <w:rFonts w:hint="eastAsia"/>
          <w:b/>
          <w:bCs/>
          <w:szCs w:val="24"/>
        </w:rPr>
        <w:lastRenderedPageBreak/>
        <w:t>Appendix S1</w:t>
      </w:r>
    </w:p>
    <w:p w:rsidR="00460FBE" w:rsidRDefault="00D0138C">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460FBE" w:rsidRDefault="00D0138C">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460FBE" w:rsidTr="00CF5EBA">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460FBE" w:rsidRDefault="00D0138C" w:rsidP="00CF5EBA">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r>
              <w:rPr>
                <w:sz w:val="24"/>
                <w:szCs w:val="24"/>
              </w:rPr>
              <w:t>Family/Genus</w:t>
            </w:r>
          </w:p>
        </w:tc>
      </w:tr>
      <w:tr w:rsidR="00460FBE" w:rsidTr="00CF5EBA">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460FBE" w:rsidRDefault="00D0138C" w:rsidP="00CF5EBA">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Araneidae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Clubionidae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Oxyopidae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Tetragnathidae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Thomisidae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bCs/>
                <w:sz w:val="24"/>
                <w:szCs w:val="24"/>
              </w:rPr>
              <w:t>Carabidae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Coccinellidae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Hesperiidae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Pyralidae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rPr>
              <w:t>Nymphalidae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Chrysomelidae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Acrididae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Chironomidae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Chloropidae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Ephydridae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Muscidae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Sphaeroceridae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Stratiomyidae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460FBE" w:rsidRDefault="00D0138C" w:rsidP="00CF5EBA">
            <w:pPr>
              <w:ind w:left="-572" w:firstLine="572"/>
              <w:rPr>
                <w:sz w:val="24"/>
                <w:szCs w:val="24"/>
              </w:rPr>
            </w:pPr>
            <w:proofErr w:type="spellStart"/>
            <w:r>
              <w:rPr>
                <w:sz w:val="24"/>
                <w:szCs w:val="24"/>
              </w:rPr>
              <w:t>Tephritidae</w:t>
            </w:r>
            <w:proofErr w:type="spellEnd"/>
          </w:p>
        </w:tc>
      </w:tr>
      <w:tr w:rsidR="00460FBE" w:rsidTr="00CF5EBA">
        <w:trPr>
          <w:trHeight w:hRule="exact" w:val="368"/>
        </w:trPr>
        <w:tc>
          <w:tcPr>
            <w:tcW w:w="2410" w:type="dxa"/>
            <w:shd w:val="clear" w:color="auto" w:fill="auto"/>
            <w:tcMar>
              <w:top w:w="80" w:type="dxa"/>
              <w:left w:w="80" w:type="dxa"/>
              <w:bottom w:w="80" w:type="dxa"/>
              <w:right w:w="80" w:type="dxa"/>
            </w:tcMar>
            <w:vAlign w:val="center"/>
          </w:tcPr>
          <w:p w:rsidR="00460FBE" w:rsidRDefault="00460FBE" w:rsidP="00CF5EBA">
            <w:pPr>
              <w:ind w:left="-572" w:firstLine="572"/>
              <w:rPr>
                <w:sz w:val="24"/>
                <w:szCs w:val="24"/>
              </w:rPr>
            </w:pPr>
          </w:p>
        </w:tc>
        <w:tc>
          <w:tcPr>
            <w:tcW w:w="2151" w:type="dxa"/>
            <w:shd w:val="clear" w:color="auto" w:fill="auto"/>
            <w:vAlign w:val="center"/>
          </w:tcPr>
          <w:p w:rsidR="00460FBE" w:rsidRDefault="00D0138C" w:rsidP="00CF5EBA">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460FBE" w:rsidRDefault="00D0138C" w:rsidP="00CF5EBA">
            <w:pPr>
              <w:ind w:left="-572" w:firstLine="572"/>
              <w:rPr>
                <w:sz w:val="24"/>
                <w:szCs w:val="24"/>
              </w:rPr>
            </w:pPr>
            <w:proofErr w:type="spellStart"/>
            <w:r>
              <w:rPr>
                <w:sz w:val="24"/>
                <w:szCs w:val="24"/>
              </w:rPr>
              <w:t>Tetrigidae</w:t>
            </w:r>
            <w:proofErr w:type="spellEnd"/>
          </w:p>
        </w:tc>
      </w:tr>
    </w:tbl>
    <w:p w:rsidR="00460FBE" w:rsidRDefault="00460FBE" w:rsidP="00CF5EBA">
      <w:pPr>
        <w:spacing w:line="480" w:lineRule="auto"/>
        <w:rPr>
          <w:bCs/>
        </w:rPr>
      </w:pPr>
    </w:p>
    <w:p w:rsidR="00460FBE" w:rsidRDefault="00D0138C" w:rsidP="00CF5EBA">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460FBE" w:rsidTr="00CF5EBA">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460FBE" w:rsidRDefault="00D0138C" w:rsidP="00CF5EBA">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Family/Genus</w:t>
            </w:r>
          </w:p>
        </w:tc>
      </w:tr>
      <w:tr w:rsidR="00460FBE" w:rsidTr="00CF5EBA">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Araneidae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Clubionidae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Oxyopidae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Tetragnathidae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Thomisidae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Coccinellidae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Hesperiidae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Pyralidae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460FBE" w:rsidRDefault="00D0138C" w:rsidP="00CF5EBA">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Chrysomelidae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Acrididae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Chironomidae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Chloropidae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Ephydridae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Muscidae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Sciomyzidae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Stratiomyidae</w:t>
            </w:r>
            <w:proofErr w:type="spellEnd"/>
          </w:p>
        </w:tc>
      </w:tr>
      <w:tr w:rsidR="00460FBE" w:rsidTr="00CF5EBA">
        <w:trPr>
          <w:trHeight w:hRule="exact" w:val="336"/>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Tetrigidae</w:t>
            </w:r>
            <w:proofErr w:type="spellEnd"/>
          </w:p>
        </w:tc>
      </w:tr>
    </w:tbl>
    <w:p w:rsidR="00460FBE" w:rsidRDefault="00460FBE" w:rsidP="00CF5EBA">
      <w:pPr>
        <w:spacing w:line="480" w:lineRule="auto"/>
        <w:rPr>
          <w:bCs/>
          <w:color w:val="FF0000"/>
        </w:rPr>
      </w:pPr>
    </w:p>
    <w:p w:rsidR="00460FBE" w:rsidRDefault="00D0138C" w:rsidP="00CF5EBA">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460FBE" w:rsidTr="00CF5EBA">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460FBE" w:rsidRDefault="00D0138C" w:rsidP="00CF5EBA">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Family/Genus</w:t>
            </w:r>
          </w:p>
        </w:tc>
      </w:tr>
      <w:tr w:rsidR="00460FBE" w:rsidTr="00CF5EBA">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Araneidae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Clubionidae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Oxyopidae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Tetragnathidae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Thomisidae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Coccinellidae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Rice herbivore</w:t>
            </w:r>
            <w:r>
              <w:rPr>
                <w:rFonts w:hint="eastAsia"/>
                <w:sz w:val="24"/>
                <w:szCs w:val="24"/>
              </w:rPr>
              <w:t>s</w:t>
            </w:r>
          </w:p>
        </w:tc>
        <w:tc>
          <w:tcPr>
            <w:tcW w:w="2126" w:type="dxa"/>
            <w:shd w:val="clear" w:color="auto" w:fill="auto"/>
          </w:tcPr>
          <w:p w:rsidR="00460FBE" w:rsidRDefault="00D0138C" w:rsidP="00CF5EBA">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460FBE" w:rsidRDefault="00D0138C" w:rsidP="00CF5EBA">
            <w:pPr>
              <w:rPr>
                <w:sz w:val="24"/>
              </w:rPr>
            </w:pPr>
            <w:proofErr w:type="spellStart"/>
            <w:r>
              <w:rPr>
                <w:sz w:val="24"/>
              </w:rPr>
              <w:t>Agromyzidae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Coreidae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Miridae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Ricaniidae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Hesperiidae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Nymphalidae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Pyralidae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D0138C" w:rsidP="00CF5EBA">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460FBE" w:rsidRDefault="00D0138C" w:rsidP="00CF5EBA">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Chrysomelidae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Acrididae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Calliphoridae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Chironomidae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Chloropidae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Ephydridae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Lauxaniidae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Muscidae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Phoridae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Platystomatidae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Sarcophagidae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Sciomyzidae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Sphaeroceridae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Stratiomyidae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Tephritidae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Tetrigidae</w:t>
            </w:r>
            <w:proofErr w:type="spellEnd"/>
          </w:p>
        </w:tc>
      </w:tr>
      <w:tr w:rsidR="00460FBE" w:rsidTr="00CF5EBA">
        <w:trPr>
          <w:trHeight w:hRule="exact" w:val="369"/>
        </w:trPr>
        <w:tc>
          <w:tcPr>
            <w:tcW w:w="2410" w:type="dxa"/>
            <w:shd w:val="clear" w:color="auto" w:fill="auto"/>
            <w:tcMar>
              <w:top w:w="80" w:type="dxa"/>
              <w:left w:w="80" w:type="dxa"/>
              <w:bottom w:w="80" w:type="dxa"/>
              <w:right w:w="80" w:type="dxa"/>
            </w:tcMar>
            <w:vAlign w:val="center"/>
          </w:tcPr>
          <w:p w:rsidR="00460FBE" w:rsidRDefault="00460FBE" w:rsidP="00CF5EBA">
            <w:pPr>
              <w:rPr>
                <w:sz w:val="24"/>
                <w:szCs w:val="24"/>
              </w:rPr>
            </w:pPr>
          </w:p>
        </w:tc>
        <w:tc>
          <w:tcPr>
            <w:tcW w:w="2126" w:type="dxa"/>
            <w:shd w:val="clear" w:color="auto" w:fill="auto"/>
            <w:vAlign w:val="center"/>
          </w:tcPr>
          <w:p w:rsidR="00460FBE" w:rsidRDefault="00D0138C" w:rsidP="00CF5EBA">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460FBE" w:rsidRDefault="00D0138C" w:rsidP="00CF5EBA">
            <w:pPr>
              <w:rPr>
                <w:sz w:val="24"/>
                <w:szCs w:val="24"/>
              </w:rPr>
            </w:pPr>
            <w:proofErr w:type="spellStart"/>
            <w:r>
              <w:rPr>
                <w:sz w:val="24"/>
                <w:szCs w:val="24"/>
              </w:rPr>
              <w:t>Tridactylidae</w:t>
            </w:r>
            <w:proofErr w:type="spellEnd"/>
          </w:p>
        </w:tc>
      </w:tr>
    </w:tbl>
    <w:p w:rsidR="00460FBE" w:rsidRDefault="00460FBE">
      <w:pPr>
        <w:rPr>
          <w:b/>
          <w:color w:val="FF0000"/>
          <w:sz w:val="24"/>
          <w:szCs w:val="24"/>
        </w:rPr>
      </w:pPr>
    </w:p>
    <w:p w:rsidR="00460FBE" w:rsidRDefault="00D0138C">
      <w:pPr>
        <w:rPr>
          <w:b/>
          <w:color w:val="FF0000"/>
          <w:sz w:val="24"/>
          <w:szCs w:val="24"/>
        </w:rPr>
      </w:pPr>
      <w:r>
        <w:rPr>
          <w:b/>
          <w:color w:val="FF0000"/>
          <w:sz w:val="24"/>
          <w:szCs w:val="24"/>
        </w:rPr>
        <w:br w:type="page"/>
      </w:r>
    </w:p>
    <w:p w:rsidR="00460FBE" w:rsidRDefault="00D0138C">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460FBE" w:rsidTr="00460FBE">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460FBE" w:rsidRDefault="00D0138C">
            <w:pPr>
              <w:spacing w:after="0" w:line="240" w:lineRule="auto"/>
              <w:jc w:val="left"/>
              <w:rPr>
                <w:rFonts w:cs="Arial"/>
                <w:bCs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460FBE" w:rsidRDefault="00D0138C">
            <w:pPr>
              <w:spacing w:after="0" w:line="240" w:lineRule="auto"/>
              <w:jc w:val="left"/>
              <w:cnfStyle w:val="100000000000"/>
              <w:rPr>
                <w:rFonts w:cs="Arial"/>
                <w:bCs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460FBE" w:rsidRDefault="00D0138C">
            <w:pPr>
              <w:spacing w:after="0" w:line="240" w:lineRule="auto"/>
              <w:jc w:val="left"/>
              <w:cnfStyle w:val="100000000000"/>
              <w:rPr>
                <w:rFonts w:cs="Arial"/>
                <w:bCs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460FBE" w:rsidRDefault="00D0138C">
            <w:pPr>
              <w:spacing w:after="0" w:line="240" w:lineRule="auto"/>
              <w:jc w:val="left"/>
              <w:cnfStyle w:val="100000000000"/>
              <w:rPr>
                <w:rFonts w:cs="Arial"/>
                <w:bCs w:val="0"/>
                <w:color w:val="auto"/>
                <w:sz w:val="22"/>
              </w:rPr>
            </w:pPr>
            <w:r>
              <w:rPr>
                <w:rFonts w:cs="Arial"/>
                <w:b w:val="0"/>
                <w:color w:val="auto"/>
                <w:sz w:val="22"/>
              </w:rPr>
              <w:t>Predator</w:t>
            </w:r>
          </w:p>
        </w:tc>
        <w:tc>
          <w:tcPr>
            <w:tcW w:w="5605" w:type="dxa"/>
            <w:gridSpan w:val="3"/>
            <w:shd w:val="clear" w:color="auto" w:fill="auto"/>
            <w:noWrap/>
            <w:vAlign w:val="center"/>
          </w:tcPr>
          <w:p w:rsidR="00460FBE" w:rsidRDefault="00D0138C">
            <w:pPr>
              <w:spacing w:after="0" w:line="240" w:lineRule="auto"/>
              <w:jc w:val="center"/>
              <w:cnfStyle w:val="100000000000"/>
              <w:rPr>
                <w:rFonts w:cs="Arial"/>
                <w:bCs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460FBE" w:rsidRDefault="00D0138C">
            <w:pPr>
              <w:spacing w:after="0" w:line="240" w:lineRule="auto"/>
              <w:jc w:val="center"/>
              <w:cnfStyle w:val="100000000000"/>
              <w:rPr>
                <w:rFonts w:cs="Arial"/>
                <w:b w:val="0"/>
                <w:bCs w:val="0"/>
                <w:i/>
                <w:color w:val="auto"/>
                <w:sz w:val="22"/>
              </w:rPr>
            </w:pPr>
            <w:r>
              <w:rPr>
                <w:rFonts w:cs="Arial"/>
                <w:b w:val="0"/>
                <w:i/>
                <w:color w:val="auto"/>
                <w:sz w:val="22"/>
              </w:rPr>
              <w:t>n</w:t>
            </w:r>
          </w:p>
        </w:tc>
      </w:tr>
      <w:tr w:rsidR="00460FBE" w:rsidTr="00460FBE">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460FBE" w:rsidRDefault="00460FBE">
            <w:pPr>
              <w:spacing w:after="0" w:line="240" w:lineRule="auto"/>
              <w:jc w:val="center"/>
              <w:cnfStyle w:val="000000000000"/>
              <w:rPr>
                <w:rFonts w:cs="Arial"/>
                <w:color w:val="auto"/>
                <w:sz w:val="22"/>
              </w:rPr>
            </w:pPr>
          </w:p>
        </w:tc>
      </w:tr>
      <w:tr w:rsidR="00460FBE" w:rsidTr="00460FBE">
        <w:trPr>
          <w:trHeight w:val="401"/>
          <w:jc w:val="center"/>
        </w:trPr>
        <w:tc>
          <w:tcPr>
            <w:cnfStyle w:val="001000000000"/>
            <w:tcW w:w="743" w:type="dxa"/>
            <w:tcBorders>
              <w:top w:val="single" w:sz="4" w:space="0" w:color="000000" w:themeColor="text1"/>
            </w:tcBorders>
            <w:shd w:val="clear" w:color="auto" w:fill="auto"/>
            <w:noWrap/>
            <w:vAlign w:val="center"/>
          </w:tcPr>
          <w:p w:rsidR="00460FBE" w:rsidRDefault="00D0138C">
            <w:pPr>
              <w:spacing w:after="0" w:line="240" w:lineRule="auto"/>
              <w:jc w:val="left"/>
              <w:rPr>
                <w:rFonts w:cs="Arial"/>
                <w:bCs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460FBE" w:rsidRDefault="00D0138C">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1</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1</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1</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2</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2</w:t>
            </w:r>
          </w:p>
        </w:tc>
      </w:tr>
      <w:tr w:rsidR="00460FBE" w:rsidTr="00460FBE">
        <w:trPr>
          <w:trHeight w:val="401"/>
          <w:jc w:val="center"/>
        </w:trPr>
        <w:tc>
          <w:tcPr>
            <w:cnfStyle w:val="001000000000"/>
            <w:tcW w:w="743" w:type="dxa"/>
            <w:shd w:val="clear" w:color="auto" w:fill="auto"/>
            <w:noWrap/>
            <w:vAlign w:val="center"/>
          </w:tcPr>
          <w:p w:rsidR="00460FBE" w:rsidRDefault="00D0138C">
            <w:pPr>
              <w:spacing w:after="0" w:line="240" w:lineRule="auto"/>
              <w:jc w:val="left"/>
              <w:rPr>
                <w:rFonts w:cs="Arial"/>
                <w:bCs w:val="0"/>
                <w:color w:val="auto"/>
                <w:sz w:val="22"/>
              </w:rPr>
            </w:pPr>
            <w:r>
              <w:rPr>
                <w:rFonts w:cs="Arial"/>
                <w:b w:val="0"/>
                <w:color w:val="auto"/>
                <w:sz w:val="22"/>
              </w:rPr>
              <w:t>2018</w:t>
            </w:r>
          </w:p>
        </w:tc>
        <w:tc>
          <w:tcPr>
            <w:tcW w:w="1578"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6</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6</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4</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4</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6</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6</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2</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2</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shd w:val="clear" w:color="auto" w:fill="auto"/>
            <w:noWrap/>
            <w:vAlign w:val="center"/>
          </w:tcPr>
          <w:p w:rsidR="00460FBE" w:rsidRDefault="00D0138C">
            <w:pPr>
              <w:spacing w:after="0" w:line="240" w:lineRule="auto"/>
              <w:jc w:val="left"/>
              <w:rPr>
                <w:rFonts w:cs="Arial"/>
                <w:bCs w:val="0"/>
                <w:color w:val="auto"/>
                <w:sz w:val="22"/>
              </w:rPr>
            </w:pPr>
            <w:r>
              <w:rPr>
                <w:rFonts w:cs="Arial"/>
                <w:b w:val="0"/>
                <w:color w:val="auto"/>
                <w:sz w:val="22"/>
              </w:rPr>
              <w:t>2019</w:t>
            </w:r>
          </w:p>
        </w:tc>
        <w:tc>
          <w:tcPr>
            <w:tcW w:w="1578"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6</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2</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7</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6</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shd w:val="clear" w:color="auto" w:fill="auto"/>
            <w:noWrap/>
            <w:vAlign w:val="center"/>
          </w:tcPr>
          <w:p w:rsidR="00460FBE" w:rsidRDefault="00460FBE">
            <w:pPr>
              <w:spacing w:after="0" w:line="240" w:lineRule="auto"/>
              <w:jc w:val="left"/>
              <w:rPr>
                <w:rFonts w:cs="Arial"/>
                <w:bCs w:val="0"/>
                <w:color w:val="auto"/>
                <w:sz w:val="22"/>
              </w:rPr>
            </w:pPr>
          </w:p>
        </w:tc>
        <w:tc>
          <w:tcPr>
            <w:tcW w:w="1578"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5</w:t>
            </w:r>
          </w:p>
        </w:tc>
      </w:tr>
      <w:tr w:rsidR="00460FBE" w:rsidTr="00460FBE">
        <w:trPr>
          <w:trHeight w:val="401"/>
          <w:jc w:val="center"/>
        </w:trPr>
        <w:tc>
          <w:tcPr>
            <w:cnfStyle w:val="001000000000"/>
            <w:tcW w:w="743" w:type="dxa"/>
            <w:tcBorders>
              <w:left w:val="nil"/>
              <w:right w:val="nil"/>
            </w:tcBorders>
            <w:shd w:val="clear" w:color="auto" w:fill="auto"/>
            <w:noWrap/>
            <w:vAlign w:val="center"/>
          </w:tcPr>
          <w:p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460FBE">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460FBE" w:rsidRDefault="00D0138C">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460FBE" w:rsidRDefault="00D0138C">
            <w:pPr>
              <w:spacing w:after="0" w:line="240" w:lineRule="auto"/>
              <w:jc w:val="center"/>
              <w:cnfStyle w:val="000000000000"/>
              <w:rPr>
                <w:rFonts w:cs="Arial"/>
                <w:color w:val="auto"/>
                <w:sz w:val="22"/>
              </w:rPr>
            </w:pPr>
            <w:r>
              <w:rPr>
                <w:rFonts w:cs="Arial"/>
                <w:color w:val="auto"/>
                <w:sz w:val="22"/>
              </w:rPr>
              <w:t>3</w:t>
            </w:r>
          </w:p>
        </w:tc>
      </w:tr>
    </w:tbl>
    <w:p w:rsidR="00460FBE" w:rsidRDefault="00D0138C">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460FBE" w:rsidRDefault="00D0138C">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460FBE" w:rsidTr="00D0138C">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460FBE" w:rsidRDefault="00D0138C">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460FBE" w:rsidRDefault="00D0138C">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460FBE" w:rsidRDefault="00D0138C">
            <w:pPr>
              <w:spacing w:line="240" w:lineRule="auto"/>
              <w:jc w:val="center"/>
              <w:rPr>
                <w:sz w:val="24"/>
                <w:szCs w:val="24"/>
              </w:rPr>
            </w:pPr>
            <w:r>
              <w:rPr>
                <w:rFonts w:hint="eastAsia"/>
                <w:sz w:val="24"/>
                <w:szCs w:val="24"/>
              </w:rPr>
              <w:t>Year 2019</w:t>
            </w:r>
          </w:p>
        </w:tc>
      </w:tr>
      <w:tr w:rsidR="00460FBE" w:rsidTr="00D0138C">
        <w:trPr>
          <w:trHeight w:hRule="exact" w:val="461"/>
        </w:trPr>
        <w:tc>
          <w:tcPr>
            <w:tcW w:w="1821"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69.7%</w:t>
            </w:r>
          </w:p>
        </w:tc>
      </w:tr>
      <w:tr w:rsidR="00460FBE" w:rsidTr="00D0138C">
        <w:trPr>
          <w:trHeight w:hRule="exact" w:val="461"/>
        </w:trPr>
        <w:tc>
          <w:tcPr>
            <w:tcW w:w="1821"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25.4%</w:t>
            </w:r>
          </w:p>
        </w:tc>
      </w:tr>
      <w:tr w:rsidR="00460FBE" w:rsidTr="00D0138C">
        <w:trPr>
          <w:trHeight w:hRule="exact" w:val="461"/>
        </w:trPr>
        <w:tc>
          <w:tcPr>
            <w:tcW w:w="1821"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460FBE" w:rsidRDefault="00D0138C">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1.3%</w:t>
            </w:r>
          </w:p>
        </w:tc>
      </w:tr>
      <w:tr w:rsidR="00460FBE" w:rsidTr="00D0138C">
        <w:trPr>
          <w:trHeight w:hRule="exact" w:val="461"/>
        </w:trPr>
        <w:tc>
          <w:tcPr>
            <w:tcW w:w="1821"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0.8%</w:t>
            </w:r>
          </w:p>
        </w:tc>
      </w:tr>
      <w:tr w:rsidR="00460FBE" w:rsidTr="00D0138C">
        <w:trPr>
          <w:trHeight w:hRule="exact" w:val="461"/>
        </w:trPr>
        <w:tc>
          <w:tcPr>
            <w:tcW w:w="1821"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2.8%</w:t>
            </w:r>
          </w:p>
        </w:tc>
      </w:tr>
      <w:tr w:rsidR="00460FBE" w:rsidTr="00D0138C">
        <w:trPr>
          <w:trHeight w:hRule="exact" w:val="461"/>
        </w:trPr>
        <w:tc>
          <w:tcPr>
            <w:tcW w:w="1821" w:type="pct"/>
            <w:shd w:val="clear" w:color="auto" w:fill="auto"/>
            <w:tcMar>
              <w:top w:w="80" w:type="dxa"/>
              <w:left w:w="80" w:type="dxa"/>
              <w:bottom w:w="80" w:type="dxa"/>
              <w:right w:w="80" w:type="dxa"/>
            </w:tcMar>
            <w:vAlign w:val="center"/>
          </w:tcPr>
          <w:p w:rsidR="00460FBE" w:rsidRDefault="00D0138C">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460FBE" w:rsidRDefault="00D0138C">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460FBE" w:rsidRDefault="00D0138C">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460FBE" w:rsidRDefault="00D0138C">
            <w:pPr>
              <w:spacing w:line="240" w:lineRule="auto"/>
              <w:jc w:val="center"/>
              <w:rPr>
                <w:sz w:val="24"/>
                <w:szCs w:val="24"/>
              </w:rPr>
            </w:pPr>
            <w:r>
              <w:rPr>
                <w:sz w:val="24"/>
                <w:szCs w:val="24"/>
              </w:rPr>
              <w:t>100%</w:t>
            </w:r>
          </w:p>
        </w:tc>
      </w:tr>
    </w:tbl>
    <w:p w:rsidR="00460FBE" w:rsidRDefault="00460FBE">
      <w:pPr>
        <w:spacing w:line="480" w:lineRule="auto"/>
        <w:rPr>
          <w:b/>
          <w:szCs w:val="24"/>
        </w:rPr>
      </w:pPr>
    </w:p>
    <w:p w:rsidR="00460FBE" w:rsidRDefault="00D0138C">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460FBE" w:rsidTr="00D0138C">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460FBE" w:rsidRDefault="00D0138C">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460FBE" w:rsidRDefault="00D0138C">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460FBE" w:rsidRDefault="00D0138C">
            <w:pPr>
              <w:spacing w:line="240" w:lineRule="auto"/>
              <w:jc w:val="center"/>
              <w:rPr>
                <w:sz w:val="24"/>
                <w:szCs w:val="24"/>
              </w:rPr>
            </w:pPr>
            <w:r>
              <w:rPr>
                <w:rFonts w:hint="eastAsia"/>
                <w:sz w:val="24"/>
                <w:szCs w:val="24"/>
              </w:rPr>
              <w:t>Year 2019</w:t>
            </w:r>
          </w:p>
        </w:tc>
      </w:tr>
      <w:tr w:rsidR="00460FBE" w:rsidTr="00D0138C">
        <w:trPr>
          <w:trHeight w:hRule="exact" w:val="461"/>
        </w:trPr>
        <w:tc>
          <w:tcPr>
            <w:tcW w:w="1808"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83.5%</w:t>
            </w:r>
          </w:p>
        </w:tc>
      </w:tr>
      <w:tr w:rsidR="00460FBE" w:rsidTr="00D0138C">
        <w:trPr>
          <w:trHeight w:hRule="exact" w:val="461"/>
        </w:trPr>
        <w:tc>
          <w:tcPr>
            <w:tcW w:w="1808"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6.2%</w:t>
            </w:r>
          </w:p>
        </w:tc>
      </w:tr>
      <w:tr w:rsidR="00460FBE" w:rsidTr="00D0138C">
        <w:trPr>
          <w:trHeight w:hRule="exact" w:val="461"/>
        </w:trPr>
        <w:tc>
          <w:tcPr>
            <w:tcW w:w="1808"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460FBE" w:rsidRDefault="00D0138C">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460FBE" w:rsidRDefault="00D0138C">
            <w:pPr>
              <w:jc w:val="center"/>
              <w:textAlignment w:val="center"/>
              <w:rPr>
                <w:sz w:val="24"/>
                <w:szCs w:val="24"/>
              </w:rPr>
            </w:pPr>
            <w:r>
              <w:rPr>
                <w:rFonts w:eastAsia="SimSun" w:cs="Arial"/>
                <w:sz w:val="24"/>
                <w:szCs w:val="24"/>
                <w:lang w:eastAsia="zh-CN"/>
              </w:rPr>
              <w:t>4.1%</w:t>
            </w:r>
          </w:p>
        </w:tc>
      </w:tr>
      <w:tr w:rsidR="00460FBE" w:rsidTr="00D0138C">
        <w:trPr>
          <w:trHeight w:hRule="exact" w:val="461"/>
        </w:trPr>
        <w:tc>
          <w:tcPr>
            <w:tcW w:w="1808"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4.5%</w:t>
            </w:r>
          </w:p>
        </w:tc>
      </w:tr>
      <w:tr w:rsidR="00460FBE" w:rsidTr="00D0138C">
        <w:trPr>
          <w:trHeight w:hRule="exact" w:val="461"/>
        </w:trPr>
        <w:tc>
          <w:tcPr>
            <w:tcW w:w="1808" w:type="pct"/>
            <w:shd w:val="clear" w:color="auto" w:fill="auto"/>
            <w:tcMar>
              <w:top w:w="80" w:type="dxa"/>
              <w:left w:w="80" w:type="dxa"/>
              <w:bottom w:w="80" w:type="dxa"/>
              <w:right w:w="80" w:type="dxa"/>
            </w:tcMar>
            <w:vAlign w:val="center"/>
          </w:tcPr>
          <w:p w:rsidR="00460FBE" w:rsidRDefault="00D0138C">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460FBE" w:rsidRDefault="00D0138C">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460FBE" w:rsidRDefault="00D0138C">
            <w:pPr>
              <w:jc w:val="center"/>
              <w:textAlignment w:val="center"/>
              <w:rPr>
                <w:sz w:val="24"/>
                <w:szCs w:val="24"/>
              </w:rPr>
            </w:pPr>
            <w:r>
              <w:rPr>
                <w:rFonts w:eastAsia="SimSun" w:cs="Arial"/>
                <w:sz w:val="24"/>
                <w:szCs w:val="24"/>
                <w:lang w:eastAsia="zh-CN"/>
              </w:rPr>
              <w:t>1.7%</w:t>
            </w:r>
          </w:p>
        </w:tc>
      </w:tr>
      <w:tr w:rsidR="00460FBE" w:rsidTr="00D0138C">
        <w:trPr>
          <w:trHeight w:hRule="exact" w:val="461"/>
        </w:trPr>
        <w:tc>
          <w:tcPr>
            <w:tcW w:w="1808" w:type="pct"/>
            <w:shd w:val="clear" w:color="auto" w:fill="auto"/>
            <w:tcMar>
              <w:top w:w="80" w:type="dxa"/>
              <w:left w:w="80" w:type="dxa"/>
              <w:bottom w:w="80" w:type="dxa"/>
              <w:right w:w="80" w:type="dxa"/>
            </w:tcMar>
            <w:vAlign w:val="center"/>
          </w:tcPr>
          <w:p w:rsidR="00460FBE" w:rsidRDefault="00D0138C">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460FBE" w:rsidRDefault="00D0138C">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460FBE" w:rsidRDefault="00D0138C">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460FBE" w:rsidRDefault="00D0138C">
            <w:pPr>
              <w:spacing w:line="240" w:lineRule="auto"/>
              <w:jc w:val="center"/>
              <w:rPr>
                <w:sz w:val="24"/>
                <w:szCs w:val="24"/>
              </w:rPr>
            </w:pPr>
            <w:r>
              <w:rPr>
                <w:sz w:val="24"/>
                <w:szCs w:val="24"/>
              </w:rPr>
              <w:t>100%</w:t>
            </w:r>
          </w:p>
        </w:tc>
      </w:tr>
    </w:tbl>
    <w:p w:rsidR="00460FBE" w:rsidRDefault="00460FBE">
      <w:pPr>
        <w:spacing w:line="480" w:lineRule="auto"/>
        <w:rPr>
          <w:b/>
          <w:color w:val="FF0000"/>
          <w:szCs w:val="24"/>
        </w:rPr>
      </w:pPr>
    </w:p>
    <w:p w:rsidR="00460FBE" w:rsidRDefault="00D0138C">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p>
    <w:p w:rsidR="00460FBE" w:rsidRDefault="00D0138C">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Bayesian stable isotope mixing models averaged over all replicate farms.</w:t>
      </w:r>
    </w:p>
    <w:p w:rsidR="00460FBE" w:rsidRDefault="00D0138C">
      <w:pPr>
        <w:rPr>
          <w:sz w:val="24"/>
          <w:szCs w:val="24"/>
        </w:rPr>
      </w:pPr>
      <w:r>
        <w:rPr>
          <w:sz w:val="24"/>
          <w:szCs w:val="24"/>
        </w:rPr>
        <w:br w:type="page"/>
      </w:r>
    </w:p>
    <w:p w:rsidR="00460FBE" w:rsidRDefault="00D0138C">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460FBE" w:rsidRDefault="00D0138C">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rsidR="00460FBE" w:rsidRDefault="00D0138C">
      <w:pPr>
        <w:rPr>
          <w:sz w:val="24"/>
          <w:szCs w:val="24"/>
        </w:rPr>
      </w:pPr>
      <w:r>
        <w:rPr>
          <w:sz w:val="24"/>
          <w:szCs w:val="24"/>
        </w:rPr>
        <w:br w:type="page"/>
      </w:r>
    </w:p>
    <w:p w:rsidR="00460FBE" w:rsidRDefault="00D0138C">
      <w:pPr>
        <w:jc w:val="center"/>
        <w:rPr>
          <w:b/>
          <w:bCs/>
          <w:color w:val="FF0000"/>
        </w:rPr>
      </w:pPr>
      <w:r>
        <w:rPr>
          <w:rFonts w:hint="eastAsia"/>
          <w:b/>
          <w:bCs/>
          <w:color w:val="FF0000"/>
        </w:rPr>
        <w:lastRenderedPageBreak/>
        <w:t>Appendix S2</w:t>
      </w:r>
    </w:p>
    <w:p w:rsidR="00460FBE" w:rsidRDefault="00D0138C">
      <w:pPr>
        <w:rPr>
          <w:color w:val="FF0000"/>
        </w:rPr>
      </w:pPr>
      <w:r>
        <w:rPr>
          <w:rFonts w:hint="eastAsia"/>
          <w:color w:val="FF0000"/>
        </w:rPr>
        <w:t>Methods</w:t>
      </w:r>
      <w:r>
        <w:rPr>
          <w:rFonts w:cs="Arial"/>
          <w:color w:val="FF0000"/>
        </w:rPr>
        <w:t>—</w:t>
      </w:r>
      <w:r>
        <w:rPr>
          <w:rFonts w:hint="eastAsia"/>
          <w:color w:val="FF0000"/>
        </w:rPr>
        <w:t>feeding experiment of spiders</w:t>
      </w:r>
    </w:p>
    <w:p w:rsidR="00460FBE" w:rsidRDefault="00460FBE">
      <w:pPr>
        <w:rPr>
          <w:color w:val="FF0000"/>
        </w:rPr>
      </w:pPr>
    </w:p>
    <w:sectPr w:rsidR="00460FBE" w:rsidSect="00460FBE">
      <w:footerReference w:type="default" r:id="rId17"/>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K NTU" w:date="2021-10-14T14:47:00Z" w:initials="CK NTU">
    <w:p w:rsidR="00D0138C" w:rsidRDefault="00D0138C">
      <w:pPr>
        <w:pStyle w:val="a6"/>
      </w:pPr>
      <w:r>
        <w:t>Update after we finish the Discussion.</w:t>
      </w:r>
    </w:p>
  </w:comment>
  <w:comment w:id="1" w:author="CK NTU" w:date="2021-09-16T10:43:00Z" w:initials="CK NTU">
    <w:p w:rsidR="00D0138C" w:rsidRDefault="00D0138C">
      <w:pPr>
        <w:pStyle w:val="a6"/>
      </w:pPr>
      <w:r>
        <w:t xml:space="preserve">Contrary to our analysis in </w:t>
      </w:r>
      <w:proofErr w:type="spellStart"/>
      <w:r>
        <w:t>abiotic</w:t>
      </w:r>
      <w:proofErr w:type="spellEnd"/>
      <w:r>
        <w:t xml:space="preserve"> and biotic 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370D62" w15:done="0"/>
  <w15:commentEx w15:paraId="45FB3A3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0645" w:rsidRDefault="00B10645">
      <w:pPr>
        <w:spacing w:line="240" w:lineRule="auto"/>
      </w:pPr>
      <w:r>
        <w:separator/>
      </w:r>
    </w:p>
  </w:endnote>
  <w:endnote w:type="continuationSeparator" w:id="0">
    <w:p w:rsidR="00B10645" w:rsidRDefault="00B10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D0138C" w:rsidRDefault="00D0138C">
        <w:pPr>
          <w:pStyle w:val="aa"/>
          <w:jc w:val="center"/>
        </w:pPr>
        <w:r w:rsidRPr="00460FBE">
          <w:fldChar w:fldCharType="begin"/>
        </w:r>
        <w:r>
          <w:instrText xml:space="preserve"> PAGE   \* MERGEFORMAT </w:instrText>
        </w:r>
        <w:r w:rsidRPr="00460FBE">
          <w:fldChar w:fldCharType="separate"/>
        </w:r>
        <w:r w:rsidR="00E84491" w:rsidRPr="00E84491">
          <w:rPr>
            <w:noProof/>
            <w:lang w:val="zh-TW"/>
          </w:rPr>
          <w:t>24</w:t>
        </w:r>
        <w:r>
          <w:rPr>
            <w:lang w:val="zh-TW"/>
          </w:rPr>
          <w:fldChar w:fldCharType="end"/>
        </w:r>
      </w:p>
    </w:sdtContent>
  </w:sdt>
  <w:p w:rsidR="00D0138C" w:rsidRDefault="00D0138C">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0645" w:rsidRDefault="00B10645">
      <w:pPr>
        <w:spacing w:after="0"/>
      </w:pPr>
      <w:r>
        <w:separator/>
      </w:r>
    </w:p>
  </w:footnote>
  <w:footnote w:type="continuationSeparator" w:id="0">
    <w:p w:rsidR="00B10645" w:rsidRDefault="00B10645">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noPunctuationKerning/>
  <w:characterSpacingControl w:val="doNotCompress"/>
  <w:hdrShapeDefaults>
    <o:shapedefaults v:ext="edit" spidmax="307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92&lt;/item&gt;&lt;item&gt;93&lt;/item&gt;&lt;item&gt;95&lt;/item&gt;&lt;item&gt;96&lt;/item&gt;&lt;item&gt;97&lt;/item&gt;&lt;item&gt;98&lt;/item&gt;&lt;item&gt;99&lt;/item&gt;&lt;item&gt;100&lt;/item&gt;&lt;item&gt;101&lt;/item&gt;&lt;item&gt;102&lt;/item&gt;&lt;item&gt;103&lt;/item&gt;&lt;/record-ids&gt;&lt;/item&gt;&lt;/Libraries&gt;"/>
  </w:docVars>
  <w:rsids>
    <w:rsidRoot w:val="00D42777"/>
    <w:rsid w:val="00000A40"/>
    <w:rsid w:val="00000D9D"/>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216"/>
    <w:rsid w:val="000E4192"/>
    <w:rsid w:val="000E4BA2"/>
    <w:rsid w:val="000E4F50"/>
    <w:rsid w:val="000E5A15"/>
    <w:rsid w:val="000E5E73"/>
    <w:rsid w:val="000E5FA0"/>
    <w:rsid w:val="000E73F9"/>
    <w:rsid w:val="000F0127"/>
    <w:rsid w:val="000F14D4"/>
    <w:rsid w:val="000F1F49"/>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30"/>
    <w:rsid w:val="001606B7"/>
    <w:rsid w:val="0016142F"/>
    <w:rsid w:val="00161DD0"/>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A162C"/>
    <w:rsid w:val="003A1826"/>
    <w:rsid w:val="003A1D47"/>
    <w:rsid w:val="003A24EE"/>
    <w:rsid w:val="003A281F"/>
    <w:rsid w:val="003A4D3F"/>
    <w:rsid w:val="003A51A5"/>
    <w:rsid w:val="003A5939"/>
    <w:rsid w:val="003A6621"/>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6FEB"/>
    <w:rsid w:val="004308E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186"/>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6963"/>
    <w:rsid w:val="00587C88"/>
    <w:rsid w:val="00587CF7"/>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20B"/>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745"/>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5AC"/>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774"/>
    <w:rsid w:val="007469BF"/>
    <w:rsid w:val="00746E3E"/>
    <w:rsid w:val="00747B7A"/>
    <w:rsid w:val="0075063E"/>
    <w:rsid w:val="00751333"/>
    <w:rsid w:val="0075137D"/>
    <w:rsid w:val="00753271"/>
    <w:rsid w:val="007536A1"/>
    <w:rsid w:val="007539C7"/>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8"/>
    <w:rsid w:val="007E4EBC"/>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032"/>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064C"/>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F5F"/>
    <w:rsid w:val="00936768"/>
    <w:rsid w:val="00936A1D"/>
    <w:rsid w:val="009378D8"/>
    <w:rsid w:val="00940299"/>
    <w:rsid w:val="00941DCB"/>
    <w:rsid w:val="00942D77"/>
    <w:rsid w:val="009436CE"/>
    <w:rsid w:val="009436F5"/>
    <w:rsid w:val="0095145C"/>
    <w:rsid w:val="00952B3C"/>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2F77"/>
    <w:rsid w:val="00A44714"/>
    <w:rsid w:val="00A44DB7"/>
    <w:rsid w:val="00A44EE5"/>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3637"/>
    <w:rsid w:val="00AB42DE"/>
    <w:rsid w:val="00AB4C46"/>
    <w:rsid w:val="00AB539B"/>
    <w:rsid w:val="00AB59E2"/>
    <w:rsid w:val="00AB5B84"/>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28FC"/>
    <w:rsid w:val="00BB5BEF"/>
    <w:rsid w:val="00BB5DFE"/>
    <w:rsid w:val="00BB5E0D"/>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C58"/>
    <w:rsid w:val="00D62E59"/>
    <w:rsid w:val="00D63922"/>
    <w:rsid w:val="00D63B2F"/>
    <w:rsid w:val="00D63CFE"/>
    <w:rsid w:val="00D642D0"/>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7A7"/>
    <w:rsid w:val="00DB3B3E"/>
    <w:rsid w:val="00DB3C0F"/>
    <w:rsid w:val="00DB45AA"/>
    <w:rsid w:val="00DB7575"/>
    <w:rsid w:val="00DC0525"/>
    <w:rsid w:val="00DC05D6"/>
    <w:rsid w:val="00DC0AA6"/>
    <w:rsid w:val="00DC1A18"/>
    <w:rsid w:val="00DC1EB3"/>
    <w:rsid w:val="00DC2E32"/>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A1E"/>
    <w:rsid w:val="00E25A25"/>
    <w:rsid w:val="00E26211"/>
    <w:rsid w:val="00E2639C"/>
    <w:rsid w:val="00E26CD1"/>
    <w:rsid w:val="00E27986"/>
    <w:rsid w:val="00E27E7B"/>
    <w:rsid w:val="00E312F2"/>
    <w:rsid w:val="00E31800"/>
    <w:rsid w:val="00E31A3C"/>
    <w:rsid w:val="00E31E2D"/>
    <w:rsid w:val="00E33299"/>
    <w:rsid w:val="00E348DE"/>
    <w:rsid w:val="00E41301"/>
    <w:rsid w:val="00E43398"/>
    <w:rsid w:val="00E4470C"/>
    <w:rsid w:val="00E448E3"/>
    <w:rsid w:val="00E4509A"/>
    <w:rsid w:val="00E45150"/>
    <w:rsid w:val="00E45647"/>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3EFA"/>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42A1A"/>
    <w:rsid w:val="00F430D1"/>
    <w:rsid w:val="00F43446"/>
    <w:rsid w:val="00F43B2E"/>
    <w:rsid w:val="00F453AE"/>
    <w:rsid w:val="00F47A11"/>
    <w:rsid w:val="00F517C5"/>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B33"/>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4ED"/>
    <w:rsid w:val="00FE7577"/>
    <w:rsid w:val="00FF0768"/>
    <w:rsid w:val="00FF15FA"/>
    <w:rsid w:val="00FF1B47"/>
    <w:rsid w:val="00FF4388"/>
    <w:rsid w:val="00FF53C4"/>
    <w:rsid w:val="00FF6736"/>
    <w:rsid w:val="14B50C5A"/>
    <w:rsid w:val="1AF37042"/>
    <w:rsid w:val="24C24D26"/>
    <w:rsid w:val="32B32C94"/>
    <w:rsid w:val="34E76212"/>
    <w:rsid w:val="59FD7529"/>
    <w:rsid w:val="715529A1"/>
    <w:rsid w:val="7C540E5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qFormat="1"/>
    <w:lsdException w:name="Balloon Text" w:qFormat="1"/>
    <w:lsdException w:name="Table Grid" w:semiHidden="0" w:uiPriority="39"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FBE"/>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460FBE"/>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460FBE"/>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460FBE"/>
    <w:rPr>
      <w:sz w:val="16"/>
      <w:szCs w:val="16"/>
    </w:rPr>
  </w:style>
  <w:style w:type="paragraph" w:styleId="a6">
    <w:name w:val="annotation text"/>
    <w:basedOn w:val="a"/>
    <w:link w:val="a7"/>
    <w:uiPriority w:val="99"/>
    <w:semiHidden/>
    <w:unhideWhenUsed/>
    <w:qFormat/>
    <w:rsid w:val="00460FBE"/>
    <w:pPr>
      <w:spacing w:line="240" w:lineRule="auto"/>
    </w:pPr>
    <w:rPr>
      <w:sz w:val="20"/>
      <w:szCs w:val="20"/>
    </w:rPr>
  </w:style>
  <w:style w:type="paragraph" w:styleId="a8">
    <w:name w:val="annotation subject"/>
    <w:basedOn w:val="a6"/>
    <w:next w:val="a6"/>
    <w:link w:val="a9"/>
    <w:uiPriority w:val="99"/>
    <w:semiHidden/>
    <w:unhideWhenUsed/>
    <w:qFormat/>
    <w:rsid w:val="00460FBE"/>
    <w:rPr>
      <w:b/>
      <w:bCs/>
    </w:rPr>
  </w:style>
  <w:style w:type="paragraph" w:styleId="aa">
    <w:name w:val="footer"/>
    <w:basedOn w:val="a"/>
    <w:link w:val="ab"/>
    <w:uiPriority w:val="99"/>
    <w:unhideWhenUsed/>
    <w:qFormat/>
    <w:rsid w:val="00460FBE"/>
    <w:pPr>
      <w:tabs>
        <w:tab w:val="center" w:pos="4320"/>
        <w:tab w:val="right" w:pos="8640"/>
      </w:tabs>
      <w:spacing w:after="0" w:line="240" w:lineRule="auto"/>
    </w:pPr>
  </w:style>
  <w:style w:type="paragraph" w:styleId="ac">
    <w:name w:val="header"/>
    <w:basedOn w:val="a"/>
    <w:link w:val="ad"/>
    <w:uiPriority w:val="99"/>
    <w:unhideWhenUsed/>
    <w:qFormat/>
    <w:rsid w:val="00460FBE"/>
    <w:pPr>
      <w:tabs>
        <w:tab w:val="center" w:pos="4320"/>
        <w:tab w:val="right" w:pos="8640"/>
      </w:tabs>
      <w:spacing w:after="0" w:line="240" w:lineRule="auto"/>
    </w:pPr>
  </w:style>
  <w:style w:type="character" w:styleId="ae">
    <w:name w:val="Hyperlink"/>
    <w:basedOn w:val="a0"/>
    <w:uiPriority w:val="99"/>
    <w:unhideWhenUsed/>
    <w:qFormat/>
    <w:rsid w:val="00460FBE"/>
    <w:rPr>
      <w:color w:val="0000FF"/>
      <w:u w:val="single"/>
    </w:rPr>
  </w:style>
  <w:style w:type="character" w:styleId="af">
    <w:name w:val="line number"/>
    <w:basedOn w:val="a0"/>
    <w:uiPriority w:val="99"/>
    <w:semiHidden/>
    <w:unhideWhenUsed/>
    <w:qFormat/>
    <w:rsid w:val="00460FBE"/>
  </w:style>
  <w:style w:type="table" w:styleId="af0">
    <w:name w:val="Table Grid"/>
    <w:basedOn w:val="a1"/>
    <w:uiPriority w:val="39"/>
    <w:qFormat/>
    <w:rsid w:val="00460FBE"/>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460F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460FBE"/>
    <w:pPr>
      <w:ind w:left="720"/>
      <w:contextualSpacing/>
    </w:pPr>
  </w:style>
  <w:style w:type="character" w:customStyle="1" w:styleId="ad">
    <w:name w:val="頁首 字元"/>
    <w:basedOn w:val="a0"/>
    <w:link w:val="ac"/>
    <w:uiPriority w:val="99"/>
    <w:qFormat/>
    <w:rsid w:val="00460FBE"/>
  </w:style>
  <w:style w:type="character" w:customStyle="1" w:styleId="ab">
    <w:name w:val="頁尾 字元"/>
    <w:basedOn w:val="a0"/>
    <w:link w:val="aa"/>
    <w:uiPriority w:val="99"/>
    <w:qFormat/>
    <w:rsid w:val="00460FBE"/>
  </w:style>
  <w:style w:type="paragraph" w:customStyle="1" w:styleId="EndNoteBibliographyTitle">
    <w:name w:val="EndNote Bibliography Title"/>
    <w:basedOn w:val="a"/>
    <w:link w:val="EndNoteBibliographyTitle0"/>
    <w:qFormat/>
    <w:rsid w:val="00460FBE"/>
    <w:pPr>
      <w:spacing w:after="0"/>
      <w:jc w:val="center"/>
    </w:pPr>
    <w:rPr>
      <w:rFonts w:cs="Arial"/>
    </w:rPr>
  </w:style>
  <w:style w:type="character" w:customStyle="1" w:styleId="EndNoteBibliographyTitle0">
    <w:name w:val="EndNote Bibliography Title 字元"/>
    <w:basedOn w:val="a0"/>
    <w:link w:val="EndNoteBibliographyTitle"/>
    <w:qFormat/>
    <w:rsid w:val="00460FBE"/>
    <w:rPr>
      <w:rFonts w:cs="Arial"/>
    </w:rPr>
  </w:style>
  <w:style w:type="paragraph" w:customStyle="1" w:styleId="EndNoteBibliography">
    <w:name w:val="EndNote Bibliography"/>
    <w:basedOn w:val="a"/>
    <w:link w:val="EndNoteBibliography0"/>
    <w:qFormat/>
    <w:rsid w:val="00460FBE"/>
    <w:pPr>
      <w:spacing w:line="240" w:lineRule="auto"/>
    </w:pPr>
    <w:rPr>
      <w:rFonts w:cs="Arial"/>
    </w:rPr>
  </w:style>
  <w:style w:type="character" w:customStyle="1" w:styleId="EndNoteBibliography0">
    <w:name w:val="EndNote Bibliography 字元"/>
    <w:basedOn w:val="a0"/>
    <w:link w:val="EndNoteBibliography"/>
    <w:qFormat/>
    <w:rsid w:val="00460FBE"/>
    <w:rPr>
      <w:rFonts w:cs="Arial"/>
    </w:rPr>
  </w:style>
  <w:style w:type="character" w:customStyle="1" w:styleId="jtukpc">
    <w:name w:val="jtukpc"/>
    <w:basedOn w:val="a0"/>
    <w:qFormat/>
    <w:rsid w:val="00460FBE"/>
  </w:style>
  <w:style w:type="character" w:customStyle="1" w:styleId="ynrlnc">
    <w:name w:val="ynrlnc"/>
    <w:basedOn w:val="a0"/>
    <w:qFormat/>
    <w:rsid w:val="00460FBE"/>
  </w:style>
  <w:style w:type="character" w:customStyle="1" w:styleId="a7">
    <w:name w:val="註解文字 字元"/>
    <w:basedOn w:val="a0"/>
    <w:link w:val="a6"/>
    <w:uiPriority w:val="99"/>
    <w:semiHidden/>
    <w:qFormat/>
    <w:rsid w:val="00460FBE"/>
    <w:rPr>
      <w:sz w:val="20"/>
      <w:szCs w:val="20"/>
    </w:rPr>
  </w:style>
  <w:style w:type="character" w:customStyle="1" w:styleId="a9">
    <w:name w:val="註解主旨 字元"/>
    <w:basedOn w:val="a7"/>
    <w:link w:val="a8"/>
    <w:uiPriority w:val="99"/>
    <w:semiHidden/>
    <w:qFormat/>
    <w:rsid w:val="00460FBE"/>
    <w:rPr>
      <w:b/>
      <w:bCs/>
      <w:sz w:val="20"/>
      <w:szCs w:val="20"/>
    </w:rPr>
  </w:style>
  <w:style w:type="character" w:customStyle="1" w:styleId="a4">
    <w:name w:val="註解方塊文字 字元"/>
    <w:basedOn w:val="a0"/>
    <w:link w:val="a3"/>
    <w:uiPriority w:val="99"/>
    <w:semiHidden/>
    <w:qFormat/>
    <w:rsid w:val="00460FBE"/>
    <w:rPr>
      <w:rFonts w:ascii="Segoe UI" w:hAnsi="Segoe UI" w:cs="Segoe UI"/>
      <w:sz w:val="18"/>
      <w:szCs w:val="18"/>
    </w:rPr>
  </w:style>
  <w:style w:type="table" w:customStyle="1" w:styleId="11">
    <w:name w:val="淺色網底1"/>
    <w:basedOn w:val="a1"/>
    <w:uiPriority w:val="60"/>
    <w:qFormat/>
    <w:rsid w:val="00460FBE"/>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460FBE"/>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460FBE"/>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460FBE"/>
    <w:rPr>
      <w:rFonts w:ascii="Arial" w:eastAsiaTheme="minorEastAsia" w:hAnsi="Arial" w:cstheme="minorBidi"/>
      <w:sz w:val="28"/>
      <w:szCs w:val="22"/>
    </w:rPr>
  </w:style>
  <w:style w:type="character" w:customStyle="1" w:styleId="10">
    <w:name w:val="標題 1 字元"/>
    <w:basedOn w:val="a0"/>
    <w:link w:val="1"/>
    <w:uiPriority w:val="9"/>
    <w:qFormat/>
    <w:rsid w:val="00460FBE"/>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3A0FB9-2FFE-40C1-AD48-B29A38544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47</Pages>
  <Words>17408</Words>
  <Characters>99227</Characters>
  <Application>Microsoft Office Word</Application>
  <DocSecurity>0</DocSecurity>
  <Lines>826</Lines>
  <Paragraphs>232</Paragraphs>
  <ScaleCrop>false</ScaleCrop>
  <Company>.</Company>
  <LinksUpToDate>false</LinksUpToDate>
  <CharactersWithSpaces>116403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1234</cp:revision>
  <dcterms:created xsi:type="dcterms:W3CDTF">2020-10-12T14:12:00Z</dcterms:created>
  <dcterms:modified xsi:type="dcterms:W3CDTF">2021-10-18T15:10:00Z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AE5E7865FD1A4EC8BB8EB27AE1F8EB74</vt:lpwstr>
  </property>
</Properties>
</file>