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tp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Results of Isotopic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Figures from the MixSIAR results should 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FF0000"/>
          <w:sz w:val="24"/>
          <w:szCs w:val="24"/>
        </w:rPr>
      </w:pP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val="0"/>
          <w:bCs/>
          <w:color w:val="FF0000"/>
          <w:sz w:val="24"/>
          <w:szCs w:val="24"/>
          <w:lang w:val="en-US" w:eastAsia="zh-CN"/>
        </w:rPr>
        <w:t>Line 18: Rather than biocontrol use Conservation control.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86-90: To test the hypothesis of consistency is trivial unless there is a reason why generalists as opportunists would switch to a different prey some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125-128: Repetition of the former text.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145: I am surprised to read that the conventional farms used only one application of insecticide per season. Is it really true?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143, 145: Add information when the insecticides were applied.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147: How often sweeping was done? Once per growing stage?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150: To what taxonomic level identification was performed? And how was it identified?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159: I wonder why there were only 352 predators but 828 prey samples if the study plots were dominated by a single pest species?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167-170: Omit definition of guilds.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189: If samples at seedling stage were later omitted why do you earlier say that you collected data at four growing stages?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203: How did you estimate the proportion of herbivores? This must have been done by the model. Explain.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264-267: This belongs to 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2741-294: This is just repetition of results.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331-344: This is trivial.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357-367: This is trivial. Omit it.nal.</w:t>
      </w: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 xml:space="preserve">The </w:t>
      </w:r>
      <w:r>
        <w:rPr>
          <w:rFonts w:hint="default" w:ascii="Arial" w:hAnsi="Arial" w:cs="Arial" w:eastAsiaTheme="minorEastAsia"/>
          <w:b w:val="0"/>
          <w:bCs/>
          <w:color w:val="FF0000"/>
          <w:sz w:val="24"/>
          <w:szCs w:val="24"/>
          <w:lang w:val="en-US" w:eastAsia="zh-CN"/>
        </w:rPr>
        <w:t>study examined rates of consumption of a range of arthropod herbivores (pests) in rice-fields of Taiwan by spiders and lady beetles, by using stable isotopes mixing models 9MixSIAR)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val="0"/>
          <w:bCs/>
          <w:color w:val="FF0000"/>
          <w:sz w:val="24"/>
          <w:szCs w:val="24"/>
        </w:rPr>
      </w:pPr>
      <w:r>
        <w:rPr>
          <w:rFonts w:hint="default" w:ascii="Arial" w:hAnsi="Arial" w:cs="Arial" w:eastAsiaTheme="minorEastAsia"/>
          <w:b w:val="0"/>
          <w:bCs/>
          <w:i/>
          <w:iCs/>
          <w:color w:val="FF0000"/>
          <w:sz w:val="24"/>
          <w:szCs w:val="24"/>
          <w:lang w:val="en-US" w:eastAsia="zh-CN"/>
        </w:rPr>
        <w:t>Title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Abstract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Introduction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mots of the other generalist predators in rice-field systems (ants, ground beetles, earwigs, crickets, predatory bugs) were not part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 role of 'years', in my opinion would not make a significant value since the rice agronomic practices do not change much from year to year n the study area (Taiwan). Therefore the crop stages are enough as a time-based parameter.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There is need to clearly distinguish amongst: overall goal/aim(s); specific objectives; the study's expectations or working hypotheses. As at now, they seem to be all mixed up towards the end of the introduction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Methods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Analyses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onmivores. Finaly, omitting crickets as part of detrivores is curious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w:t>
      </w:r>
      <w:r>
        <w:rPr>
          <w:rFonts w:hint="default" w:cs="Arial" w:eastAsiaTheme="minorEastAsia"/>
          <w:b w:val="0"/>
          <w:bCs/>
          <w:color w:val="FF0000"/>
          <w:sz w:val="24"/>
          <w:szCs w:val="24"/>
          <w:lang w:val="en-US" w:eastAsia="zh-CN"/>
        </w:rPr>
        <w:t>e</w:t>
      </w:r>
      <w:r>
        <w:rPr>
          <w:rFonts w:hint="default" w:ascii="Arial" w:hAnsi="Arial" w:cs="Arial" w:eastAsiaTheme="minorEastAsia"/>
          <w:b w:val="0"/>
          <w:bCs/>
          <w:color w:val="FF0000"/>
          <w:sz w:val="24"/>
          <w:szCs w:val="24"/>
          <w:lang w:val="en-US" w:eastAsia="zh-CN"/>
        </w:rPr>
        <w:t>t</w:t>
      </w:r>
      <w:bookmarkStart w:id="0" w:name="_GoBack"/>
      <w:bookmarkEnd w:id="0"/>
      <w:r>
        <w:rPr>
          <w:rFonts w:hint="default" w:ascii="Arial" w:hAnsi="Arial" w:cs="Arial" w:eastAsiaTheme="minorEastAsia"/>
          <w:b w:val="0"/>
          <w:bCs/>
          <w:color w:val="FF0000"/>
          <w:sz w:val="24"/>
          <w:szCs w:val="24"/>
          <w:lang w:val="en-US" w:eastAsia="zh-CN"/>
        </w:rPr>
        <w:t>her this was conducted using GLM or GLMM modelling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eg incorporating a Kenward-Roger approximation with an autoregressive data structure, so as to reduce the impact of data heterokedascicity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i/>
          <w:iCs/>
          <w:color w:val="FF0000"/>
          <w:sz w:val="24"/>
          <w:szCs w:val="24"/>
          <w:lang w:val="en-US" w:eastAsia="zh-CN"/>
        </w:rPr>
        <w:t>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BBA4FFF"/>
    <w:rsid w:val="0BDD087A"/>
    <w:rsid w:val="0BDE0165"/>
    <w:rsid w:val="0C04484A"/>
    <w:rsid w:val="0C78199D"/>
    <w:rsid w:val="0C96116A"/>
    <w:rsid w:val="0CA35A93"/>
    <w:rsid w:val="0D3027B5"/>
    <w:rsid w:val="0D4A7580"/>
    <w:rsid w:val="0DAB000F"/>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707CC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412E31"/>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DCF0496"/>
    <w:rsid w:val="1E0F7F81"/>
    <w:rsid w:val="1E325C8B"/>
    <w:rsid w:val="1E34479D"/>
    <w:rsid w:val="1E512E44"/>
    <w:rsid w:val="1F170346"/>
    <w:rsid w:val="1F687347"/>
    <w:rsid w:val="1F85034A"/>
    <w:rsid w:val="1F8915EA"/>
    <w:rsid w:val="1FF10BAD"/>
    <w:rsid w:val="1FFC12EA"/>
    <w:rsid w:val="207D6EF9"/>
    <w:rsid w:val="21F04E7F"/>
    <w:rsid w:val="225F460C"/>
    <w:rsid w:val="226650A3"/>
    <w:rsid w:val="227C6712"/>
    <w:rsid w:val="22A52D71"/>
    <w:rsid w:val="22D12F02"/>
    <w:rsid w:val="22DF73CD"/>
    <w:rsid w:val="23767606"/>
    <w:rsid w:val="23B51EDC"/>
    <w:rsid w:val="23CD393C"/>
    <w:rsid w:val="23D74BF4"/>
    <w:rsid w:val="23F175D8"/>
    <w:rsid w:val="243D75AA"/>
    <w:rsid w:val="24423747"/>
    <w:rsid w:val="244D6CC6"/>
    <w:rsid w:val="2493647D"/>
    <w:rsid w:val="24D26885"/>
    <w:rsid w:val="250F1F0B"/>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87265EE"/>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355E3C"/>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405223"/>
    <w:rsid w:val="304270A6"/>
    <w:rsid w:val="30676C54"/>
    <w:rsid w:val="30AE6631"/>
    <w:rsid w:val="30DB6CFA"/>
    <w:rsid w:val="30F027A5"/>
    <w:rsid w:val="310B0D65"/>
    <w:rsid w:val="31250826"/>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5810A4"/>
    <w:rsid w:val="37AB1B1C"/>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4B267E"/>
    <w:rsid w:val="3C771FCD"/>
    <w:rsid w:val="3C850B8E"/>
    <w:rsid w:val="3CA66A25"/>
    <w:rsid w:val="3CA84C67"/>
    <w:rsid w:val="3DDA05E5"/>
    <w:rsid w:val="3E8F0ACD"/>
    <w:rsid w:val="3EB017C6"/>
    <w:rsid w:val="3EC314F9"/>
    <w:rsid w:val="3F0F400B"/>
    <w:rsid w:val="3F3E3276"/>
    <w:rsid w:val="3F9F27EB"/>
    <w:rsid w:val="3FEE25A6"/>
    <w:rsid w:val="3FF027C2"/>
    <w:rsid w:val="401B4387"/>
    <w:rsid w:val="40291830"/>
    <w:rsid w:val="402D2B6C"/>
    <w:rsid w:val="40806076"/>
    <w:rsid w:val="408D0558"/>
    <w:rsid w:val="40CD3D0B"/>
    <w:rsid w:val="40D914A8"/>
    <w:rsid w:val="40DC68A2"/>
    <w:rsid w:val="40EB2F89"/>
    <w:rsid w:val="41B806E8"/>
    <w:rsid w:val="420936C7"/>
    <w:rsid w:val="42B847B4"/>
    <w:rsid w:val="42B942A5"/>
    <w:rsid w:val="42F97BDF"/>
    <w:rsid w:val="43144A19"/>
    <w:rsid w:val="431C38CE"/>
    <w:rsid w:val="433724B6"/>
    <w:rsid w:val="436F39FE"/>
    <w:rsid w:val="4381111A"/>
    <w:rsid w:val="439C7BA4"/>
    <w:rsid w:val="44246EDE"/>
    <w:rsid w:val="44450C02"/>
    <w:rsid w:val="44C6179E"/>
    <w:rsid w:val="44DC18EB"/>
    <w:rsid w:val="44FE772F"/>
    <w:rsid w:val="44FF1962"/>
    <w:rsid w:val="45206C1E"/>
    <w:rsid w:val="45415C04"/>
    <w:rsid w:val="45607240"/>
    <w:rsid w:val="4572682B"/>
    <w:rsid w:val="463902F3"/>
    <w:rsid w:val="464A2500"/>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5E0AB3"/>
    <w:rsid w:val="4CA04404"/>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0C11611"/>
    <w:rsid w:val="51532BB1"/>
    <w:rsid w:val="51581F75"/>
    <w:rsid w:val="51C110C3"/>
    <w:rsid w:val="51DC4954"/>
    <w:rsid w:val="51FE7EBB"/>
    <w:rsid w:val="521F2A93"/>
    <w:rsid w:val="52270510"/>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117488"/>
    <w:rsid w:val="5A81253D"/>
    <w:rsid w:val="5AAF779E"/>
    <w:rsid w:val="5ACD0EF5"/>
    <w:rsid w:val="5B1213E7"/>
    <w:rsid w:val="5B3255E5"/>
    <w:rsid w:val="5B370991"/>
    <w:rsid w:val="5B922527"/>
    <w:rsid w:val="5B955B74"/>
    <w:rsid w:val="5C384E7D"/>
    <w:rsid w:val="5C5376B6"/>
    <w:rsid w:val="5CBC79AD"/>
    <w:rsid w:val="5CE347F7"/>
    <w:rsid w:val="5D8F31C2"/>
    <w:rsid w:val="5D915B9D"/>
    <w:rsid w:val="5DE17BF0"/>
    <w:rsid w:val="5DED1C97"/>
    <w:rsid w:val="5DF23751"/>
    <w:rsid w:val="5E40270F"/>
    <w:rsid w:val="5E587A58"/>
    <w:rsid w:val="5E8329A9"/>
    <w:rsid w:val="5E84407F"/>
    <w:rsid w:val="5E9303D4"/>
    <w:rsid w:val="5EEB4459"/>
    <w:rsid w:val="5F427DC1"/>
    <w:rsid w:val="5F543192"/>
    <w:rsid w:val="5F5C5326"/>
    <w:rsid w:val="5FB707AE"/>
    <w:rsid w:val="607923C2"/>
    <w:rsid w:val="60B56CA5"/>
    <w:rsid w:val="60FE6800"/>
    <w:rsid w:val="614C629E"/>
    <w:rsid w:val="620C4638"/>
    <w:rsid w:val="621D1EC6"/>
    <w:rsid w:val="6220088D"/>
    <w:rsid w:val="62344338"/>
    <w:rsid w:val="623C6124"/>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43EA1"/>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32489D"/>
    <w:rsid w:val="72A5093A"/>
    <w:rsid w:val="72C828EF"/>
    <w:rsid w:val="73474A6A"/>
    <w:rsid w:val="73AB1BCC"/>
    <w:rsid w:val="74411998"/>
    <w:rsid w:val="747834C0"/>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11033"/>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4</TotalTime>
  <ScaleCrop>false</ScaleCrop>
  <LinksUpToDate>false</LinksUpToDate>
  <CharactersWithSpaces>21369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2023-04-26T05:18:36Z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7476E315E494451CA0D69A03399EC51E</vt:lpwstr>
  </property>
</Properties>
</file>