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FF0000"/>
          <w:sz w:val="24"/>
          <w:szCs w:val="24"/>
          <w:lang w:val="en-US"/>
        </w:rPr>
      </w:pPr>
      <w:r>
        <w:rPr>
          <w:rFonts w:hint="default" w:ascii="Arial" w:hAnsi="Arial" w:cs="Arial"/>
          <w:b/>
          <w:color w:val="FF0000"/>
          <w:sz w:val="24"/>
          <w:szCs w:val="24"/>
          <w:lang w:val="en-GB"/>
        </w:rPr>
        <w:t>Date</w:t>
      </w:r>
      <w:r>
        <w:rPr>
          <w:rFonts w:hint="default" w:ascii="Arial" w:hAnsi="Arial" w:cs="Arial"/>
          <w:color w:val="FF0000"/>
          <w:sz w:val="24"/>
          <w:szCs w:val="24"/>
          <w:lang w:val="en-GB"/>
        </w:rPr>
        <w:t>:</w:t>
      </w:r>
      <w:r>
        <w:rPr>
          <w:rFonts w:hint="default" w:cs="Arial"/>
          <w:color w:val="FF0000"/>
          <w:sz w:val="24"/>
          <w:szCs w:val="24"/>
          <w:lang w:val="en-US"/>
        </w:rPr>
        <w:t xml:space="preserve"> November 7,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auto"/>
          <w:sz w:val="24"/>
          <w:szCs w:val="24"/>
        </w:rPr>
      </w:pPr>
      <w:r>
        <w:rPr>
          <w:rFonts w:hint="default" w:ascii="Arial" w:hAnsi="Arial" w:cs="Arial"/>
          <w:color w:val="auto"/>
          <w:sz w:val="24"/>
          <w:szCs w:val="24"/>
        </w:rPr>
        <w:t>Dear Dr. Audrey Alignier,</w:t>
      </w:r>
    </w:p>
    <w:p>
      <w:pPr>
        <w:rPr>
          <w:rFonts w:hint="default" w:ascii="Arial" w:hAnsi="Arial" w:cs="Arial" w:eastAsiaTheme="minorEastAsia"/>
          <w:color w:val="auto"/>
          <w:sz w:val="24"/>
          <w:szCs w:val="24"/>
          <w:shd w:val="clear" w:color="auto" w:fill="auto"/>
        </w:rPr>
      </w:pPr>
      <w:r>
        <w:rPr>
          <w:rFonts w:hint="default" w:ascii="Arial" w:hAnsi="Arial" w:cs="Arial"/>
          <w:color w:val="auto"/>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of the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Included more details on the isotope sample preparation and MixSIAR model estimation.</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 xml:space="preserve">Provided the Bayesian posterior medians and 95% credible intervals of the dietary estimates from the MixSIAR model outputs as the supplementary material </w:t>
      </w:r>
      <w:r>
        <w:rPr>
          <w:rFonts w:hint="default" w:cs="Arial"/>
          <w:color w:val="auto"/>
          <w:sz w:val="24"/>
          <w:szCs w:val="24"/>
          <w:lang w:val="en-US"/>
        </w:rPr>
        <w:t>(Appendix B).</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Re-ran the beta regression models by including farm ID nested within pair ID as random effects and updated the methods and results accordingly.</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Agriculture, Ecosystems and Environment</w:t>
      </w:r>
      <w:r>
        <w:rPr>
          <w:rFonts w:hint="default" w:cs="Arial" w:eastAsiaTheme="minorEastAsia"/>
          <w:color w:val="auto"/>
          <w:sz w:val="24"/>
          <w:szCs w:val="24"/>
          <w:lang w:val="en-US"/>
        </w:rPr>
        <w: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sz w:val="24"/>
          <w:szCs w:val="24"/>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p>
    <w:p>
      <w:pPr>
        <w:rPr>
          <w:rFonts w:hint="default" w:ascii="Arial" w:hAnsi="Arial" w:cs="Arial"/>
          <w:color w:val="auto"/>
          <w:sz w:val="24"/>
          <w:szCs w:val="24"/>
        </w:rPr>
      </w:pPr>
      <w:r>
        <w:rPr>
          <w:rFonts w:hint="default" w:ascii="Arial" w:hAnsi="Arial" w:cs="Arial"/>
          <w:b/>
          <w:color w:val="auto"/>
          <w:sz w:val="24"/>
          <w:szCs w:val="24"/>
          <w:u w:val="single"/>
          <w:shd w:val="clear" w:color="auto" w:fill="auto"/>
        </w:rPr>
        <w:t>Comment 1</w:t>
      </w:r>
      <w:r>
        <w:rPr>
          <w:rFonts w:hint="default" w:ascii="Arial" w:hAnsi="Arial" w:cs="Arial"/>
          <w:color w:val="auto"/>
          <w:sz w:val="24"/>
          <w:szCs w:val="24"/>
          <w:shd w:val="clear" w:color="auto" w:fill="auto"/>
        </w:rPr>
        <w:t xml:space="preserve"> &gt;</w:t>
      </w:r>
      <w:r>
        <w:rPr>
          <w:rFonts w:hint="default" w:cs="Arial"/>
          <w:color w:val="auto"/>
          <w:sz w:val="24"/>
          <w:szCs w:val="24"/>
          <w:shd w:val="clear" w:color="auto" w:fill="auto"/>
          <w:lang w:val="en-US"/>
        </w:rPr>
        <w:t xml:space="preserve"> </w:t>
      </w:r>
      <w:r>
        <w:rPr>
          <w:rFonts w:hint="default" w:ascii="Arial" w:hAnsi="Arial" w:cs="Arial"/>
          <w:color w:val="auto"/>
          <w:sz w:val="24"/>
          <w:szCs w:val="24"/>
        </w:rPr>
        <w:t>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You must also better argue for the appropriateness of MixSIAR models. I also suggest to carefully edit the manuscript (l.219 :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shd w:val="clear" w:color="auto" w:fill="auto"/>
        </w:rPr>
        <w:t>Response</w:t>
      </w:r>
      <w:r>
        <w:rPr>
          <w:rFonts w:hint="default" w:ascii="Arial" w:hAnsi="Arial" w:cs="Arial" w:eastAsiaTheme="minorEastAsia"/>
          <w:b/>
          <w:color w:val="auto"/>
          <w:sz w:val="24"/>
          <w:szCs w:val="24"/>
          <w:shd w:val="clear" w:color="auto" w:fill="auto"/>
        </w:rPr>
        <w:t xml:space="preserve"> </w:t>
      </w:r>
      <w:r>
        <w:rPr>
          <w:rFonts w:hint="default" w:ascii="Arial" w:hAnsi="Arial" w:cs="Arial" w:eastAsiaTheme="minorEastAsia"/>
          <w:color w:val="auto"/>
          <w:sz w:val="24"/>
          <w:szCs w:val="24"/>
          <w:shd w:val="clear" w:color="auto" w:fill="auto"/>
        </w:rPr>
        <w:t xml:space="preserve">&gt; </w:t>
      </w:r>
      <w:r>
        <w:rPr>
          <w:rFonts w:hint="default" w:cs="Arial" w:eastAsiaTheme="minorEastAsia"/>
          <w:color w:val="auto"/>
          <w:sz w:val="24"/>
          <w:szCs w:val="24"/>
          <w:shd w:val="clear" w:color="auto" w:fill="auto"/>
          <w:lang w:val="en-US"/>
        </w:rPr>
        <w:t xml:space="preserve">Thanks for the comments. </w:t>
      </w:r>
      <w:r>
        <w:rPr>
          <w:rFonts w:hint="default" w:cs="Arial"/>
          <w:color w:val="auto"/>
          <w:sz w:val="24"/>
          <w:szCs w:val="24"/>
          <w:lang w:val="en-US"/>
        </w:rPr>
        <w:t xml:space="preserve">The </w:t>
      </w:r>
      <w:r>
        <w:rPr>
          <w:rFonts w:hint="default" w:ascii="Arial" w:hAnsi="Arial" w:cs="Arial"/>
          <w:color w:val="auto"/>
          <w:sz w:val="24"/>
          <w:szCs w:val="24"/>
        </w:rPr>
        <w:t xml:space="preserve">MixSIAR </w:t>
      </w:r>
      <w:r>
        <w:rPr>
          <w:rFonts w:hint="default" w:cs="Arial"/>
          <w:color w:val="auto"/>
          <w:sz w:val="24"/>
          <w:szCs w:val="24"/>
          <w:lang w:val="en-US"/>
        </w:rPr>
        <w:t>model estimation in this study was suitable because the three prey sources exhibited distinct signatures in the isotopic space (Appendix A: Fig. S1). Moreover, the model diagnostics showed that all mixing models have converged, further suggesting the appropriateness of these models.</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The original outputs from the MixSIAR models were in the form of posterior means, posterior SDs, posterior medians, and 95% credible intervals, estimated for each combination of crop stage × individual farm. We extracted the posterior medians and calculated the means and SEs of the dietary proportions across the individual farms. Therefore, the means in the line graphs (Fig. 1 and 2) are not the posterior means </w:t>
      </w:r>
      <w:r>
        <w:rPr>
          <w:rFonts w:hint="default" w:cs="Arial" w:eastAsiaTheme="minorEastAsia"/>
          <w:b w:val="0"/>
          <w:bCs/>
          <w:i/>
          <w:iCs/>
          <w:color w:val="auto"/>
          <w:sz w:val="24"/>
          <w:szCs w:val="24"/>
          <w:lang w:val="en-US"/>
        </w:rPr>
        <w:t>per se</w:t>
      </w:r>
      <w:r>
        <w:rPr>
          <w:rFonts w:hint="default" w:cs="Arial" w:eastAsiaTheme="minorEastAsia"/>
          <w:b w:val="0"/>
          <w:bCs/>
          <w:color w:val="auto"/>
          <w:sz w:val="24"/>
          <w:szCs w:val="24"/>
          <w:lang w:val="en-US"/>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Nonetheless, to facilitate data transparency, we have now provided the posterior estimates from the original model outputs as the supplementary material (Appendix B).</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Regarding the terminology, “tillering” would be an appropriate term in the context of our study. </w:t>
      </w:r>
      <w:r>
        <w:rPr>
          <w:rFonts w:hint="default" w:ascii="Arial" w:hAnsi="Arial" w:cs="Arial" w:eastAsiaTheme="minorEastAsia"/>
          <w:b w:val="0"/>
          <w:bCs/>
          <w:color w:val="auto"/>
          <w:sz w:val="24"/>
          <w:szCs w:val="24"/>
        </w:rPr>
        <w:t>“</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illing</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 xml:space="preserve"> is a mechanical process that </w:t>
      </w:r>
      <w:r>
        <w:rPr>
          <w:rFonts w:hint="default" w:cs="Arial" w:eastAsiaTheme="minorEastAsia"/>
          <w:b w:val="0"/>
          <w:bCs/>
          <w:color w:val="auto"/>
          <w:sz w:val="24"/>
          <w:szCs w:val="24"/>
          <w:lang w:val="en-US"/>
        </w:rPr>
        <w:t>brings</w:t>
      </w:r>
      <w:r>
        <w:rPr>
          <w:rFonts w:hint="default" w:ascii="Arial" w:hAnsi="Arial" w:cs="Arial" w:eastAsiaTheme="minorEastAsia"/>
          <w:b w:val="0"/>
          <w:bCs/>
          <w:color w:val="auto"/>
          <w:sz w:val="24"/>
          <w:szCs w:val="24"/>
        </w:rPr>
        <w:t xml:space="preserve"> soil from</w:t>
      </w:r>
      <w:r>
        <w:rPr>
          <w:rFonts w:hint="default" w:cs="Arial" w:eastAsiaTheme="minorEastAsia"/>
          <w:b w:val="0"/>
          <w:bCs/>
          <w:color w:val="auto"/>
          <w:sz w:val="24"/>
          <w:szCs w:val="24"/>
          <w:lang w:val="en-US"/>
        </w:rPr>
        <w:t xml:space="preserve"> below the ground to </w:t>
      </w:r>
      <w:r>
        <w:rPr>
          <w:rFonts w:hint="default" w:ascii="Arial" w:hAnsi="Arial" w:cs="Arial" w:eastAsiaTheme="minorEastAsia"/>
          <w:b w:val="0"/>
          <w:bCs/>
          <w:color w:val="auto"/>
          <w:sz w:val="24"/>
          <w:szCs w:val="24"/>
        </w:rPr>
        <w:t>the surface and breaks</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loosens it</w:t>
      </w:r>
      <w:r>
        <w:rPr>
          <w:rFonts w:hint="default" w:cs="Arial" w:eastAsiaTheme="minorEastAsia"/>
          <w:b w:val="0"/>
          <w:bCs/>
          <w:color w:val="auto"/>
          <w:sz w:val="24"/>
          <w:szCs w:val="24"/>
          <w:lang w:val="en-US"/>
        </w:rPr>
        <w:t xml:space="preserve">. This occurs at the beginning of the growing season before the seedling stage. On the other hand, “tillering” refers to the process in which rice plants start to branch from of the primary shoot following the seedling stage. </w:t>
      </w:r>
    </w:p>
    <w:p>
      <w:pPr>
        <w:rPr>
          <w:rFonts w:hint="default" w:ascii="Arial" w:hAnsi="Arial" w:cs="Arial" w:eastAsiaTheme="minorEastAsia"/>
          <w:b/>
          <w:sz w:val="24"/>
          <w:szCs w:val="24"/>
        </w:rPr>
      </w:pPr>
      <w:r>
        <w:rPr>
          <w:rFonts w:hint="default" w:cs="Arial" w:eastAsiaTheme="minorEastAsia"/>
          <w:b w:val="0"/>
          <w:bCs/>
          <w:color w:val="auto"/>
          <w:sz w:val="24"/>
          <w:szCs w:val="24"/>
          <w:lang w:val="en-US"/>
        </w:rPr>
        <w:t>Finally, as suggested, we ha</w:t>
      </w:r>
      <w:r>
        <w:rPr>
          <w:rFonts w:hint="default" w:cs="Arial" w:eastAsiaTheme="minorEastAsia"/>
          <w:b w:val="0"/>
          <w:bCs/>
          <w:sz w:val="24"/>
          <w:szCs w:val="24"/>
          <w:lang w:val="en-US"/>
        </w:rPr>
        <w:t xml:space="preserve">ve removed all the references to main tables and figures in the discussion section (Appendix tables and figures were </w:t>
      </w:r>
      <w:r>
        <w:rPr>
          <w:rFonts w:hint="default" w:cs="Arial" w:eastAsiaTheme="minorEastAsia"/>
          <w:b w:val="0"/>
          <w:bCs/>
          <w:color w:val="auto"/>
          <w:sz w:val="24"/>
          <w:szCs w:val="24"/>
          <w:lang w:val="en-US"/>
        </w:rPr>
        <w:t>retained to provide necessary information).</w:t>
      </w:r>
      <w:r>
        <w:rPr>
          <w:rFonts w:hint="default" w:ascii="Arial" w:hAnsi="Arial" w:cs="Arial" w:eastAsiaTheme="minorEastAsia"/>
          <w:b/>
          <w:sz w:val="24"/>
          <w:szCs w:val="24"/>
        </w:rPr>
        <w:br w:type="page"/>
      </w:r>
    </w:p>
    <w:p>
      <w:pPr>
        <w:rPr>
          <w:rFonts w:hint="default" w:ascii="Arial" w:hAnsi="Arial" w:cs="Arial" w:eastAsiaTheme="minorEastAsia"/>
          <w:b w:val="0"/>
          <w:bCs/>
          <w:color w:val="auto"/>
          <w:sz w:val="24"/>
          <w:szCs w:val="24"/>
        </w:rPr>
      </w:pPr>
      <w:r>
        <w:rPr>
          <w:rFonts w:hint="default" w:ascii="Arial" w:hAnsi="Arial" w:cs="Arial" w:eastAsiaTheme="minorEastAsia"/>
          <w:b/>
          <w:bCs w:val="0"/>
          <w:color w:val="auto"/>
          <w:sz w:val="24"/>
          <w:szCs w:val="24"/>
        </w:rPr>
        <w:t xml:space="preserve">Reviewer's </w:t>
      </w:r>
      <w:r>
        <w:rPr>
          <w:rFonts w:hint="default" w:cs="Arial" w:eastAsiaTheme="minorEastAsia"/>
          <w:b/>
          <w:bCs w:val="0"/>
          <w:color w:val="auto"/>
          <w:sz w:val="24"/>
          <w:szCs w:val="24"/>
          <w:lang w:val="en-US"/>
        </w:rPr>
        <w:t>r</w:t>
      </w:r>
      <w:r>
        <w:rPr>
          <w:rFonts w:hint="default" w:ascii="Arial" w:hAnsi="Arial" w:cs="Arial" w:eastAsiaTheme="minorEastAsia"/>
          <w:b/>
          <w:bCs w:val="0"/>
          <w:color w:val="auto"/>
          <w:sz w:val="24"/>
          <w:szCs w:val="24"/>
        </w:rPr>
        <w:t xml:space="preserve">esponses to </w:t>
      </w:r>
      <w:r>
        <w:rPr>
          <w:rFonts w:hint="default" w:cs="Arial" w:eastAsiaTheme="minorEastAsia"/>
          <w:b/>
          <w:bCs w:val="0"/>
          <w:color w:val="auto"/>
          <w:sz w:val="24"/>
          <w:szCs w:val="24"/>
          <w:lang w:val="en-US"/>
        </w:rPr>
        <w:t>q</w:t>
      </w:r>
      <w:r>
        <w:rPr>
          <w:rFonts w:hint="default" w:ascii="Arial" w:hAnsi="Arial" w:cs="Arial" w:eastAsiaTheme="minorEastAsia"/>
          <w:b/>
          <w:bCs w:val="0"/>
          <w:color w:val="auto"/>
          <w:sz w:val="24"/>
          <w:szCs w:val="24"/>
        </w:rPr>
        <w:t>uestions</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1. Are the objectives and the rationale of the study clearly stated?</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 More clear now</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2. If applicable, is the application/theory/method/study reported in sufficient detail to allow for its replicability and/or reproducibility?</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Yes, if we would like to quantify herbivores’ diet compositions, then plant sources other than rice should be included. Yet, here we focused only on predators’ diet compositions and thus this should not be a concern in our study. </w:t>
      </w:r>
    </w:p>
    <w:p>
      <w:pPr>
        <w:rPr>
          <w:rFonts w:hint="default" w:cs="Arial" w:eastAsiaTheme="minorEastAsia"/>
          <w:color w:val="auto"/>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have added a stable isotope biplot (mean and 95% CI) of the rice plant and the three prey sources in this study in our previous revision (Appendix A: Fig. S1). T</w:t>
      </w:r>
      <w:r>
        <w:rPr>
          <w:rFonts w:cs="Arial" w:eastAsiaTheme="minorEastAsia"/>
          <w:color w:val="auto"/>
          <w:sz w:val="24"/>
          <w:szCs w:val="24"/>
        </w:rPr>
        <w:t>he isotopic</w:t>
      </w:r>
      <w:r>
        <w:rPr>
          <w:rFonts w:hint="default" w:cs="Arial" w:eastAsiaTheme="minorEastAsia"/>
          <w:color w:val="auto"/>
          <w:sz w:val="24"/>
          <w:szCs w:val="24"/>
          <w:lang w:val="en-US"/>
        </w:rPr>
        <w:t xml:space="preserve"> signatures of </w:t>
      </w:r>
      <w:r>
        <w:rPr>
          <w:rFonts w:cs="Arial" w:eastAsiaTheme="minorEastAsia"/>
          <w:color w:val="auto"/>
          <w:sz w:val="24"/>
          <w:szCs w:val="24"/>
        </w:rPr>
        <w:t xml:space="preserve">the three prey sources were </w:t>
      </w:r>
      <w:r>
        <w:rPr>
          <w:rFonts w:hint="default" w:cs="Arial" w:eastAsiaTheme="minorEastAsia"/>
          <w:color w:val="auto"/>
          <w:sz w:val="24"/>
          <w:szCs w:val="24"/>
          <w:lang w:val="en-US"/>
        </w:rPr>
        <w:t>distinct</w:t>
      </w:r>
      <w:r>
        <w:rPr>
          <w:rFonts w:cs="Arial" w:eastAsiaTheme="minorEastAsia"/>
          <w:color w:val="auto"/>
          <w:sz w:val="24"/>
          <w:szCs w:val="24"/>
        </w:rPr>
        <w:t xml:space="preserve"> </w:t>
      </w:r>
      <w:r>
        <w:rPr>
          <w:rFonts w:hint="default" w:cs="Arial" w:eastAsiaTheme="minorEastAsia"/>
          <w:color w:val="auto"/>
          <w:sz w:val="24"/>
          <w:szCs w:val="24"/>
          <w:lang w:val="en-US"/>
        </w:rPr>
        <w:t>enough, justifying the use of</w:t>
      </w:r>
      <w:r>
        <w:rPr>
          <w:rFonts w:cs="Arial" w:eastAsiaTheme="minorEastAsia"/>
          <w:color w:val="auto"/>
          <w:sz w:val="24"/>
          <w:szCs w:val="24"/>
        </w:rPr>
        <w:t xml:space="preserve"> stable isotope mixing model</w:t>
      </w:r>
      <w:r>
        <w:rPr>
          <w:rFonts w:hint="default" w:cs="Arial" w:eastAsiaTheme="minorEastAsia"/>
          <w:color w:val="auto"/>
          <w:sz w:val="24"/>
          <w:szCs w:val="24"/>
          <w:lang w:val="en-US"/>
        </w:rPr>
        <w:t>s.</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cs="Arial" w:eastAsiaTheme="minorEastAsia"/>
          <w:b w:val="0"/>
          <w:bCs/>
          <w:color w:val="auto"/>
          <w:sz w:val="24"/>
          <w:szCs w:val="24"/>
          <w:lang w:val="en-US"/>
        </w:rPr>
        <w:t>.</w:t>
      </w:r>
    </w:p>
    <w:p>
      <w:pPr>
        <w:rPr>
          <w:rFonts w:hint="default" w:cs="Arial" w:eastAsiaTheme="minorEastAsia"/>
          <w:b w:val="0"/>
          <w:bCs/>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We have now added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to our reference. </w:t>
      </w:r>
      <w:r>
        <w:rPr>
          <w:rFonts w:hint="default" w:cs="Arial" w:eastAsiaTheme="minorEastAsia"/>
          <w:b w:val="0"/>
          <w:bCs/>
          <w:i w:val="0"/>
          <w:iCs w:val="0"/>
          <w:color w:val="auto"/>
          <w:sz w:val="24"/>
          <w:szCs w:val="24"/>
          <w:lang w:val="en-US"/>
        </w:rPr>
        <w:t xml:space="preserve">In fact,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stated in the methods section that 1-km spatial extent is an appropriate scale for examining enemy-pest trophic interactions, and they cited two other studies to support this argument:</w:t>
      </w:r>
    </w:p>
    <w:p>
      <w:pPr>
        <w:rPr>
          <w:rFonts w:hint="default" w:cs="Arial" w:eastAsiaTheme="minorEastAsia"/>
          <w:b w:val="0"/>
          <w:bCs/>
          <w:color w:val="auto"/>
          <w:sz w:val="24"/>
          <w:szCs w:val="24"/>
          <w:lang w:val="en-US"/>
        </w:rPr>
      </w:pPr>
      <w:r>
        <w:rPr>
          <w:rFonts w:hint="default" w:cs="Arial" w:eastAsiaTheme="minorEastAsia"/>
          <w:b w:val="0"/>
          <w:bCs/>
          <w:i/>
          <w:iCs/>
          <w:color w:val="auto"/>
          <w:sz w:val="24"/>
          <w:szCs w:val="24"/>
          <w:lang w:val="en-US"/>
        </w:rPr>
        <w:t>“The 1 km spatial extent was selected because it has been identified as a relevant scale to understand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"https://www.sciencedirect.com/topics/earth-and-planetary-sciences/trophic-interaction" \o "Learn more about trophic interactions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trophic interactions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and population dynamics for a range of organisms including natural enemies of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"https://www.sciencedirect.com/topics/earth-and-planetary-sciences/crop-pest" \o "Learn more about crop pests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crop pests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"bib0200"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and Tscharntke, 1999</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"bib0205"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et al., 2005</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Even though our study focused on plot- and farm-level </w:t>
      </w:r>
      <w:r>
        <w:rPr>
          <w:rFonts w:hint="default" w:cs="Arial" w:eastAsiaTheme="minorEastAsia"/>
          <w:b w:val="0"/>
          <w:bCs/>
          <w:i w:val="0"/>
          <w:iCs w:val="0"/>
          <w:color w:val="auto"/>
          <w:sz w:val="24"/>
          <w:szCs w:val="24"/>
          <w:lang w:val="en-US"/>
        </w:rPr>
        <w:t>enemy-pest trophic interactions, t</w:t>
      </w:r>
      <w:r>
        <w:rPr>
          <w:rFonts w:hint="default" w:cs="Arial" w:eastAsiaTheme="minorEastAsia"/>
          <w:b w:val="0"/>
          <w:bCs/>
          <w:color w:val="auto"/>
          <w:sz w:val="24"/>
          <w:szCs w:val="24"/>
          <w:lang w:val="en-US"/>
        </w:rPr>
        <w:t xml:space="preserve">he landscape-level pest control patterns in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xml:space="preserve">) and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ultimately results from local </w:t>
      </w:r>
      <w:r>
        <w:rPr>
          <w:rFonts w:hint="default" w:cs="Arial" w:eastAsiaTheme="minorEastAsia"/>
          <w:b w:val="0"/>
          <w:bCs/>
          <w:i w:val="0"/>
          <w:iCs w:val="0"/>
          <w:color w:val="auto"/>
          <w:sz w:val="24"/>
          <w:szCs w:val="24"/>
          <w:lang w:val="en-US"/>
        </w:rPr>
        <w:t xml:space="preserve">trophic interactions, and therefore we feel that it is reasonable to </w:t>
      </w:r>
      <w:r>
        <w:rPr>
          <w:rFonts w:hint="default" w:cs="Arial" w:eastAsiaTheme="minorEastAsia"/>
          <w:b w:val="0"/>
          <w:bCs/>
          <w:color w:val="auto"/>
          <w:sz w:val="24"/>
          <w:szCs w:val="24"/>
          <w:lang w:val="en-US"/>
        </w:rPr>
        <w:t>examine whether there is any landscape-level effect on pest consumption by predators</w:t>
      </w:r>
      <w:r>
        <w:rPr>
          <w:rFonts w:hint="default" w:cs="Arial" w:eastAsiaTheme="minorEastAsia"/>
          <w:b w:val="0"/>
          <w:bCs/>
          <w:i w:val="0"/>
          <w:iCs w:val="0"/>
          <w:color w:val="auto"/>
          <w:sz w:val="24"/>
          <w:szCs w:val="24"/>
          <w:lang w:val="en-US"/>
        </w:rPr>
        <w:t>.</w:t>
      </w:r>
    </w:p>
    <w:p>
      <w:pPr>
        <w:rPr>
          <w:rFonts w:hint="default" w:cs="Arial" w:eastAsiaTheme="minorEastAsia"/>
          <w:b w:val="0"/>
          <w:bCs/>
          <w:color w:val="FF0000"/>
          <w:sz w:val="24"/>
          <w:szCs w:val="24"/>
          <w:lang w:val="en-US"/>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year is not an ecological variable </w:t>
      </w:r>
      <w:r>
        <w:rPr>
          <w:rFonts w:hint="default" w:cs="Arial" w:eastAsiaTheme="minorEastAsia"/>
          <w:i/>
          <w:iCs/>
          <w:color w:val="auto"/>
          <w:sz w:val="24"/>
          <w:szCs w:val="24"/>
          <w:lang w:val="en-US"/>
        </w:rPr>
        <w:t>per se</w:t>
      </w:r>
      <w:r>
        <w:rPr>
          <w:rFonts w:hint="default" w:cs="Arial" w:eastAsiaTheme="minorEastAsia"/>
          <w:i w:val="0"/>
          <w:iCs w:val="0"/>
          <w:color w:val="auto"/>
          <w:sz w:val="24"/>
          <w:szCs w:val="24"/>
          <w:lang w:val="en-US"/>
        </w:rPr>
        <w:t xml:space="preserve">, but as mentioned in the discussion section of our manuscript, many biotic and abiotic factors can change from year to year, and we were interested in knowing whether pest </w:t>
      </w:r>
      <w:r>
        <w:rPr>
          <w:rFonts w:hint="default" w:cs="Arial" w:eastAsiaTheme="minorEastAsia"/>
          <w:color w:val="auto"/>
          <w:sz w:val="24"/>
          <w:szCs w:val="24"/>
          <w:lang w:val="en-US"/>
        </w:rPr>
        <w:t>consumption patterns varied or remained similar across the three study years (which did not). That said, we acknowledge that three years of climate data cannot be conclusive, and we have now modified the highlights, abstract, and conclusions to downplay our original statement.</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5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w:t>
      </w:r>
      <w:r>
        <w:rPr>
          <w:rFonts w:hint="default" w:cs="Arial" w:eastAsiaTheme="minorEastAsia"/>
          <w:b w:val="0"/>
          <w:bCs/>
          <w:color w:val="auto"/>
          <w:sz w:val="24"/>
          <w:szCs w:val="24"/>
          <w:lang w:val="en-US"/>
        </w:rPr>
        <w:t>1</w:t>
      </w:r>
      <w:r>
        <w:rPr>
          <w:rFonts w:hint="default" w:ascii="Arial" w:hAnsi="Arial" w:cs="Arial" w:eastAsiaTheme="minorEastAsia"/>
          <w:b w:val="0"/>
          <w:bCs/>
          <w:color w:val="auto"/>
          <w:sz w:val="24"/>
          <w:szCs w:val="24"/>
        </w:rPr>
        <w:t xml:space="preserve">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Spiders and ladybeetles were indeed the most common generalist predators in our field samples, and they did consume high proportions of pest herbivores in their diets, thus serving as </w:t>
      </w:r>
      <w:r>
        <w:rPr>
          <w:rFonts w:hint="default" w:cs="Arial" w:eastAsiaTheme="minorEastAsia"/>
          <w:i/>
          <w:iCs/>
          <w:color w:val="auto"/>
          <w:sz w:val="24"/>
          <w:szCs w:val="24"/>
          <w:lang w:val="en-US"/>
        </w:rPr>
        <w:t>promising</w:t>
      </w:r>
      <w:r>
        <w:rPr>
          <w:rFonts w:hint="default" w:cs="Arial" w:eastAsiaTheme="minorEastAsia"/>
          <w:color w:val="auto"/>
          <w:sz w:val="24"/>
          <w:szCs w:val="24"/>
          <w:lang w:val="en-US"/>
        </w:rPr>
        <w:t xml:space="preserve"> biocontrol agents in rice farms. Yet, we did not intend to argue that spiders and ladybeetles are </w:t>
      </w:r>
      <w:r>
        <w:rPr>
          <w:rFonts w:hint="default" w:cs="Arial" w:eastAsiaTheme="minorEastAsia"/>
          <w:i/>
          <w:iCs/>
          <w:color w:val="auto"/>
          <w:sz w:val="24"/>
          <w:szCs w:val="24"/>
          <w:lang w:val="en-US"/>
        </w:rPr>
        <w:t>the only</w:t>
      </w:r>
      <w:r>
        <w:rPr>
          <w:rFonts w:hint="default" w:cs="Arial" w:eastAsiaTheme="minorEastAsia"/>
          <w:color w:val="auto"/>
          <w:sz w:val="24"/>
          <w:szCs w:val="24"/>
          <w:lang w:val="en-US"/>
        </w:rPr>
        <w:t xml:space="preserve"> biocontrol agents in the rice agro-ecosystems. We have revised the manuscript to avoid over-generalizing our results.</w:t>
      </w:r>
    </w:p>
    <w:p>
      <w:pPr>
        <w:rPr>
          <w:rFonts w:hint="default" w:cs="Arial" w:eastAsiaTheme="minorEastAsia"/>
          <w:color w:val="auto"/>
          <w:sz w:val="24"/>
          <w:szCs w:val="24"/>
          <w:lang w:val="en-US"/>
        </w:rPr>
      </w:pPr>
      <w:r>
        <w:rPr>
          <w:rFonts w:hint="default" w:cs="Arial" w:eastAsiaTheme="minorEastAsia"/>
          <w:color w:val="auto"/>
          <w:sz w:val="24"/>
          <w:szCs w:val="24"/>
          <w:lang w:val="en-US"/>
        </w:rPr>
        <w:t>As the reviewer mentioned, ants may also provide important regulation on pests. This is not mutually exclusive of our conclusion; ants, spiders, and ladybeetles can all serve as important biocontrol agents. However, ants are relatively uncommon in our study farms because of the flooding practice during the early growth season. Moreover, our sweep net sampling method was not designed for surveying ants, and we did not collect many ants in the field samples. We acknowledge this limitation and have now added it to the potential caveats of this study</w:t>
      </w:r>
      <w:r>
        <w:rPr>
          <w:rFonts w:hint="default" w:cs="Arial" w:eastAsiaTheme="minorEastAsia"/>
          <w:color w:val="FF0000"/>
          <w:sz w:val="24"/>
          <w:szCs w:val="24"/>
          <w:lang w:val="en-US"/>
        </w:rPr>
        <w:t xml:space="preserve"> (Line XXX). </w:t>
      </w:r>
      <w:r>
        <w:rPr>
          <w:rFonts w:hint="default" w:cs="Arial" w:eastAsiaTheme="minorEastAsia"/>
          <w:color w:val="auto"/>
          <w:sz w:val="24"/>
          <w:szCs w:val="24"/>
          <w:lang w:val="en-US"/>
        </w:rPr>
        <w:t>But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pPr>
        <w:rPr>
          <w:rFonts w:hint="default" w:cs="Arial" w:eastAsiaTheme="minorEastAsia"/>
          <w:color w:val="FF0000"/>
          <w:sz w:val="24"/>
          <w:szCs w:val="24"/>
          <w:lang w:val="en-US"/>
        </w:rPr>
      </w:pPr>
      <w:r>
        <w:rPr>
          <w:rFonts w:hint="default" w:cs="Arial" w:eastAsiaTheme="minorEastAsia"/>
          <w:color w:val="auto"/>
          <w:sz w:val="24"/>
          <w:szCs w:val="24"/>
          <w:lang w:val="en-US"/>
        </w:rPr>
        <w:t xml:space="preserve">Regarding the issue of </w:t>
      </w:r>
      <w:r>
        <w:rPr>
          <w:rFonts w:hint="default" w:ascii="Arial" w:hAnsi="Arial" w:cs="Arial" w:eastAsiaTheme="minorEastAsia"/>
          <w:b w:val="0"/>
          <w:bCs/>
          <w:color w:val="auto"/>
          <w:sz w:val="24"/>
          <w:szCs w:val="24"/>
        </w:rPr>
        <w:t>intra-guild predation</w:t>
      </w:r>
      <w:r>
        <w:rPr>
          <w:rFonts w:hint="default" w:cs="Arial" w:eastAsiaTheme="minorEastAsia"/>
          <w:b w:val="0"/>
          <w:bCs/>
          <w:color w:val="auto"/>
          <w:sz w:val="24"/>
          <w:szCs w:val="24"/>
          <w:lang w:val="en-US"/>
        </w:rPr>
        <w:t xml:space="preserve">, </w:t>
      </w:r>
      <w:r>
        <w:rPr>
          <w:rFonts w:hint="default" w:cs="Arial" w:eastAsiaTheme="minorEastAsia"/>
          <w:color w:val="auto"/>
          <w:sz w:val="24"/>
          <w:szCs w:val="24"/>
          <w:lang w:val="en-US"/>
        </w:rPr>
        <w:t xml:space="preserve">as addressed in the previous response, we were not able to estimate it in this study and we acknowledged this limitation in our previous revision </w:t>
      </w:r>
      <w:r>
        <w:rPr>
          <w:rFonts w:hint="default" w:cs="Arial" w:eastAsiaTheme="minorEastAsia"/>
          <w:color w:val="FF0000"/>
          <w:sz w:val="24"/>
          <w:szCs w:val="24"/>
          <w:lang w:val="en-US"/>
        </w:rPr>
        <w:t>(Line XXX).</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6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w:t>
      </w:r>
      <w:r>
        <w:rPr>
          <w:rFonts w:hint="default" w:ascii="Arial" w:hAnsi="Arial" w:cs="Arial" w:eastAsiaTheme="minorEastAsia"/>
          <w:b/>
          <w:color w:val="auto"/>
          <w:sz w:val="24"/>
          <w:szCs w:val="24"/>
          <w:u w:val="single"/>
        </w:rPr>
        <w:t>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In fact, crickets are relatively uncommon in our study farms because of the flooding practice during the early growth season. Moreover, the sweep net sampling method was not designed for surveying ground-dwelling arthropods, and therefore we did not have many crickets in the field samples (which also prevented us from preparing sufficient stable isotope samples for them). We acknowledge this limitation and have now added it to the potential caveats of this study </w:t>
      </w:r>
      <w:r>
        <w:rPr>
          <w:rFonts w:hint="default" w:cs="Arial" w:eastAsiaTheme="minorEastAsia"/>
          <w:color w:val="FF0000"/>
          <w:sz w:val="24"/>
          <w:szCs w:val="24"/>
          <w:lang w:val="en-US"/>
        </w:rPr>
        <w:t xml:space="preserve">(Line XXX). </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7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combine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and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in our stable isotope analysis: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were categorized as “Rive herbivores”, whereas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were categorized as “Tourist herbivores”. See </w:t>
      </w:r>
      <w:r>
        <w:rPr>
          <w:rFonts w:hint="default" w:cs="Arial" w:eastAsiaTheme="minorEastAsia"/>
          <w:b w:val="0"/>
          <w:bCs/>
          <w:i/>
          <w:iCs/>
          <w:color w:val="auto"/>
          <w:sz w:val="24"/>
          <w:szCs w:val="24"/>
          <w:lang w:val="en-US"/>
        </w:rPr>
        <w:t>2.3. Arthropod trophic guild assignment</w:t>
      </w:r>
      <w:r>
        <w:rPr>
          <w:rFonts w:hint="default" w:cs="Arial" w:eastAsiaTheme="minorEastAsia"/>
          <w:b w:val="0"/>
          <w:bCs/>
          <w:color w:val="auto"/>
          <w:sz w:val="24"/>
          <w:szCs w:val="24"/>
          <w:lang w:val="en-US"/>
        </w:rPr>
        <w:t xml:space="preserve"> for more details.</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156. It is unclear how were the samples for the isotopic analyses made. Were all collected arthropods included in the samples or it was representative sub-samples that mirrored the composition proportionally?</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section </w:t>
      </w:r>
      <w:r>
        <w:rPr>
          <w:rFonts w:hint="default" w:cs="Arial" w:eastAsiaTheme="minorEastAsia"/>
          <w:color w:val="FF0000"/>
          <w:sz w:val="24"/>
          <w:szCs w:val="24"/>
          <w:lang w:val="en-US"/>
        </w:rPr>
        <w:t>(Line XXX).</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3. If applicable, are statistical analyses, controls, sampling mechanism, and statistical reporting (e.g., P-values, CIs, effect sizes) appropriate and well described?</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w:t>
      </w:r>
      <w:bookmarkStart w:id="0" w:name="_GoBack"/>
      <w:r>
        <w:rPr>
          <w:rFonts w:hint="default" w:ascii="Arial" w:hAnsi="Arial" w:cs="Arial" w:eastAsiaTheme="minorEastAsia"/>
          <w:b w:val="0"/>
          <w:bCs/>
          <w:color w:val="auto"/>
          <w:sz w:val="24"/>
          <w:szCs w:val="24"/>
        </w:rPr>
        <w:t>as an important variable driving lady beetle predation rate.</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A significant year effects on pest consumption may be partially caused by a deviation in 2017 in which there were fewer replicate farms (6 farms) and arthropod</w:t>
      </w:r>
      <w:r>
        <w:rPr>
          <w:rFonts w:hint="default" w:cs="Arial" w:eastAsiaTheme="minorEastAsia"/>
          <w:b w:val="0"/>
          <w:bCs/>
          <w:color w:val="auto"/>
          <w:sz w:val="24"/>
          <w:szCs w:val="24"/>
          <w:lang w:val="en-US"/>
        </w:rPr>
        <w:t xml:space="preserve"> samples for analysis compared to 2018 and 2019 (14 farms each).</w:t>
      </w:r>
    </w:p>
    <w:bookmarkEnd w:id="0"/>
    <w:p>
      <w:pPr>
        <w:rPr>
          <w:rFonts w:hint="default" w:cs="Arial" w:eastAsiaTheme="minorEastAsia"/>
          <w:b w:val="0"/>
          <w:bCs/>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2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If the authors have significant challenges handling MixSIAR modeling</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agro-ecosystems.</w:t>
      </w:r>
    </w:p>
    <w:p>
      <w:pPr>
        <w:ind w:left="0" w:leftChars="0" w:firstLine="0" w:firstLineChars="0"/>
        <w:rPr>
          <w:rFonts w:hint="default" w:cs="Arial" w:eastAsiaTheme="minorEastAsia"/>
          <w:color w:val="auto"/>
          <w:sz w:val="24"/>
          <w:szCs w:val="24"/>
          <w:lang w:val="en-US"/>
        </w:rPr>
      </w:pPr>
    </w:p>
    <w:p>
      <w:pPr>
        <w:ind w:left="0" w:leftChars="0" w:firstLine="0" w:firstLineChars="0"/>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I have concerns as to why conclusions are drawn on observations from 4 crop stages yet results are presented inconsistently for 3 or 2 crop stages only growth stages. Was there anything wrong with data sets?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XXX). This is why there were only three crop stages (tillering, flowering, and ripening) presented in Table 3 (Tukey’s post-hoc tests for pest consumption among crop stages), Fig. 1 (diet composition by predators over the crop season), and Fig. 2 (pest consumption by predators over the crop season), but four crop stages (seedling, tillering, flowering, and ripening) in Fig. 3 (relative abundance of prey sources over the crop season).</w:t>
      </w:r>
    </w:p>
    <w:p>
      <w:p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ind w:left="0" w:leftChars="0" w:firstLine="0" w:firstLineChars="0"/>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beta GLM model results were shown in Table 1. Because farm type and crop stage were significant (for Both predators), we proceeded to Tukey’s post-hoc comparisons of the predictor levels using the R package “emmeans”. We used a critical value approach with </w:t>
      </w:r>
      <w:r>
        <w:rPr>
          <w:rFonts w:hint="default" w:ascii="Arial" w:hAnsi="Arial" w:cs="Arial" w:eastAsiaTheme="minorEastAsia"/>
          <w:color w:val="auto"/>
          <w:sz w:val="24"/>
          <w:szCs w:val="24"/>
          <w:lang w:val="en-US"/>
        </w:rPr>
        <w:t>α</w:t>
      </w:r>
      <w:r>
        <w:rPr>
          <w:rFonts w:hint="default" w:cs="Arial" w:eastAsiaTheme="minorEastAsia"/>
          <w:color w:val="auto"/>
          <w:sz w:val="24"/>
          <w:szCs w:val="24"/>
          <w:lang w:val="en-US"/>
        </w:rPr>
        <w:t xml:space="preserve"> = 0.05 for the post-hoc tests, and therefore no degrees of freedom and p-values were returned. Instead, the level differences were evaluated based on confidence intervals adjusted for multiple comparisons (as shown in Table 2 and 3).</w:t>
      </w:r>
    </w:p>
    <w:p>
      <w:pPr>
        <w:ind w:left="0" w:leftChars="0" w:firstLine="0" w:firstLineChars="0"/>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suggestions. We have re-run the beta regression models with farm ID </w:t>
      </w:r>
      <w:r>
        <w:rPr>
          <w:rFonts w:hint="default" w:ascii="Arial" w:hAnsi="Arial" w:cs="Arial" w:eastAsiaTheme="minorEastAsia"/>
          <w:b w:val="0"/>
          <w:bCs/>
          <w:color w:val="auto"/>
          <w:sz w:val="24"/>
          <w:szCs w:val="24"/>
        </w:rPr>
        <w:t xml:space="preserve">nested within </w:t>
      </w:r>
      <w:r>
        <w:rPr>
          <w:rFonts w:hint="default" w:cs="Arial" w:eastAsiaTheme="minorEastAsia"/>
          <w:b w:val="0"/>
          <w:bCs/>
          <w:color w:val="auto"/>
          <w:sz w:val="24"/>
          <w:szCs w:val="24"/>
          <w:lang w:val="en-US"/>
        </w:rPr>
        <w:t>pair ID as</w:t>
      </w:r>
      <w:r>
        <w:rPr>
          <w:rFonts w:hint="default" w:cs="Arial" w:eastAsiaTheme="minorEastAsia"/>
          <w:color w:val="auto"/>
          <w:sz w:val="24"/>
          <w:szCs w:val="24"/>
          <w:lang w:val="en-US"/>
        </w:rPr>
        <w:t xml:space="preserve"> random effects and updated the methods and results accordingly.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4. Could the manuscript benefit from additional tables or figures, or from improving or removing (some of the) existing ones?</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outputs of the dietary proportions from the MixSIAR models were in the form of posterior means, posterior SDs, posterior medians, and 95% credible intervals, estimated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 xml:space="preserve">individual farm. We then extracted the posterior medians and calculated the means and SEs of the dietary proportions across the individual farms. Therefore, the means in the line graphs (Fig. 1 and 2) are not the posterior means </w:t>
      </w:r>
      <w:r>
        <w:rPr>
          <w:rFonts w:hint="default" w:cs="Arial" w:eastAsiaTheme="minorEastAsia"/>
          <w:i/>
          <w:iCs/>
          <w:color w:val="auto"/>
          <w:sz w:val="24"/>
          <w:szCs w:val="24"/>
          <w:lang w:val="en-US"/>
        </w:rPr>
        <w:t>per se</w:t>
      </w:r>
      <w:r>
        <w:rPr>
          <w:rFonts w:hint="default" w:cs="Arial" w:eastAsiaTheme="minorEastAsia"/>
          <w:color w:val="auto"/>
          <w:sz w:val="24"/>
          <w:szCs w:val="24"/>
          <w:lang w:val="en-US"/>
        </w:rPr>
        <w:t xml:space="preserve"> </w:t>
      </w:r>
      <w:r>
        <w:rPr>
          <w:rFonts w:hint="default" w:cs="Arial" w:eastAsiaTheme="minorEastAsia"/>
          <w:i w:val="0"/>
          <w:iCs w:val="0"/>
          <w:color w:val="auto"/>
          <w:sz w:val="24"/>
          <w:szCs w:val="24"/>
          <w:lang w:val="en-US"/>
        </w:rPr>
        <w:t xml:space="preserve">but instead the means of the posterior medians (and the SEs are the SEs of the posterior medians). </w:t>
      </w:r>
      <w:r>
        <w:rPr>
          <w:rFonts w:hint="default" w:cs="Arial" w:eastAsiaTheme="minorEastAsia"/>
          <w:color w:val="auto"/>
          <w:sz w:val="24"/>
          <w:szCs w:val="24"/>
          <w:lang w:val="en-US"/>
        </w:rPr>
        <w:t>We feel that summarizing the original outputs across individual farms using line charts will better visualize the model results compared to having hundreds of posterior density plots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 xml:space="preserve">individual farm in the three study years. Nonetheless, to facilitate data transparency, we have now provided the posterior estimates from the original model outputs as the supplementary material (Appendix B) </w:t>
      </w:r>
      <w:r>
        <w:rPr>
          <w:rFonts w:hint="default" w:cs="Arial" w:eastAsiaTheme="minorEastAsia"/>
          <w:color w:val="FF0000"/>
          <w:sz w:val="24"/>
          <w:szCs w:val="24"/>
          <w:lang w:val="en-US"/>
        </w:rPr>
        <w:t>(Line XXX)</w:t>
      </w:r>
      <w:r>
        <w:rPr>
          <w:rFonts w:hint="default" w:cs="Arial" w:eastAsiaTheme="minorEastAsia"/>
          <w:color w:val="auto"/>
          <w:sz w:val="24"/>
          <w:szCs w:val="24"/>
          <w:lang w:val="en-US"/>
        </w:rPr>
        <w:t>.</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5. If applicable, are the interpretation of results and study conclusions supported by the data?</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Spiders and ladybirds should not be construed to represent all generalist predators even if they are very common in rice-fields. Ants are more common tha</w:t>
      </w:r>
      <w:r>
        <w:rPr>
          <w:rFonts w:hint="default" w:cs="Arial" w:eastAsiaTheme="minorEastAsia"/>
          <w:b w:val="0"/>
          <w:bCs/>
          <w:color w:val="auto"/>
          <w:sz w:val="24"/>
          <w:szCs w:val="24"/>
          <w:lang w:val="en-US"/>
        </w:rPr>
        <w:t>n</w:t>
      </w:r>
      <w:r>
        <w:rPr>
          <w:rFonts w:hint="default" w:ascii="Arial" w:hAnsi="Arial" w:cs="Arial" w:eastAsiaTheme="minorEastAsia"/>
          <w:b w:val="0"/>
          <w:bCs/>
          <w:color w:val="auto"/>
          <w:sz w:val="24"/>
          <w:szCs w:val="24"/>
        </w:rPr>
        <w:t xml:space="preserve"> all the rest, yet they are not included here</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w:t>
      </w:r>
      <w:r>
        <w:rPr>
          <w:rFonts w:hint="default" w:cs="Arial" w:eastAsiaTheme="minorEastAsia"/>
          <w:b w:val="0"/>
          <w:bCs/>
          <w:color w:val="auto"/>
          <w:sz w:val="24"/>
          <w:szCs w:val="24"/>
          <w:lang w:val="en-US"/>
        </w:rPr>
        <w:t xml:space="preserve"> with the reviewer and have now revised the manuscript to avoid over-generalizing our results.</w:t>
      </w: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Observed yearly trends in the results should not be taken to imply corresponding climatic trends</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three years of climate data may not be conclusive and we have now revised the manuscript to avoid over-inferring the relationship between climatic conditions and pest consumption patterns.</w:t>
      </w:r>
    </w:p>
    <w:p>
      <w:pPr>
        <w:rPr>
          <w:rFonts w:hint="default" w:cs="Arial" w:eastAsiaTheme="minorEastAsia"/>
          <w:color w:val="FF0000"/>
          <w:sz w:val="24"/>
          <w:szCs w:val="24"/>
          <w:lang w:val="en-US"/>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[x]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6. Have the authors clearly emphasized the strengths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he main strength of the study is in the use of stable isotopes to quantify trophic linkages in arthropods of rice-fields, which is novel, and in the characterization of the role of crop stages. But the authors seem t</w:t>
      </w:r>
      <w:r>
        <w:rPr>
          <w:rFonts w:hint="default" w:cs="Arial" w:eastAsiaTheme="minorEastAsia"/>
          <w:b w:val="0"/>
          <w:bCs/>
          <w:color w:val="auto"/>
          <w:sz w:val="24"/>
          <w:szCs w:val="24"/>
          <w:lang w:val="en-US"/>
        </w:rPr>
        <w:t>o</w:t>
      </w:r>
      <w:r>
        <w:rPr>
          <w:rFonts w:hint="default" w:ascii="Arial" w:hAnsi="Arial" w:cs="Arial" w:eastAsiaTheme="minorEastAsia"/>
          <w:b w:val="0"/>
          <w:bCs/>
          <w:color w:val="auto"/>
          <w:sz w:val="24"/>
          <w:szCs w:val="24"/>
        </w:rPr>
        <w:t xml:space="preserve"> emphasize only the predation specialization aspect, which was not strongly supported by the study design and an</w:t>
      </w:r>
      <w:r>
        <w:rPr>
          <w:rFonts w:hint="default" w:cs="Arial" w:eastAsiaTheme="minorEastAsia"/>
          <w:b w:val="0"/>
          <w:bCs/>
          <w:color w:val="auto"/>
          <w:sz w:val="24"/>
          <w:szCs w:val="24"/>
          <w:lang w:val="en-US"/>
        </w:rPr>
        <w:t>a</w:t>
      </w:r>
      <w:r>
        <w:rPr>
          <w:rFonts w:hint="default" w:ascii="Arial" w:hAnsi="Arial" w:cs="Arial" w:eastAsiaTheme="minorEastAsia"/>
          <w:b w:val="0"/>
          <w:bCs/>
          <w:color w:val="auto"/>
          <w:sz w:val="24"/>
          <w:szCs w:val="24"/>
        </w:rPr>
        <w:t>lytical procedures</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We did highlight the strength and novelty of this study regarding the use of stable isotopes to quantify trophic interactions in rice agro-ecosystems</w:t>
      </w:r>
      <w:r>
        <w:rPr>
          <w:rFonts w:hint="default" w:cs="Arial" w:eastAsiaTheme="minorEastAsia"/>
          <w:color w:val="FF0000"/>
          <w:sz w:val="24"/>
          <w:szCs w:val="24"/>
          <w:lang w:val="en-US"/>
        </w:rPr>
        <w:t xml:space="preserve"> (Line XXX).</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7. Have the authors clearly stated the limitations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8. Does the manuscript structure, flow or writing need improving (e.g., the addition of subheadings, shortening of text, reorganization of sections, or moving details from one section to another)?</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Generally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9. Could the manuscript benefit from language editing?</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No</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#2: No</w:t>
      </w:r>
      <w:r>
        <w:rPr>
          <w:rFonts w:hint="default" w:cs="Arial" w:eastAsiaTheme="minorEastAsia"/>
          <w:b w:val="0"/>
          <w:bCs/>
          <w:color w:val="auto"/>
          <w:sz w:val="24"/>
          <w:szCs w:val="24"/>
          <w:lang w:val="en-US"/>
        </w:rPr>
        <w:t>.</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Title</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the reviewer has a rather strong opinion on the title, maybe we can compromise a bit and modify the title as “</w:t>
      </w:r>
      <w:r>
        <w:rPr>
          <w:rFonts w:hint="default" w:cs="Arial"/>
          <w:color w:val="auto"/>
          <w:sz w:val="24"/>
          <w:szCs w:val="24"/>
          <w:lang w:val="en-US"/>
        </w:rPr>
        <w:t xml:space="preserve">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r>
        <w:rPr>
          <w:rFonts w:hint="default" w:cs="Arial" w:eastAsiaTheme="minorEastAsia"/>
          <w:color w:val="auto"/>
          <w:sz w:val="24"/>
          <w:szCs w:val="24"/>
          <w:lang w:val="en-US"/>
        </w:rPr>
        <w:t>”.</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The Highlights</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ascii="Arial" w:hAnsi="Arial" w:cs="Arial" w:eastAsiaTheme="minorEastAsia"/>
          <w:b w:val="0"/>
          <w:bCs/>
          <w:color w:val="auto"/>
          <w:sz w:val="24"/>
          <w:szCs w:val="24"/>
        </w:rPr>
        <w:t xml:space="preserve"> The authors have made no changes to the here, in light of changes earlier suggested for study design, data analyses and results or conclusion.</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Observations across the three years cannot reasonably be used to imply the role of climate change in Taiwan</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agree that three years of climate data may not be conclusive and we have now revised the highlights accordingly.</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color w:val="auto"/>
          <w:sz w:val="24"/>
          <w:szCs w:val="24"/>
        </w:rPr>
      </w:pPr>
      <w:r>
        <w:rPr>
          <w:rFonts w:hint="default" w:ascii="Arial" w:hAnsi="Arial" w:cs="Arial" w:eastAsiaTheme="minorEastAsia"/>
          <w:b w:val="0"/>
          <w:bCs/>
          <w:i/>
          <w:iCs/>
          <w:color w:val="auto"/>
          <w:sz w:val="24"/>
          <w:szCs w:val="24"/>
        </w:rPr>
        <w:t>Abstract</w:t>
      </w:r>
    </w:p>
    <w:p>
      <w:pPr>
        <w:jc w:val="both"/>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absolutely no changes to the abstract, in light of changes earlier suggested for study design, data analyses and results or conclusion</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revised the abstract based on the reviewers’ comments and suggestions.</w:t>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207. Why only forest habitats and not also other habitat types?</w:t>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211. Spiders can use the sit-and-move and active hunting too. For example, oxyopids and clubionids that were included in the analyses (Table</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S1) do not use sit-and-wait. Oxyopids use sit-and-move strategy while clubionids use active hunting. Just use different justification.</w:t>
      </w:r>
    </w:p>
    <w:p>
      <w:pPr>
        <w:jc w:val="both"/>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w:t>
      </w:r>
      <w:r>
        <w:rPr>
          <w:rFonts w:hint="default" w:ascii="Arial" w:hAnsi="Arial" w:cs="Arial" w:eastAsiaTheme="minorEastAsia"/>
          <w:b w:val="0"/>
          <w:bCs/>
          <w:color w:val="auto"/>
          <w:sz w:val="24"/>
          <w:szCs w:val="24"/>
        </w:rPr>
        <w:t>oxyopids and clubionids</w:t>
      </w:r>
      <w:r>
        <w:rPr>
          <w:rFonts w:hint="default" w:cs="Arial" w:eastAsiaTheme="minorEastAsia"/>
          <w:b w:val="0"/>
          <w:bCs/>
          <w:color w:val="auto"/>
          <w:sz w:val="24"/>
          <w:szCs w:val="24"/>
          <w:lang w:val="en-US"/>
        </w:rPr>
        <w:t xml:space="preserve"> are not sit-and-wait predators. However, they only constituted a minor proportion of the spiders in the field samples (&lt; 6%), and therefore we did not analyze their stable isotope signatures (and thus not included in all further analyses). We have now updated Table S1 (which shows all arthropods collected in the sweep net samples) to make this part clear.</w:t>
      </w:r>
    </w:p>
    <w:p>
      <w:pPr>
        <w:jc w:val="both"/>
        <w:rPr>
          <w:rFonts w:hint="default" w:cs="Arial" w:eastAsiaTheme="minorEastAsia"/>
          <w:b w:val="0"/>
          <w:bCs/>
          <w:color w:val="FF0000"/>
          <w:sz w:val="24"/>
          <w:szCs w:val="24"/>
          <w:lang w:val="en-US"/>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270. Paddy fields instead of agro-ecosystems</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agro-ecosystems</w:t>
      </w:r>
      <w:r>
        <w:rPr>
          <w:rFonts w:hint="default" w:cs="Arial" w:eastAsiaTheme="minorEastAsia"/>
          <w:color w:val="auto"/>
          <w:sz w:val="24"/>
          <w:szCs w:val="24"/>
          <w:lang w:val="en-US"/>
        </w:rPr>
        <w:t>” to “</w:t>
      </w:r>
      <w:r>
        <w:rPr>
          <w:rFonts w:hint="default" w:ascii="Arial" w:hAnsi="Arial" w:cs="Arial" w:eastAsiaTheme="minorEastAsia"/>
          <w:color w:val="auto"/>
          <w:sz w:val="24"/>
          <w:szCs w:val="24"/>
          <w:lang w:val="en-US"/>
        </w:rPr>
        <w:t xml:space="preserve">rice </w:t>
      </w:r>
      <w:r>
        <w:rPr>
          <w:rFonts w:hint="default" w:ascii="Arial" w:hAnsi="Arial" w:cs="Arial" w:eastAsiaTheme="minorEastAsia"/>
          <w:color w:val="auto"/>
          <w:sz w:val="24"/>
          <w:szCs w:val="24"/>
        </w:rPr>
        <w:t>agro-ecosystems</w:t>
      </w:r>
      <w:r>
        <w:rPr>
          <w:rFonts w:hint="default" w:cs="Arial" w:eastAsiaTheme="minorEastAsia"/>
          <w:color w:val="auto"/>
          <w:sz w:val="24"/>
          <w:szCs w:val="24"/>
          <w:lang w:val="en-US"/>
        </w:rPr>
        <w:t>”.</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283. Forest cover instead of surrounding landscape</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surrounding landscape</w:t>
      </w:r>
      <w:r>
        <w:rPr>
          <w:rFonts w:hint="default" w:cs="Arial" w:eastAsiaTheme="minorEastAsia"/>
          <w:color w:val="auto"/>
          <w:sz w:val="24"/>
          <w:szCs w:val="24"/>
          <w:lang w:val="en-US"/>
        </w:rPr>
        <w:t>” to “f</w:t>
      </w:r>
      <w:r>
        <w:rPr>
          <w:rFonts w:hint="default" w:ascii="Arial" w:hAnsi="Arial" w:cs="Arial" w:eastAsiaTheme="minorEastAsia"/>
          <w:b w:val="0"/>
          <w:bCs/>
          <w:color w:val="auto"/>
          <w:sz w:val="24"/>
          <w:szCs w:val="24"/>
        </w:rPr>
        <w:t>orest cover</w:t>
      </w:r>
      <w:r>
        <w:rPr>
          <w:rFonts w:hint="default" w:cs="Arial" w:eastAsiaTheme="minorEastAsia"/>
          <w:color w:val="auto"/>
          <w:sz w:val="24"/>
          <w:szCs w:val="24"/>
          <w:lang w:val="en-US"/>
        </w:rPr>
        <w:t>”.</w:t>
      </w:r>
    </w:p>
    <w:p>
      <w:pPr>
        <w:rPr>
          <w:rFonts w:hint="default" w:ascii="Arial" w:hAnsi="Arial" w:cs="Arial"/>
          <w:b/>
          <w:sz w:val="24"/>
          <w:szCs w:val="24"/>
          <w:u w:val="single"/>
        </w:rPr>
      </w:pPr>
    </w:p>
    <w:p>
      <w:pPr>
        <w:rPr>
          <w:rFonts w:hint="default" w:ascii="Arial" w:hAnsi="Arial" w:cs="Arial" w:eastAsiaTheme="minorEastAsia"/>
          <w:b/>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positive comments.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37D5"/>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174A"/>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A2E13"/>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4763EE5"/>
    <w:rsid w:val="04B213C1"/>
    <w:rsid w:val="04F2181E"/>
    <w:rsid w:val="056F72B2"/>
    <w:rsid w:val="05842C8E"/>
    <w:rsid w:val="058663AA"/>
    <w:rsid w:val="05A14F91"/>
    <w:rsid w:val="05BD2794"/>
    <w:rsid w:val="05CC64B2"/>
    <w:rsid w:val="05D33AA6"/>
    <w:rsid w:val="05FB64DB"/>
    <w:rsid w:val="06190F92"/>
    <w:rsid w:val="064222D0"/>
    <w:rsid w:val="068448FD"/>
    <w:rsid w:val="06907A1C"/>
    <w:rsid w:val="07190B35"/>
    <w:rsid w:val="07730ECD"/>
    <w:rsid w:val="081C4DA3"/>
    <w:rsid w:val="08830107"/>
    <w:rsid w:val="08BD6586"/>
    <w:rsid w:val="08CB2A51"/>
    <w:rsid w:val="08E1269F"/>
    <w:rsid w:val="09056C03"/>
    <w:rsid w:val="091A5CFC"/>
    <w:rsid w:val="09287EA3"/>
    <w:rsid w:val="09410F65"/>
    <w:rsid w:val="09914A41"/>
    <w:rsid w:val="09C41D73"/>
    <w:rsid w:val="0A25198E"/>
    <w:rsid w:val="0A785228"/>
    <w:rsid w:val="0AAA550E"/>
    <w:rsid w:val="0AE946FB"/>
    <w:rsid w:val="0B0722C5"/>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260828"/>
    <w:rsid w:val="173E52F9"/>
    <w:rsid w:val="175A07E0"/>
    <w:rsid w:val="17966920"/>
    <w:rsid w:val="17A37AA0"/>
    <w:rsid w:val="17AB72E5"/>
    <w:rsid w:val="17E97D5E"/>
    <w:rsid w:val="181D0DEF"/>
    <w:rsid w:val="18282E41"/>
    <w:rsid w:val="185C1EE0"/>
    <w:rsid w:val="18856C48"/>
    <w:rsid w:val="18FD4118"/>
    <w:rsid w:val="19102702"/>
    <w:rsid w:val="193B0801"/>
    <w:rsid w:val="195645B9"/>
    <w:rsid w:val="19851624"/>
    <w:rsid w:val="199B42D0"/>
    <w:rsid w:val="19BC1F42"/>
    <w:rsid w:val="19C01A32"/>
    <w:rsid w:val="19EA4D01"/>
    <w:rsid w:val="1A3B555D"/>
    <w:rsid w:val="1A536139"/>
    <w:rsid w:val="1A7C29D8"/>
    <w:rsid w:val="1AA92A3E"/>
    <w:rsid w:val="1AD72ACD"/>
    <w:rsid w:val="1AFB7651"/>
    <w:rsid w:val="1B1B5988"/>
    <w:rsid w:val="1B7B1374"/>
    <w:rsid w:val="1BB95E21"/>
    <w:rsid w:val="1BBE5191"/>
    <w:rsid w:val="1C1D6855"/>
    <w:rsid w:val="1C3128DA"/>
    <w:rsid w:val="1C7374EC"/>
    <w:rsid w:val="1CA7394F"/>
    <w:rsid w:val="1CBC0CB9"/>
    <w:rsid w:val="1CD13316"/>
    <w:rsid w:val="1CF71C0F"/>
    <w:rsid w:val="1D0045D4"/>
    <w:rsid w:val="1D232A04"/>
    <w:rsid w:val="1D271DC8"/>
    <w:rsid w:val="1D6C332F"/>
    <w:rsid w:val="1D6C6151"/>
    <w:rsid w:val="1D9B1475"/>
    <w:rsid w:val="1DE639A1"/>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D6EF9"/>
    <w:rsid w:val="208131E0"/>
    <w:rsid w:val="20967902"/>
    <w:rsid w:val="2104283E"/>
    <w:rsid w:val="212D1C1B"/>
    <w:rsid w:val="216721D9"/>
    <w:rsid w:val="21EA65AA"/>
    <w:rsid w:val="21F04E7F"/>
    <w:rsid w:val="22264F02"/>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784207"/>
    <w:rsid w:val="258C4EBE"/>
    <w:rsid w:val="25D92115"/>
    <w:rsid w:val="264B1A62"/>
    <w:rsid w:val="264B61DF"/>
    <w:rsid w:val="264F6618"/>
    <w:rsid w:val="266320C3"/>
    <w:rsid w:val="2678382B"/>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D172E0"/>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461136"/>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2A2B81"/>
    <w:rsid w:val="2E301AD7"/>
    <w:rsid w:val="2E5927C0"/>
    <w:rsid w:val="2E6147AB"/>
    <w:rsid w:val="2E725511"/>
    <w:rsid w:val="2E7556A3"/>
    <w:rsid w:val="2ED948E7"/>
    <w:rsid w:val="2EED69F4"/>
    <w:rsid w:val="2EF57F78"/>
    <w:rsid w:val="2F1E311B"/>
    <w:rsid w:val="2F7470EF"/>
    <w:rsid w:val="2F7B4FA2"/>
    <w:rsid w:val="301E5D68"/>
    <w:rsid w:val="30451BBC"/>
    <w:rsid w:val="30676C54"/>
    <w:rsid w:val="30A225D6"/>
    <w:rsid w:val="30AE6631"/>
    <w:rsid w:val="30DB6CFA"/>
    <w:rsid w:val="30F77AE2"/>
    <w:rsid w:val="310B0D65"/>
    <w:rsid w:val="312279D7"/>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4B04C44"/>
    <w:rsid w:val="351277B3"/>
    <w:rsid w:val="352C5D76"/>
    <w:rsid w:val="357E162B"/>
    <w:rsid w:val="359B4383"/>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C3E27"/>
    <w:rsid w:val="380D6386"/>
    <w:rsid w:val="382B64B7"/>
    <w:rsid w:val="384146DA"/>
    <w:rsid w:val="384F4367"/>
    <w:rsid w:val="389621B8"/>
    <w:rsid w:val="38CD161E"/>
    <w:rsid w:val="38D56DC2"/>
    <w:rsid w:val="38DF2E5B"/>
    <w:rsid w:val="38FE2C58"/>
    <w:rsid w:val="3995692F"/>
    <w:rsid w:val="39B5543D"/>
    <w:rsid w:val="3A8E5120"/>
    <w:rsid w:val="3A956CA9"/>
    <w:rsid w:val="3AAB6C4F"/>
    <w:rsid w:val="3AC0768C"/>
    <w:rsid w:val="3ACE582A"/>
    <w:rsid w:val="3ADA671F"/>
    <w:rsid w:val="3AE35129"/>
    <w:rsid w:val="3B0527E0"/>
    <w:rsid w:val="3B194FEF"/>
    <w:rsid w:val="3B611C5A"/>
    <w:rsid w:val="3B7B1805"/>
    <w:rsid w:val="3BA22C7E"/>
    <w:rsid w:val="3BC33D0B"/>
    <w:rsid w:val="3BCE7478"/>
    <w:rsid w:val="3BE4693D"/>
    <w:rsid w:val="3BF64543"/>
    <w:rsid w:val="3C3A2625"/>
    <w:rsid w:val="3C4B267E"/>
    <w:rsid w:val="3C850B8E"/>
    <w:rsid w:val="3CA66A25"/>
    <w:rsid w:val="3CA84C67"/>
    <w:rsid w:val="3CF06E89"/>
    <w:rsid w:val="3DA23528"/>
    <w:rsid w:val="3DDA05E5"/>
    <w:rsid w:val="3E390124"/>
    <w:rsid w:val="3E613867"/>
    <w:rsid w:val="3E7C4FE9"/>
    <w:rsid w:val="3EB017C6"/>
    <w:rsid w:val="3F0F2E57"/>
    <w:rsid w:val="3F0F400B"/>
    <w:rsid w:val="3F3E3276"/>
    <w:rsid w:val="3F45191B"/>
    <w:rsid w:val="3F6E244F"/>
    <w:rsid w:val="3F9F27EB"/>
    <w:rsid w:val="3FEE25A6"/>
    <w:rsid w:val="3FF027C2"/>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8FA6149"/>
    <w:rsid w:val="491C4628"/>
    <w:rsid w:val="4933371F"/>
    <w:rsid w:val="495B6BBD"/>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8C39CA"/>
    <w:rsid w:val="4D911437"/>
    <w:rsid w:val="4D944D11"/>
    <w:rsid w:val="4DAE5A6A"/>
    <w:rsid w:val="4DB208FE"/>
    <w:rsid w:val="4DC40DEA"/>
    <w:rsid w:val="4DC66DD3"/>
    <w:rsid w:val="4DC85683"/>
    <w:rsid w:val="4E2D27F0"/>
    <w:rsid w:val="4E4D2E49"/>
    <w:rsid w:val="4E8A3DE2"/>
    <w:rsid w:val="4E9B4517"/>
    <w:rsid w:val="4EF75988"/>
    <w:rsid w:val="4F147549"/>
    <w:rsid w:val="4F5619D0"/>
    <w:rsid w:val="4FA93450"/>
    <w:rsid w:val="4FBC53FA"/>
    <w:rsid w:val="501A5142"/>
    <w:rsid w:val="502F5371"/>
    <w:rsid w:val="503A2CAD"/>
    <w:rsid w:val="50586EC8"/>
    <w:rsid w:val="5059723A"/>
    <w:rsid w:val="50B6080B"/>
    <w:rsid w:val="50E87B49"/>
    <w:rsid w:val="51532BB1"/>
    <w:rsid w:val="51581F75"/>
    <w:rsid w:val="515B2086"/>
    <w:rsid w:val="51C110C3"/>
    <w:rsid w:val="51DC4954"/>
    <w:rsid w:val="51FE7EBB"/>
    <w:rsid w:val="52155E5C"/>
    <w:rsid w:val="521F2A93"/>
    <w:rsid w:val="52854FEC"/>
    <w:rsid w:val="52911BE2"/>
    <w:rsid w:val="529214B7"/>
    <w:rsid w:val="52BB378E"/>
    <w:rsid w:val="52BC73FD"/>
    <w:rsid w:val="531C3187"/>
    <w:rsid w:val="53350BE9"/>
    <w:rsid w:val="53767C1D"/>
    <w:rsid w:val="53C0770E"/>
    <w:rsid w:val="53F975CD"/>
    <w:rsid w:val="54221594"/>
    <w:rsid w:val="54270F5B"/>
    <w:rsid w:val="545033D7"/>
    <w:rsid w:val="54784522"/>
    <w:rsid w:val="54973299"/>
    <w:rsid w:val="54B1394E"/>
    <w:rsid w:val="54F62BF2"/>
    <w:rsid w:val="552072B9"/>
    <w:rsid w:val="555A7093"/>
    <w:rsid w:val="555E4EC0"/>
    <w:rsid w:val="557E2768"/>
    <w:rsid w:val="5604091D"/>
    <w:rsid w:val="5611509C"/>
    <w:rsid w:val="56A0286F"/>
    <w:rsid w:val="56AA2565"/>
    <w:rsid w:val="56DC20EA"/>
    <w:rsid w:val="56E00193"/>
    <w:rsid w:val="57245405"/>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57E95"/>
    <w:rsid w:val="5ACD0EF5"/>
    <w:rsid w:val="5AE605F2"/>
    <w:rsid w:val="5B3255E5"/>
    <w:rsid w:val="5B370991"/>
    <w:rsid w:val="5B3A58BA"/>
    <w:rsid w:val="5B3D1599"/>
    <w:rsid w:val="5B922527"/>
    <w:rsid w:val="5C2E164A"/>
    <w:rsid w:val="5C5376B6"/>
    <w:rsid w:val="5C6A0DAE"/>
    <w:rsid w:val="5CBC79AD"/>
    <w:rsid w:val="5CE347F7"/>
    <w:rsid w:val="5D8F31C2"/>
    <w:rsid w:val="5D915B9D"/>
    <w:rsid w:val="5DDA298A"/>
    <w:rsid w:val="5DE17BF0"/>
    <w:rsid w:val="5DED1C97"/>
    <w:rsid w:val="5E067C09"/>
    <w:rsid w:val="5E40270F"/>
    <w:rsid w:val="5E84407F"/>
    <w:rsid w:val="5E9303D4"/>
    <w:rsid w:val="5EC831A0"/>
    <w:rsid w:val="5EEB4459"/>
    <w:rsid w:val="5F2636B2"/>
    <w:rsid w:val="5F427DC1"/>
    <w:rsid w:val="5F5C5326"/>
    <w:rsid w:val="5FB707AE"/>
    <w:rsid w:val="5FD34CC4"/>
    <w:rsid w:val="5FF6617D"/>
    <w:rsid w:val="60125AAD"/>
    <w:rsid w:val="604F5912"/>
    <w:rsid w:val="607923C2"/>
    <w:rsid w:val="60B56CA5"/>
    <w:rsid w:val="60E45E05"/>
    <w:rsid w:val="60FE6800"/>
    <w:rsid w:val="614C629E"/>
    <w:rsid w:val="618F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1C723A"/>
    <w:rsid w:val="6736080D"/>
    <w:rsid w:val="673F7A07"/>
    <w:rsid w:val="676F59BF"/>
    <w:rsid w:val="679741C7"/>
    <w:rsid w:val="67C73559"/>
    <w:rsid w:val="67D34322"/>
    <w:rsid w:val="683E75F2"/>
    <w:rsid w:val="68664B72"/>
    <w:rsid w:val="68884713"/>
    <w:rsid w:val="689306AB"/>
    <w:rsid w:val="68C24AA1"/>
    <w:rsid w:val="68ED244F"/>
    <w:rsid w:val="694649E3"/>
    <w:rsid w:val="694C1F68"/>
    <w:rsid w:val="69950BC7"/>
    <w:rsid w:val="69A00505"/>
    <w:rsid w:val="69AD77A9"/>
    <w:rsid w:val="69C45E93"/>
    <w:rsid w:val="69EA3460"/>
    <w:rsid w:val="6A415844"/>
    <w:rsid w:val="6A5034F9"/>
    <w:rsid w:val="6A601595"/>
    <w:rsid w:val="6A602252"/>
    <w:rsid w:val="6AA80A43"/>
    <w:rsid w:val="6AAE7116"/>
    <w:rsid w:val="6AF9015E"/>
    <w:rsid w:val="6B2B2F98"/>
    <w:rsid w:val="6B410883"/>
    <w:rsid w:val="6B7F4ADF"/>
    <w:rsid w:val="6B833C3B"/>
    <w:rsid w:val="6BAC3191"/>
    <w:rsid w:val="6BC444BC"/>
    <w:rsid w:val="6BE74894"/>
    <w:rsid w:val="6BEA7038"/>
    <w:rsid w:val="6BEC72DA"/>
    <w:rsid w:val="6BF1329A"/>
    <w:rsid w:val="6C262ECC"/>
    <w:rsid w:val="6C3A4C1F"/>
    <w:rsid w:val="6C72264E"/>
    <w:rsid w:val="6C787630"/>
    <w:rsid w:val="6C940516"/>
    <w:rsid w:val="6C9A748E"/>
    <w:rsid w:val="6C9D43C3"/>
    <w:rsid w:val="6C9F591D"/>
    <w:rsid w:val="6D105577"/>
    <w:rsid w:val="6D4F63E5"/>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0457BF"/>
    <w:rsid w:val="73474A6A"/>
    <w:rsid w:val="73AB1BCC"/>
    <w:rsid w:val="740116E1"/>
    <w:rsid w:val="740D54F4"/>
    <w:rsid w:val="74411998"/>
    <w:rsid w:val="74E16250"/>
    <w:rsid w:val="74F96AFB"/>
    <w:rsid w:val="753D7DE4"/>
    <w:rsid w:val="7564688B"/>
    <w:rsid w:val="759C7879"/>
    <w:rsid w:val="75AF3192"/>
    <w:rsid w:val="75B475B6"/>
    <w:rsid w:val="75C15E3F"/>
    <w:rsid w:val="75D37212"/>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7220D"/>
    <w:rsid w:val="798B77C7"/>
    <w:rsid w:val="79A02597"/>
    <w:rsid w:val="79C93FCC"/>
    <w:rsid w:val="79DA1477"/>
    <w:rsid w:val="79DC3BE6"/>
    <w:rsid w:val="79DE4E5E"/>
    <w:rsid w:val="7A43069C"/>
    <w:rsid w:val="7A7D7BB2"/>
    <w:rsid w:val="7A984502"/>
    <w:rsid w:val="7AE91634"/>
    <w:rsid w:val="7AEF309B"/>
    <w:rsid w:val="7B061228"/>
    <w:rsid w:val="7B1460D6"/>
    <w:rsid w:val="7B30793B"/>
    <w:rsid w:val="7B6E0354"/>
    <w:rsid w:val="7B6E5110"/>
    <w:rsid w:val="7B6F1AE6"/>
    <w:rsid w:val="7B735D15"/>
    <w:rsid w:val="7B964470"/>
    <w:rsid w:val="7BAC735C"/>
    <w:rsid w:val="7BC10593"/>
    <w:rsid w:val="7BF4677C"/>
    <w:rsid w:val="7C0F1417"/>
    <w:rsid w:val="7C195BEB"/>
    <w:rsid w:val="7C817D22"/>
    <w:rsid w:val="7C90081E"/>
    <w:rsid w:val="7C9C221B"/>
    <w:rsid w:val="7D416FA7"/>
    <w:rsid w:val="7D4C0002"/>
    <w:rsid w:val="7D513B99"/>
    <w:rsid w:val="7DC459F2"/>
    <w:rsid w:val="7DD24CD9"/>
    <w:rsid w:val="7E0B01EB"/>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49</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2023-11-11T19:10:49Z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