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C517F9"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50EC8DFE" w14:textId="542395A2" w:rsidR="00C517F9" w:rsidRPr="00841E99" w:rsidRDefault="00C517F9">
      <w:pPr>
        <w:pStyle w:val="ListParagraph"/>
        <w:numPr>
          <w:ilvl w:val="0"/>
          <w:numId w:val="1"/>
        </w:numPr>
        <w:rPr>
          <w:rFonts w:cs="Arial"/>
          <w:color w:val="FF0000"/>
          <w:sz w:val="24"/>
          <w:szCs w:val="24"/>
        </w:rPr>
      </w:pPr>
      <w:r>
        <w:rPr>
          <w:rFonts w:eastAsiaTheme="minorEastAsia" w:cs="Arial"/>
          <w:color w:val="FF0000"/>
          <w:sz w:val="24"/>
          <w:szCs w:val="24"/>
        </w:rPr>
        <w:t>Perform</w:t>
      </w:r>
      <w:r w:rsidR="00557491">
        <w:rPr>
          <w:rFonts w:eastAsiaTheme="minorEastAsia" w:cs="Arial"/>
          <w:color w:val="FF0000"/>
          <w:sz w:val="24"/>
          <w:szCs w:val="24"/>
        </w:rPr>
        <w:t>ed</w:t>
      </w:r>
      <w:r>
        <w:rPr>
          <w:rFonts w:eastAsiaTheme="minorEastAsia" w:cs="Arial"/>
          <w:color w:val="FF0000"/>
          <w:sz w:val="24"/>
          <w:szCs w:val="24"/>
        </w:rPr>
        <w:t xml:space="preserve"> a sensitivity analysis of TDFs</w:t>
      </w:r>
    </w:p>
    <w:p w14:paraId="6D6B3AF7" w14:textId="19598D0C" w:rsidR="00841E99" w:rsidRPr="00FD112D" w:rsidRDefault="00841E99">
      <w:pPr>
        <w:pStyle w:val="ListParagraph"/>
        <w:numPr>
          <w:ilvl w:val="0"/>
          <w:numId w:val="1"/>
        </w:numPr>
        <w:rPr>
          <w:rFonts w:cs="Arial"/>
          <w:color w:val="FF0000"/>
          <w:sz w:val="24"/>
          <w:szCs w:val="24"/>
        </w:rPr>
      </w:pPr>
      <w:r>
        <w:rPr>
          <w:rFonts w:eastAsiaTheme="minorEastAsia" w:cs="Arial"/>
          <w:color w:val="FF0000"/>
          <w:sz w:val="24"/>
          <w:szCs w:val="24"/>
        </w:rPr>
        <w:t>Addressed the issue of prey sources</w:t>
      </w:r>
    </w:p>
    <w:p w14:paraId="4E2451F1" w14:textId="03C876A8"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in the limitations of the study.</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lastRenderedPageBreak/>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Default="00354E22" w:rsidP="006A1D87">
      <w:pPr>
        <w:rPr>
          <w:rFonts w:eastAsiaTheme="minorEastAsia" w:cs="Arial"/>
          <w:bCs/>
          <w:color w:val="FF0000"/>
          <w:sz w:val="24"/>
          <w:szCs w:val="24"/>
        </w:rPr>
      </w:pP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&gt; Read Caut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Default="00BE53CC" w:rsidP="006A1D87">
      <w:pPr>
        <w:rPr>
          <w:rFonts w:eastAsiaTheme="minorEastAsia" w:cs="Arial"/>
          <w:bCs/>
          <w:color w:val="FF0000"/>
          <w:sz w:val="24"/>
          <w:szCs w:val="24"/>
        </w:rPr>
      </w:pPr>
    </w:p>
    <w:p w14:paraId="59B164AE" w14:textId="77777777" w:rsidR="008A2B43" w:rsidRPr="006A1D87" w:rsidRDefault="008A2B43"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coccinelids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r w:rsidR="004C22E9" w:rsidRPr="008D6E67">
        <w:rPr>
          <w:rFonts w:cs="Arial"/>
          <w:bCs/>
          <w:i/>
          <w:iCs/>
          <w:sz w:val="24"/>
          <w:szCs w:val="24"/>
        </w:rPr>
        <w:t>Micraspis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Rana, J. S., Dixon, A. F. G., &amp; Jarošík,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 xml:space="preserve">Taylor, J. M., &amp; Snyder, W. E. (2021). Are specialists really safer than generalists for classical </w:t>
      </w:r>
      <w:proofErr w:type="gramStart"/>
      <w:r w:rsidRPr="00F137DA">
        <w:rPr>
          <w:rFonts w:cs="Arial"/>
          <w:bCs/>
          <w:sz w:val="24"/>
          <w:szCs w:val="24"/>
        </w:rPr>
        <w:t>biocontrol?.</w:t>
      </w:r>
      <w:proofErr w:type="gramEnd"/>
      <w:r w:rsidRPr="00F137DA">
        <w:rPr>
          <w:rFonts w:cs="Arial"/>
          <w:bCs/>
          <w:sz w:val="24"/>
          <w:szCs w:val="24"/>
        </w:rPr>
        <w:t> </w:t>
      </w:r>
      <w:r w:rsidRPr="00F137DA">
        <w:rPr>
          <w:rFonts w:cs="Arial"/>
          <w:bCs/>
          <w:i/>
          <w:iCs/>
          <w:sz w:val="24"/>
          <w:szCs w:val="24"/>
        </w:rPr>
        <w:t>BioControl</w:t>
      </w:r>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 xml:space="preserve">Symondson, W. O. C., Sunderland, K. D., &amp; Greenstone, M. H. (2002). Can generalist predators be effective biocontrol </w:t>
      </w:r>
      <w:proofErr w:type="gramStart"/>
      <w:r w:rsidRPr="00E85405">
        <w:rPr>
          <w:rFonts w:cs="Arial"/>
          <w:bCs/>
          <w:sz w:val="24"/>
          <w:szCs w:val="24"/>
        </w:rPr>
        <w:t>agents?.</w:t>
      </w:r>
      <w:proofErr w:type="gramEnd"/>
      <w:r w:rsidRPr="00E85405">
        <w:rPr>
          <w:rFonts w:cs="Arial"/>
          <w:bCs/>
          <w:sz w:val="24"/>
          <w:szCs w:val="24"/>
        </w:rPr>
        <w:t>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Begum, M. A., Jahan, M., Bari, M. N., Hossain, M. M., &amp; Afsana, N. (2002). Potentiality of Micraspis discolor (F.) as a biocontrol agent of Nilaparvata lugens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Shanker, C., Mohan, M., Sampathkumar, M., Lydia, C., &amp; Katti, G. (2013). Functional significance of M icraspis discolor (F.)(C occinellidae: C oleoptera)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Islam, M. Z., Labani, S. A., &amp; Khan, A. B. (2016). Feeding Propensity and Cannibalism of Micraspis Discolor (Fab.) to Different Prey Species (Aphis craccivora and Nilaparbata lugens)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Kumar, M. S., Bandyopadhyay, U. K., Lalitha, N., &amp; Saratchandra, B. (2017). Biology and feeding efficacy of Micraspis discolor, a potential biological control agent of whitefly Dialeuropora decempuncta.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Simonsen, D., &amp; Hesselberg, T. (2021). Unique behavioural modifications in the web structure of the cave orb spider Meta menardi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d.f.</w:t>
            </w:r>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Zetzellia mali: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(min/max/mean/sd).</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Parnell, A. C., Phillips, D. L., Bearhop, S., Semmens, B. X., Ward, E. J., Moore, J. W., ... &amp; Inger, R. (2013). Bayesian stable isotope mixing models. </w:t>
      </w:r>
      <w:r w:rsidRPr="00F436B6">
        <w:rPr>
          <w:rFonts w:eastAsiaTheme="minorEastAsia" w:cs="Arial"/>
          <w:i/>
          <w:iCs/>
          <w:sz w:val="24"/>
          <w:szCs w:val="24"/>
        </w:rPr>
        <w:t>Environmetrics</w:t>
      </w:r>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the R package MixSIAR</w:t>
      </w:r>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Bearhop, S., Semmens, B. X., Ward, E. J., Moore, J. W., ... </w:t>
      </w:r>
      <w:r w:rsidRPr="001B1CC4">
        <w:rPr>
          <w:rFonts w:eastAsiaTheme="minorEastAsia" w:cs="Arial"/>
          <w:sz w:val="24"/>
          <w:szCs w:val="24"/>
        </w:rPr>
        <w:t>&amp; Inger, R. (2013). Bayesian stable isotope mixing models. </w:t>
      </w:r>
      <w:r w:rsidRPr="001B1CC4">
        <w:rPr>
          <w:rFonts w:eastAsiaTheme="minorEastAsia" w:cs="Arial"/>
          <w:i/>
          <w:iCs/>
          <w:sz w:val="24"/>
          <w:szCs w:val="24"/>
        </w:rPr>
        <w:t>Environmetrics</w:t>
      </w:r>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This study aims to analyse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behaviours such as intraguild predation, very common in predators such as spiders, which can have a negative effect on biological pest control. In fact, this is the main problem I find with both the sample collection design and the Bayesian mixing model analysis. The authors have focused on analysing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Caut et al. (2009) to calculate TDFs but this protocol was subsequently criticised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For instance, Hanbäck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r w:rsidRPr="00FD2036">
        <w:rPr>
          <w:rFonts w:cs="Arial"/>
          <w:bCs/>
          <w:sz w:val="24"/>
          <w:szCs w:val="24"/>
        </w:rPr>
        <w:t>Hambäck, P. A., Cirtwill, A. R., García, D., Grudzinska-Sterno, M., Miñarro, M., Tasin, M., ... &amp; Samnegård,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r w:rsidRPr="00FD2036">
        <w:rPr>
          <w:rFonts w:cs="Arial"/>
          <w:bCs/>
          <w:sz w:val="24"/>
          <w:szCs w:val="24"/>
        </w:rPr>
        <w:lastRenderedPageBreak/>
        <w:t>Mezőfi, L., Markó, G., Nagy, C., Korányi, D., &amp; Markó, V. (2020). Beyond polyphagy and opportunism: natural prey of hunting spiders in the canopy of apple trees. PeerJ,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 xml:space="preserve">Even though </w:t>
      </w:r>
      <w:r w:rsidR="00105E08" w:rsidRPr="00875AE1">
        <w:rPr>
          <w:rFonts w:eastAsiaTheme="minorEastAsia" w:cs="Arial"/>
          <w:sz w:val="24"/>
          <w:szCs w:val="24"/>
        </w:rPr>
        <w:t>intraguild predation</w:t>
      </w:r>
      <w:r w:rsidR="00105E08" w:rsidRPr="00875AE1">
        <w:rPr>
          <w:rFonts w:eastAsiaTheme="minorEastAsia" w:cs="Arial"/>
          <w:sz w:val="24"/>
          <w:szCs w:val="24"/>
        </w:rPr>
        <w:t xml:space="preserve"> is not the main focus of our study, w</w:t>
      </w:r>
      <w:r w:rsidR="00105E08" w:rsidRPr="00875AE1">
        <w:rPr>
          <w:rFonts w:eastAsiaTheme="minorEastAsia" w:cs="Arial"/>
          <w:sz w:val="24"/>
          <w:szCs w:val="24"/>
        </w:rPr>
        <w:t>e agree that</w:t>
      </w:r>
      <w:r w:rsidR="00105E08" w:rsidRPr="00875AE1">
        <w:rPr>
          <w:rFonts w:eastAsiaTheme="minorEastAsia" w:cs="Arial"/>
          <w:sz w:val="24"/>
          <w:szCs w:val="24"/>
        </w:rPr>
        <w:t xml:space="preserve">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behaviour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r w:rsidRPr="000941A3">
        <w:rPr>
          <w:rFonts w:cs="Arial"/>
          <w:bCs/>
          <w:sz w:val="24"/>
          <w:szCs w:val="24"/>
        </w:rPr>
        <w:t>Mezőfi, L., Markó, G., Nagy, C., Korányi, D., &amp; Markó, V. (2020). Beyond polyphagy and opportunism: natural prey of hunting spiders in the canopy of apple trees. PeerJ,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r w:rsidRPr="000941A3">
        <w:rPr>
          <w:rFonts w:cs="Arial"/>
          <w:bCs/>
          <w:sz w:val="24"/>
          <w:szCs w:val="24"/>
        </w:rPr>
        <w:t>terWengel,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(Linyphiidae and Lycosidae)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Default="00C45A24" w:rsidP="00500323">
      <w:pPr>
        <w:rPr>
          <w:rFonts w:cs="Arial"/>
          <w:bCs/>
          <w:color w:val="FF0000"/>
          <w:sz w:val="24"/>
          <w:szCs w:val="24"/>
        </w:rPr>
      </w:pPr>
      <w:r>
        <w:rPr>
          <w:rFonts w:cs="Arial"/>
          <w:b/>
          <w:color w:val="FF0000"/>
          <w:sz w:val="24"/>
          <w:szCs w:val="24"/>
          <w:u w:val="single"/>
        </w:rPr>
        <w:lastRenderedPageBreak/>
        <w:t>Comment 9</w:t>
      </w:r>
      <w:r>
        <w:rPr>
          <w:rFonts w:cs="Arial"/>
          <w:color w:val="FF0000"/>
          <w:sz w:val="24"/>
          <w:szCs w:val="24"/>
        </w:rPr>
        <w:t xml:space="preserve"> &gt; </w:t>
      </w:r>
      <w:r w:rsidR="00EF240F" w:rsidRPr="009C7703">
        <w:rPr>
          <w:rFonts w:cs="Arial"/>
          <w:bCs/>
          <w:color w:val="FF0000"/>
          <w:sz w:val="24"/>
          <w:szCs w:val="24"/>
        </w:rPr>
        <w:t>L 175-178: I acknowledge the enormous work done by the authors in collecting and analysing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00EF240F" w:rsidRPr="00373F8F">
        <w:rPr>
          <w:rFonts w:cs="Arial"/>
          <w:bCs/>
          <w:color w:val="FF0000"/>
          <w:sz w:val="24"/>
          <w:szCs w:val="24"/>
        </w:rPr>
        <w:t>,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t>Phillips, D. L., Inger, R., Bearhop,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&gt; We have three prey sources in the mixing model, and we have two biotracers,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lastRenderedPageBreak/>
        <w:t>&gt; We also have other alternative prey to reduce the risk of IGP, and also predator abundance is not that high compared to prey sources (high prey abundance so no need to consume each other), therefore IGP may not be important.</w:t>
      </w:r>
    </w:p>
    <w:p w14:paraId="71D6F197" w14:textId="77777777" w:rsidR="007B516E" w:rsidRDefault="007B516E" w:rsidP="007B516E">
      <w:pPr>
        <w:rPr>
          <w:rFonts w:cs="Arial"/>
          <w:bCs/>
          <w:color w:val="FF0000"/>
          <w:sz w:val="24"/>
          <w:szCs w:val="24"/>
        </w:rPr>
      </w:pPr>
      <w:r>
        <w:rPr>
          <w:rFonts w:cs="Arial"/>
          <w:bCs/>
          <w:color w:val="FF0000"/>
          <w:sz w:val="24"/>
          <w:szCs w:val="24"/>
        </w:rPr>
        <w:t>&gt; We indeed have three sources and non-herbivore prey items in the mixing model</w:t>
      </w:r>
    </w:p>
    <w:p w14:paraId="6F8AC638" w14:textId="525E99CC" w:rsidR="000564BF" w:rsidRDefault="000564BF" w:rsidP="007B516E">
      <w:pPr>
        <w:rPr>
          <w:rFonts w:cs="Arial"/>
          <w:bCs/>
          <w:color w:val="FF0000"/>
          <w:sz w:val="24"/>
          <w:szCs w:val="24"/>
        </w:rPr>
      </w:pPr>
      <w:r>
        <w:rPr>
          <w:rFonts w:cs="Arial"/>
          <w:bCs/>
          <w:color w:val="FF0000"/>
          <w:sz w:val="24"/>
          <w:szCs w:val="24"/>
        </w:rPr>
        <w:t>&gt; In fact, predator abundance was never compared to other prey sources. Moreover, complex structure might further reduce. So even if IGP occurs, it might not be that frequent. In fact, having the same predators and prey in the data might cause issues as their isotope signatures might be close, leading to model estimating high proportions of predators in the diets.</w:t>
      </w:r>
    </w:p>
    <w:p w14:paraId="27EC112D" w14:textId="1DCC1B2C" w:rsidR="00DB3AC9" w:rsidRDefault="00DB3AC9" w:rsidP="007B516E">
      <w:pPr>
        <w:rPr>
          <w:rFonts w:cs="Arial"/>
          <w:bCs/>
          <w:color w:val="FF0000"/>
          <w:sz w:val="24"/>
          <w:szCs w:val="24"/>
        </w:rPr>
      </w:pPr>
      <w:r>
        <w:rPr>
          <w:rFonts w:cs="Arial"/>
          <w:bCs/>
          <w:color w:val="FF0000"/>
          <w:sz w:val="24"/>
          <w:szCs w:val="24"/>
        </w:rPr>
        <w:t>&gt; Another reason why IPG might be low in the spiders is that the main spiders are web-building sit-and-wait predators.</w:t>
      </w:r>
    </w:p>
    <w:p w14:paraId="099B1C3A" w14:textId="75DC2CEC" w:rsidR="00DB3AC9" w:rsidRDefault="00DB3AC9" w:rsidP="007B516E">
      <w:pPr>
        <w:rPr>
          <w:rFonts w:cs="Arial"/>
          <w:bCs/>
          <w:color w:val="FF0000"/>
          <w:sz w:val="24"/>
          <w:szCs w:val="24"/>
        </w:rPr>
      </w:pPr>
      <w:r>
        <w:rPr>
          <w:rFonts w:cs="Arial"/>
          <w:bCs/>
          <w:color w:val="FF0000"/>
          <w:sz w:val="24"/>
          <w:szCs w:val="24"/>
        </w:rPr>
        <w:t xml:space="preserve">&gt; We did not know which individuals have been engaging in IGP and which ones did not. Theoretically, if one engages in IGP, the 15M should be higher. Assuming </w:t>
      </w:r>
      <w:r w:rsidR="00853A65">
        <w:rPr>
          <w:rFonts w:cs="Arial"/>
          <w:bCs/>
          <w:color w:val="FF0000"/>
          <w:sz w:val="24"/>
          <w:szCs w:val="24"/>
        </w:rPr>
        <w:t xml:space="preserve">that IGP occurring among XXX % of spider individauls, we selected the bottom XXX % </w:t>
      </w:r>
      <w:r>
        <w:rPr>
          <w:rFonts w:cs="Arial"/>
          <w:bCs/>
          <w:color w:val="FF0000"/>
          <w:sz w:val="24"/>
          <w:szCs w:val="24"/>
        </w:rPr>
        <w:t>lowest spiders 15N as predators sources and the remaining ones as predators</w:t>
      </w:r>
      <w:r w:rsidR="00853A65">
        <w:rPr>
          <w:rFonts w:cs="Arial"/>
          <w:bCs/>
          <w:color w:val="FF0000"/>
          <w:sz w:val="24"/>
          <w:szCs w:val="24"/>
        </w:rPr>
        <w:t xml:space="preserve"> and refit the mixing models.</w:t>
      </w:r>
      <w:r>
        <w:rPr>
          <w:rFonts w:cs="Arial"/>
          <w:bCs/>
          <w:color w:val="FF0000"/>
          <w:sz w:val="24"/>
          <w:szCs w:val="24"/>
        </w:rPr>
        <w:t xml:space="preserve"> The results show that </w:t>
      </w:r>
      <w:r w:rsidR="00853A65">
        <w:rPr>
          <w:rFonts w:cs="Arial"/>
          <w:bCs/>
          <w:color w:val="FF0000"/>
          <w:sz w:val="24"/>
          <w:szCs w:val="24"/>
        </w:rPr>
        <w:t>XXX</w:t>
      </w:r>
    </w:p>
    <w:p w14:paraId="6B59DF43" w14:textId="77777777" w:rsidR="007B516E" w:rsidRDefault="007B516E" w:rsidP="00500323">
      <w:pPr>
        <w:rPr>
          <w:rFonts w:eastAsiaTheme="minorEastAsia" w:cs="Arial"/>
          <w:color w:val="FF0000"/>
          <w:sz w:val="24"/>
          <w:szCs w:val="24"/>
        </w:rPr>
      </w:pPr>
    </w:p>
    <w:p w14:paraId="4035A7FC" w14:textId="77777777" w:rsidR="00500323" w:rsidRDefault="00500323" w:rsidP="00C45A24">
      <w:pPr>
        <w:rPr>
          <w:rFonts w:eastAsiaTheme="minorEastAsia" w:cs="Arial"/>
          <w:color w:val="FF0000"/>
          <w:sz w:val="24"/>
          <w:szCs w:val="24"/>
        </w:rPr>
      </w:pPr>
    </w:p>
    <w:p w14:paraId="51C964D0"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524339A9" w14:textId="20ED7C61" w:rsidR="00EF240F" w:rsidRPr="00E30390" w:rsidRDefault="004E60CB" w:rsidP="00EF240F">
      <w:pPr>
        <w:rPr>
          <w:rFonts w:cs="Arial"/>
          <w:bCs/>
          <w:sz w:val="24"/>
          <w:szCs w:val="24"/>
        </w:rPr>
      </w:pPr>
      <w:r w:rsidRPr="00E30390">
        <w:rPr>
          <w:rFonts w:cs="Arial"/>
          <w:b/>
          <w:sz w:val="24"/>
          <w:szCs w:val="24"/>
          <w:u w:val="single"/>
        </w:rPr>
        <w:lastRenderedPageBreak/>
        <w:t>Comment 10</w:t>
      </w:r>
      <w:r w:rsidRPr="00E30390">
        <w:rPr>
          <w:rFonts w:cs="Arial"/>
          <w:sz w:val="24"/>
          <w:szCs w:val="24"/>
        </w:rPr>
        <w:t xml:space="preserve"> &gt; </w:t>
      </w:r>
      <w:r w:rsidR="00EF240F" w:rsidRPr="00E30390">
        <w:rPr>
          <w:rFonts w:cs="Arial"/>
          <w:bCs/>
          <w:sz w:val="24"/>
          <w:szCs w:val="24"/>
        </w:rPr>
        <w:t>L 185-186: Caut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Codron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t>TDFs are one of the most uncertain factors in order to analyse organism’s diet by isotopic analyses.  Currently, the best proposed way to estimate TDFs is to conduct controlled studies of consumer-diet N15 and C13 enrichment by isolating the predators of interest with their main prey and analysing their isotopic content at various times after it has been fed. However, I consider that this method is restricted to very specific 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 et al., 2003, Vanderklift &amp; Ponsard, 2003).</w:t>
      </w:r>
    </w:p>
    <w:p w14:paraId="61930890" w14:textId="77777777" w:rsidR="00EF240F" w:rsidRPr="00E30390" w:rsidRDefault="00EF240F" w:rsidP="00EF240F">
      <w:pPr>
        <w:rPr>
          <w:rFonts w:cs="Arial"/>
          <w:bCs/>
          <w:sz w:val="24"/>
          <w:szCs w:val="24"/>
        </w:rPr>
      </w:pPr>
      <w:r w:rsidRPr="00E30390">
        <w:rPr>
          <w:rFonts w:cs="Arial"/>
          <w:bCs/>
          <w:sz w:val="24"/>
          <w:szCs w:val="24"/>
        </w:rPr>
        <w:t>Auerswald, K., Wittmer, M. H., Zazzo, A., Schäufele,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Perga, M. E., &amp; Grey, J. (2010). Laboratory measures of isotope discrimination factors: comments on Caut, Angulo &amp; Courchamp (2008, 2009). Journal of Applied Ecology, 47(4), 942-947.</w:t>
      </w:r>
    </w:p>
    <w:p w14:paraId="35A09810" w14:textId="77777777" w:rsidR="00EF240F" w:rsidRPr="00E30390" w:rsidRDefault="00EF240F" w:rsidP="00EF240F">
      <w:pPr>
        <w:rPr>
          <w:rFonts w:cs="Arial"/>
          <w:bCs/>
          <w:sz w:val="24"/>
          <w:szCs w:val="24"/>
        </w:rPr>
      </w:pPr>
      <w:r w:rsidRPr="00E30390">
        <w:rPr>
          <w:rFonts w:cs="Arial"/>
          <w:bCs/>
          <w:sz w:val="24"/>
          <w:szCs w:val="24"/>
        </w:rPr>
        <w:t>Codron, D., Sponheimer, M., Codron,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t>McCutchan Jr, J. H., Lewis Jr, W. M., Kendall, C., &amp; McGrath, C. C. (2003). Variation in trophic shift for stable isotope ratios of carbon, nitrogen, and sulfur. Oikos, 102(2), 378-390.</w:t>
      </w:r>
    </w:p>
    <w:p w14:paraId="45AC9B19" w14:textId="77777777" w:rsidR="00EF240F" w:rsidRPr="00E30390" w:rsidRDefault="00EF240F" w:rsidP="00EF240F">
      <w:pPr>
        <w:rPr>
          <w:rFonts w:cs="Arial"/>
          <w:bCs/>
          <w:sz w:val="24"/>
          <w:szCs w:val="24"/>
        </w:rPr>
      </w:pPr>
      <w:r w:rsidRPr="00E30390">
        <w:rPr>
          <w:rFonts w:cs="Arial"/>
          <w:bCs/>
          <w:sz w:val="24"/>
          <w:szCs w:val="24"/>
        </w:rPr>
        <w:lastRenderedPageBreak/>
        <w:t>Vanderklift, M. A., &amp; Ponsard, S. (2003). Sources of variation in consumer-diet δ 15 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w:t>
      </w:r>
      <w:r w:rsidR="007F7F50" w:rsidRPr="00F71632">
        <w:rPr>
          <w:rFonts w:eastAsiaTheme="minorEastAsia" w:cs="Arial"/>
          <w:sz w:val="24"/>
          <w:szCs w:val="24"/>
        </w:rPr>
        <w:t xml:space="preserve">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w:t>
      </w:r>
      <w:r w:rsidR="007F7F50" w:rsidRPr="00F71632">
        <w:rPr>
          <w:rFonts w:eastAsiaTheme="minorEastAsia" w:cs="Arial"/>
          <w:sz w:val="24"/>
          <w:szCs w:val="24"/>
        </w:rPr>
        <w:t>, we</w:t>
      </w:r>
      <w:r w:rsidR="006F2799" w:rsidRPr="00F71632">
        <w:rPr>
          <w:rFonts w:eastAsiaTheme="minorEastAsia" w:cs="Arial"/>
          <w:sz w:val="24"/>
          <w:szCs w:val="24"/>
        </w:rPr>
        <w:t xml:space="preserve"> derived TDFs for the three prey sources using the equations proposed by Caut et al. 2009</w:t>
      </w:r>
      <w:r w:rsidR="007F7F50" w:rsidRPr="00F71632">
        <w:rPr>
          <w:rFonts w:eastAsiaTheme="minorEastAsia" w:cs="Arial"/>
          <w:sz w:val="24"/>
          <w:szCs w:val="24"/>
        </w:rPr>
        <w:t>.</w:t>
      </w:r>
    </w:p>
    <w:p w14:paraId="24AE5D66" w14:textId="316190DA" w:rsidR="00016621" w:rsidRDefault="00F71632" w:rsidP="00016621">
      <w:pPr>
        <w:rPr>
          <w:rFonts w:eastAsiaTheme="minorEastAsia" w:cs="Arial"/>
          <w:color w:val="FF0000"/>
          <w:sz w:val="24"/>
          <w:szCs w:val="24"/>
        </w:rPr>
      </w:pPr>
      <w:r>
        <w:rPr>
          <w:rFonts w:eastAsiaTheme="minorEastAsia" w:cs="Arial"/>
          <w:color w:val="FF0000"/>
          <w:sz w:val="24"/>
          <w:szCs w:val="24"/>
        </w:rPr>
        <w:t>As suggested, w</w:t>
      </w:r>
      <w:r w:rsidR="000377B0">
        <w:rPr>
          <w:rFonts w:eastAsiaTheme="minorEastAsia" w:cs="Arial"/>
          <w:color w:val="FF0000"/>
          <w:sz w:val="24"/>
          <w:szCs w:val="24"/>
        </w:rPr>
        <w:t xml:space="preserve">e searched the literature for the </w:t>
      </w:r>
      <w:r w:rsidR="00101298">
        <w:rPr>
          <w:rFonts w:eastAsiaTheme="minorEastAsia" w:cs="Arial"/>
          <w:color w:val="FF0000"/>
          <w:sz w:val="24"/>
          <w:szCs w:val="24"/>
        </w:rPr>
        <w:t xml:space="preserve">published </w:t>
      </w:r>
      <w:r w:rsidR="000377B0">
        <w:rPr>
          <w:rFonts w:eastAsiaTheme="minorEastAsia" w:cs="Arial"/>
          <w:color w:val="FF0000"/>
          <w:sz w:val="24"/>
          <w:szCs w:val="24"/>
        </w:rPr>
        <w:t xml:space="preserve">TDFs </w:t>
      </w:r>
      <w:r>
        <w:rPr>
          <w:rFonts w:eastAsiaTheme="minorEastAsia" w:cs="Arial"/>
          <w:color w:val="FF0000"/>
          <w:sz w:val="24"/>
          <w:szCs w:val="24"/>
        </w:rPr>
        <w:t xml:space="preserve">for our predator taxa. We found </w:t>
      </w:r>
      <w:r w:rsidR="00101298">
        <w:rPr>
          <w:rFonts w:eastAsiaTheme="minorEastAsia" w:cs="Arial"/>
          <w:color w:val="FF0000"/>
          <w:sz w:val="24"/>
          <w:szCs w:val="24"/>
        </w:rPr>
        <w:t>several</w:t>
      </w:r>
      <w:r w:rsidR="00016621">
        <w:rPr>
          <w:rFonts w:eastAsiaTheme="minorEastAsia" w:cs="Arial"/>
          <w:color w:val="FF0000"/>
          <w:sz w:val="24"/>
          <w:szCs w:val="24"/>
        </w:rPr>
        <w:t xml:space="preserve"> studies on spiders used the</w:t>
      </w:r>
      <w:r w:rsidR="00016621">
        <w:rPr>
          <w:rFonts w:eastAsiaTheme="minorEastAsia" w:cs="Arial"/>
          <w:color w:val="FF0000"/>
          <w:sz w:val="24"/>
          <w:szCs w:val="24"/>
        </w:rPr>
        <w:t xml:space="preserve"> </w:t>
      </w:r>
      <w:r w:rsidR="00101298">
        <w:rPr>
          <w:rFonts w:eastAsiaTheme="minorEastAsia" w:cs="Arial"/>
          <w:color w:val="FF0000"/>
          <w:sz w:val="24"/>
          <w:szCs w:val="24"/>
        </w:rPr>
        <w:t>typical</w:t>
      </w:r>
      <w:r w:rsidR="00101298">
        <w:rPr>
          <w:rFonts w:eastAsiaTheme="minorEastAsia" w:cs="Arial"/>
          <w:color w:val="FF0000"/>
          <w:sz w:val="24"/>
          <w:szCs w:val="24"/>
        </w:rPr>
        <w:t xml:space="preserve"> </w:t>
      </w:r>
      <w:r w:rsidR="00016621">
        <w:rPr>
          <w:rFonts w:eastAsiaTheme="minorEastAsia" w:cs="Arial"/>
          <w:color w:val="FF0000"/>
          <w:sz w:val="24"/>
          <w:szCs w:val="24"/>
        </w:rPr>
        <w:t>TDFs</w:t>
      </w:r>
      <w:r w:rsidR="00016621">
        <w:rPr>
          <w:rFonts w:eastAsiaTheme="minorEastAsia" w:cs="Arial"/>
          <w:color w:val="FF0000"/>
          <w:sz w:val="24"/>
          <w:szCs w:val="24"/>
        </w:rPr>
        <w:t xml:space="preserve"> </w:t>
      </w:r>
      <w:r w:rsidR="00016621">
        <w:rPr>
          <w:rFonts w:eastAsiaTheme="minorEastAsia" w:cs="Arial"/>
          <w:color w:val="FF0000"/>
          <w:sz w:val="24"/>
          <w:szCs w:val="24"/>
        </w:rPr>
        <w:t xml:space="preserve">for </w:t>
      </w:r>
      <w:r w:rsidR="00016621">
        <w:rPr>
          <w:rFonts w:cs="Arial"/>
          <w:bCs/>
          <w:color w:val="FF0000"/>
          <w:sz w:val="24"/>
          <w:szCs w:val="24"/>
        </w:rPr>
        <w:t>terrestrial consumers</w:t>
      </w:r>
      <w:r w:rsidR="00101298">
        <w:rPr>
          <w:rFonts w:cs="Arial"/>
          <w:bCs/>
          <w:color w:val="FF0000"/>
          <w:sz w:val="24"/>
          <w:szCs w:val="24"/>
        </w:rPr>
        <w:t xml:space="preserve"> from </w:t>
      </w:r>
      <w:r w:rsidR="00AE034C" w:rsidRPr="002C6BAD">
        <w:rPr>
          <w:rFonts w:cs="Arial"/>
          <w:bCs/>
          <w:color w:val="FF0000"/>
          <w:sz w:val="24"/>
          <w:szCs w:val="24"/>
        </w:rPr>
        <w:t>McCutchan</w:t>
      </w:r>
      <w:r w:rsidR="00AE034C">
        <w:rPr>
          <w:rFonts w:cs="Arial"/>
          <w:bCs/>
          <w:color w:val="FF0000"/>
          <w:sz w:val="24"/>
          <w:szCs w:val="24"/>
        </w:rPr>
        <w:t xml:space="preserve"> et al. </w:t>
      </w:r>
      <w:r w:rsidR="00AE034C">
        <w:rPr>
          <w:rFonts w:cs="Arial"/>
          <w:bCs/>
          <w:color w:val="FF0000"/>
          <w:sz w:val="24"/>
          <w:szCs w:val="24"/>
        </w:rPr>
        <w:t>(</w:t>
      </w:r>
      <w:r w:rsidR="00AE034C">
        <w:rPr>
          <w:rFonts w:cs="Arial"/>
          <w:bCs/>
          <w:color w:val="FF0000"/>
          <w:sz w:val="24"/>
          <w:szCs w:val="24"/>
        </w:rPr>
        <w:t>2003</w:t>
      </w:r>
      <w:r w:rsidR="00AE034C">
        <w:rPr>
          <w:rFonts w:cs="Arial"/>
          <w:bCs/>
          <w:color w:val="FF0000"/>
          <w:sz w:val="24"/>
          <w:szCs w:val="24"/>
        </w:rPr>
        <w:t>)</w:t>
      </w:r>
      <w:r w:rsidR="00C478AD">
        <w:rPr>
          <w:rFonts w:cs="Arial"/>
          <w:bCs/>
          <w:color w:val="FF0000"/>
          <w:sz w:val="24"/>
          <w:szCs w:val="24"/>
        </w:rPr>
        <w:t xml:space="preserve"> (e.g., </w:t>
      </w:r>
      <w:r w:rsidR="00E2049D" w:rsidRPr="00E2049D">
        <w:rPr>
          <w:rFonts w:cs="Arial"/>
          <w:bCs/>
          <w:color w:val="FF0000"/>
          <w:sz w:val="24"/>
          <w:szCs w:val="24"/>
        </w:rPr>
        <w:t>Haraguchi</w:t>
      </w:r>
      <w:r w:rsidR="00E2049D">
        <w:rPr>
          <w:rFonts w:cs="Arial"/>
          <w:bCs/>
          <w:color w:val="FF0000"/>
          <w:sz w:val="24"/>
          <w:szCs w:val="24"/>
        </w:rPr>
        <w:t xml:space="preserve"> et al. 2013, </w:t>
      </w:r>
      <w:r w:rsidR="001F5FF5">
        <w:rPr>
          <w:rFonts w:cs="Arial"/>
          <w:bCs/>
          <w:color w:val="FF0000"/>
          <w:sz w:val="24"/>
          <w:szCs w:val="24"/>
        </w:rPr>
        <w:t>Sanders et al. 2014</w:t>
      </w:r>
      <w:r w:rsidR="00C478AD">
        <w:rPr>
          <w:rFonts w:cs="Arial"/>
          <w:bCs/>
          <w:color w:val="FF0000"/>
          <w:sz w:val="24"/>
          <w:szCs w:val="24"/>
        </w:rPr>
        <w:t>)</w:t>
      </w:r>
      <w:r w:rsidR="00016621">
        <w:rPr>
          <w:rFonts w:cs="Arial"/>
          <w:bCs/>
          <w:color w:val="FF0000"/>
          <w:sz w:val="24"/>
          <w:szCs w:val="24"/>
        </w:rPr>
        <w:t>. We also found one</w:t>
      </w:r>
      <w:r w:rsidR="000C3307">
        <w:rPr>
          <w:rFonts w:cs="Arial"/>
          <w:bCs/>
          <w:color w:val="FF0000"/>
          <w:sz w:val="24"/>
          <w:szCs w:val="24"/>
        </w:rPr>
        <w:t xml:space="preserve"> published TDFs for </w:t>
      </w:r>
      <w:r w:rsidR="00016621">
        <w:rPr>
          <w:rFonts w:cs="Arial"/>
          <w:bCs/>
          <w:color w:val="FF0000"/>
          <w:sz w:val="24"/>
          <w:szCs w:val="24"/>
        </w:rPr>
        <w:t>l</w:t>
      </w:r>
      <w:r w:rsidR="00016621" w:rsidRPr="00D322B6">
        <w:rPr>
          <w:rFonts w:cs="Arial"/>
          <w:bCs/>
          <w:color w:val="FF0000"/>
          <w:sz w:val="24"/>
          <w:szCs w:val="24"/>
        </w:rPr>
        <w:t>ycosid spider</w:t>
      </w:r>
      <w:r w:rsidR="000C3307">
        <w:rPr>
          <w:rFonts w:cs="Arial"/>
          <w:bCs/>
          <w:color w:val="FF0000"/>
          <w:sz w:val="24"/>
          <w:szCs w:val="24"/>
        </w:rPr>
        <w:t xml:space="preserve"> feeding</w:t>
      </w:r>
      <w:r w:rsidR="00016621">
        <w:rPr>
          <w:rFonts w:cs="Arial"/>
          <w:bCs/>
          <w:color w:val="FF0000"/>
          <w:sz w:val="24"/>
          <w:szCs w:val="24"/>
        </w:rPr>
        <w:t xml:space="preserve"> on aphid</w:t>
      </w:r>
      <w:r w:rsidR="000C3307">
        <w:rPr>
          <w:rFonts w:cs="Arial"/>
          <w:bCs/>
          <w:color w:val="FF0000"/>
          <w:sz w:val="24"/>
          <w:szCs w:val="24"/>
        </w:rPr>
        <w:t>s</w:t>
      </w:r>
      <w:r w:rsidR="00016621">
        <w:rPr>
          <w:rFonts w:cs="Arial"/>
          <w:bCs/>
          <w:color w:val="FF0000"/>
          <w:sz w:val="24"/>
          <w:szCs w:val="24"/>
        </w:rPr>
        <w:t xml:space="preserve">, </w:t>
      </w:r>
      <w:r w:rsidR="00016621" w:rsidRPr="000C3307">
        <w:rPr>
          <w:rFonts w:cs="Arial"/>
          <w:bCs/>
          <w:i/>
          <w:iCs/>
          <w:color w:val="FF0000"/>
          <w:sz w:val="24"/>
          <w:szCs w:val="24"/>
        </w:rPr>
        <w:t>Drosophila</w:t>
      </w:r>
      <w:r w:rsidR="00016621">
        <w:rPr>
          <w:rFonts w:cs="Arial"/>
          <w:bCs/>
          <w:color w:val="FF0000"/>
          <w:sz w:val="24"/>
          <w:szCs w:val="24"/>
        </w:rPr>
        <w:t>, and Col</w:t>
      </w:r>
      <w:r w:rsidR="000C3307">
        <w:rPr>
          <w:rFonts w:cs="Arial"/>
          <w:bCs/>
          <w:color w:val="FF0000"/>
          <w:sz w:val="24"/>
          <w:szCs w:val="24"/>
        </w:rPr>
        <w:t>l</w:t>
      </w:r>
      <w:r w:rsidR="00016621">
        <w:rPr>
          <w:rFonts w:cs="Arial"/>
          <w:bCs/>
          <w:color w:val="FF0000"/>
          <w:sz w:val="24"/>
          <w:szCs w:val="24"/>
        </w:rPr>
        <w:t>embolan</w:t>
      </w:r>
      <w:r w:rsidR="000C3307">
        <w:rPr>
          <w:rFonts w:cs="Arial"/>
          <w:bCs/>
          <w:color w:val="FF0000"/>
          <w:sz w:val="24"/>
          <w:szCs w:val="24"/>
        </w:rPr>
        <w:t>s</w:t>
      </w:r>
      <w:r w:rsidR="00652BBA">
        <w:rPr>
          <w:rFonts w:cs="Arial"/>
          <w:bCs/>
          <w:color w:val="FF0000"/>
          <w:sz w:val="24"/>
          <w:szCs w:val="24"/>
        </w:rPr>
        <w:t xml:space="preserve"> from </w:t>
      </w:r>
      <w:r w:rsidR="00652BBA" w:rsidRPr="00BF1E35">
        <w:rPr>
          <w:rFonts w:cs="Arial"/>
          <w:bCs/>
          <w:color w:val="FF0000"/>
          <w:sz w:val="24"/>
          <w:szCs w:val="24"/>
        </w:rPr>
        <w:t>Oelbermann</w:t>
      </w:r>
      <w:r w:rsidR="00652BBA">
        <w:rPr>
          <w:rFonts w:cs="Arial"/>
          <w:bCs/>
          <w:color w:val="FF0000"/>
          <w:sz w:val="24"/>
          <w:szCs w:val="24"/>
        </w:rPr>
        <w:t xml:space="preserve"> and</w:t>
      </w:r>
      <w:r w:rsidR="00652BBA" w:rsidRPr="00BF1E35">
        <w:rPr>
          <w:rFonts w:cs="Arial"/>
          <w:bCs/>
          <w:color w:val="FF0000"/>
          <w:sz w:val="24"/>
          <w:szCs w:val="24"/>
        </w:rPr>
        <w:t> Sechu </w:t>
      </w:r>
      <w:r w:rsidR="00652BBA">
        <w:rPr>
          <w:rFonts w:cs="Arial"/>
          <w:bCs/>
          <w:color w:val="FF0000"/>
          <w:sz w:val="24"/>
          <w:szCs w:val="24"/>
        </w:rPr>
        <w:t>(</w:t>
      </w:r>
      <w:r w:rsidR="00652BBA" w:rsidRPr="00BF1E35">
        <w:rPr>
          <w:rFonts w:cs="Arial"/>
          <w:bCs/>
          <w:color w:val="FF0000"/>
          <w:sz w:val="24"/>
          <w:szCs w:val="24"/>
        </w:rPr>
        <w:t>2002</w:t>
      </w:r>
      <w:r w:rsidR="00652BBA">
        <w:rPr>
          <w:rFonts w:cs="Arial"/>
          <w:bCs/>
          <w:color w:val="FF0000"/>
          <w:sz w:val="24"/>
          <w:szCs w:val="24"/>
        </w:rPr>
        <w:t>):</w:t>
      </w:r>
    </w:p>
    <w:tbl>
      <w:tblPr>
        <w:tblStyle w:val="TableGrid"/>
        <w:tblW w:w="0" w:type="auto"/>
        <w:tblLook w:val="04A0" w:firstRow="1" w:lastRow="0" w:firstColumn="1" w:lastColumn="0" w:noHBand="0" w:noVBand="1"/>
      </w:tblPr>
      <w:tblGrid>
        <w:gridCol w:w="1908"/>
        <w:gridCol w:w="1911"/>
        <w:gridCol w:w="1896"/>
        <w:gridCol w:w="1896"/>
        <w:gridCol w:w="1965"/>
      </w:tblGrid>
      <w:tr w:rsidR="00016621" w14:paraId="5B0CA37D" w14:textId="77777777" w:rsidTr="00016621">
        <w:tc>
          <w:tcPr>
            <w:tcW w:w="1915" w:type="dxa"/>
          </w:tcPr>
          <w:p w14:paraId="58C48B79" w14:textId="0EC04CBD" w:rsidR="00016621" w:rsidRDefault="00016621" w:rsidP="004E60CB">
            <w:pPr>
              <w:rPr>
                <w:rFonts w:eastAsiaTheme="minorEastAsia" w:cs="Arial"/>
                <w:color w:val="FF0000"/>
                <w:sz w:val="24"/>
                <w:szCs w:val="24"/>
              </w:rPr>
            </w:pPr>
            <w:r>
              <w:rPr>
                <w:rFonts w:eastAsiaTheme="minorEastAsia" w:cs="Arial"/>
                <w:color w:val="FF0000"/>
                <w:sz w:val="24"/>
                <w:szCs w:val="24"/>
              </w:rPr>
              <w:t>Predator</w:t>
            </w:r>
          </w:p>
        </w:tc>
        <w:tc>
          <w:tcPr>
            <w:tcW w:w="1915" w:type="dxa"/>
          </w:tcPr>
          <w:p w14:paraId="07277F85" w14:textId="3C7DDEAB" w:rsidR="00016621" w:rsidRDefault="00016621" w:rsidP="004E60CB">
            <w:pPr>
              <w:rPr>
                <w:rFonts w:eastAsiaTheme="minorEastAsia" w:cs="Arial"/>
                <w:color w:val="FF0000"/>
                <w:sz w:val="24"/>
                <w:szCs w:val="24"/>
              </w:rPr>
            </w:pPr>
            <w:r>
              <w:rPr>
                <w:rFonts w:eastAsiaTheme="minorEastAsia" w:cs="Arial"/>
                <w:color w:val="FF0000"/>
                <w:sz w:val="24"/>
                <w:szCs w:val="24"/>
              </w:rPr>
              <w:t>Prey</w:t>
            </w:r>
          </w:p>
        </w:tc>
        <w:tc>
          <w:tcPr>
            <w:tcW w:w="1915" w:type="dxa"/>
          </w:tcPr>
          <w:p w14:paraId="1153CDA3" w14:textId="094631C1" w:rsidR="00016621" w:rsidRDefault="008C6604" w:rsidP="004E60CB">
            <w:pPr>
              <w:rPr>
                <w:rFonts w:eastAsiaTheme="minorEastAsia" w:cs="Arial"/>
                <w:color w:val="FF0000"/>
                <w:sz w:val="24"/>
                <w:szCs w:val="24"/>
              </w:rPr>
            </w:pPr>
            <w:r>
              <w:rPr>
                <w:rFonts w:eastAsiaTheme="minorEastAsia" w:cs="Arial"/>
                <w:color w:val="FF0000"/>
                <w:sz w:val="24"/>
                <w:szCs w:val="24"/>
              </w:rPr>
              <w:t>Δ</w:t>
            </w:r>
            <w:r w:rsidRPr="008C6604">
              <w:rPr>
                <w:rFonts w:eastAsiaTheme="minorEastAsia" w:cs="Arial"/>
                <w:color w:val="FF0000"/>
                <w:sz w:val="24"/>
                <w:szCs w:val="24"/>
                <w:vertAlign w:val="superscript"/>
              </w:rPr>
              <w:t>13</w:t>
            </w:r>
            <w:r w:rsidRPr="008C6604">
              <w:rPr>
                <w:rFonts w:eastAsiaTheme="minorEastAsia" w:cs="Arial"/>
                <w:color w:val="FF0000"/>
                <w:sz w:val="24"/>
                <w:szCs w:val="24"/>
              </w:rPr>
              <w:t>C</w:t>
            </w:r>
          </w:p>
        </w:tc>
        <w:tc>
          <w:tcPr>
            <w:tcW w:w="1915" w:type="dxa"/>
          </w:tcPr>
          <w:p w14:paraId="5704A228" w14:textId="6C7949C3" w:rsidR="00016621" w:rsidRPr="008C6604" w:rsidRDefault="008C6604" w:rsidP="004E60CB">
            <w:pPr>
              <w:rPr>
                <w:rFonts w:eastAsiaTheme="minorEastAsia" w:cs="Arial"/>
                <w:color w:val="FF0000"/>
                <w:sz w:val="24"/>
                <w:szCs w:val="24"/>
              </w:rPr>
            </w:pPr>
            <w:r>
              <w:rPr>
                <w:rFonts w:eastAsiaTheme="minorEastAsia" w:cs="Arial"/>
                <w:color w:val="FF0000"/>
                <w:sz w:val="24"/>
                <w:szCs w:val="24"/>
              </w:rPr>
              <w:t>Δ</w:t>
            </w:r>
            <w:r w:rsidRPr="008C6604">
              <w:rPr>
                <w:rFonts w:eastAsiaTheme="minorEastAsia" w:cs="Arial"/>
                <w:color w:val="FF0000"/>
                <w:sz w:val="24"/>
                <w:szCs w:val="24"/>
                <w:vertAlign w:val="superscript"/>
              </w:rPr>
              <w:t>1</w:t>
            </w:r>
            <w:r>
              <w:rPr>
                <w:rFonts w:eastAsiaTheme="minorEastAsia" w:cs="Arial"/>
                <w:color w:val="FF0000"/>
                <w:sz w:val="24"/>
                <w:szCs w:val="24"/>
                <w:vertAlign w:val="superscript"/>
              </w:rPr>
              <w:t>5</w:t>
            </w:r>
            <w:r>
              <w:rPr>
                <w:rFonts w:eastAsiaTheme="minorEastAsia" w:cs="Arial"/>
                <w:color w:val="FF0000"/>
                <w:sz w:val="24"/>
                <w:szCs w:val="24"/>
              </w:rPr>
              <w:t>N</w:t>
            </w:r>
          </w:p>
        </w:tc>
        <w:tc>
          <w:tcPr>
            <w:tcW w:w="1916" w:type="dxa"/>
          </w:tcPr>
          <w:p w14:paraId="67CDBE5B" w14:textId="284FB039" w:rsidR="00016621" w:rsidRDefault="00016621" w:rsidP="004E60CB">
            <w:pPr>
              <w:rPr>
                <w:rFonts w:eastAsiaTheme="minorEastAsia" w:cs="Arial"/>
                <w:color w:val="FF0000"/>
                <w:sz w:val="24"/>
                <w:szCs w:val="24"/>
              </w:rPr>
            </w:pPr>
            <w:r>
              <w:rPr>
                <w:rFonts w:eastAsiaTheme="minorEastAsia" w:cs="Arial"/>
                <w:color w:val="FF0000"/>
                <w:sz w:val="24"/>
                <w:szCs w:val="24"/>
              </w:rPr>
              <w:t>Reference</w:t>
            </w:r>
          </w:p>
        </w:tc>
      </w:tr>
      <w:tr w:rsidR="00016621" w14:paraId="282733E6" w14:textId="77777777" w:rsidTr="00016621">
        <w:tc>
          <w:tcPr>
            <w:tcW w:w="1915" w:type="dxa"/>
          </w:tcPr>
          <w:p w14:paraId="0EE8EAF9" w14:textId="39E6C32B" w:rsidR="00016621" w:rsidRDefault="00016621" w:rsidP="004E60CB">
            <w:pPr>
              <w:rPr>
                <w:rFonts w:eastAsiaTheme="minorEastAsia" w:cs="Arial"/>
                <w:color w:val="FF0000"/>
                <w:sz w:val="24"/>
                <w:szCs w:val="24"/>
              </w:rPr>
            </w:pPr>
            <w:r>
              <w:rPr>
                <w:rFonts w:eastAsiaTheme="minorEastAsia" w:cs="Arial"/>
                <w:color w:val="FF0000"/>
                <w:sz w:val="24"/>
                <w:szCs w:val="24"/>
              </w:rPr>
              <w:t>Terrestrial consumers</w:t>
            </w:r>
          </w:p>
        </w:tc>
        <w:tc>
          <w:tcPr>
            <w:tcW w:w="1915" w:type="dxa"/>
          </w:tcPr>
          <w:p w14:paraId="188B0FE7" w14:textId="23629E6D" w:rsidR="00016621" w:rsidRDefault="00A8157B" w:rsidP="004E60CB">
            <w:pPr>
              <w:rPr>
                <w:rFonts w:eastAsiaTheme="minorEastAsia" w:cs="Arial"/>
                <w:color w:val="FF0000"/>
                <w:sz w:val="24"/>
                <w:szCs w:val="24"/>
              </w:rPr>
            </w:pPr>
            <w:r>
              <w:rPr>
                <w:rFonts w:eastAsiaTheme="minorEastAsia" w:cs="Arial"/>
                <w:color w:val="FF0000"/>
                <w:sz w:val="24"/>
                <w:szCs w:val="24"/>
              </w:rPr>
              <w:t>NA</w:t>
            </w:r>
          </w:p>
        </w:tc>
        <w:tc>
          <w:tcPr>
            <w:tcW w:w="1915" w:type="dxa"/>
          </w:tcPr>
          <w:p w14:paraId="29EDC24C" w14:textId="0821EB24" w:rsidR="00016621" w:rsidRDefault="00F03A2B" w:rsidP="004E60CB">
            <w:pPr>
              <w:rPr>
                <w:rFonts w:eastAsiaTheme="minorEastAsia" w:cs="Arial"/>
                <w:color w:val="FF0000"/>
                <w:sz w:val="24"/>
                <w:szCs w:val="24"/>
              </w:rPr>
            </w:pPr>
            <w:r w:rsidRPr="002C6BAD">
              <w:rPr>
                <w:rFonts w:cs="Arial"/>
                <w:bCs/>
                <w:color w:val="FF0000"/>
                <w:sz w:val="24"/>
                <w:szCs w:val="24"/>
              </w:rPr>
              <w:t>0.5</w:t>
            </w:r>
            <w:r w:rsidR="00AB7B20">
              <w:rPr>
                <w:rFonts w:cs="Arial"/>
                <w:bCs/>
                <w:color w:val="FF0000"/>
                <w:sz w:val="24"/>
                <w:szCs w:val="24"/>
              </w:rPr>
              <w:t xml:space="preserve"> </w:t>
            </w:r>
            <w:r w:rsidRPr="002C6BAD">
              <w:rPr>
                <w:rFonts w:cs="Arial"/>
                <w:bCs/>
                <w:color w:val="FF0000"/>
                <w:sz w:val="24"/>
                <w:szCs w:val="24"/>
              </w:rPr>
              <w:t>±</w:t>
            </w:r>
            <w:r w:rsidR="00AB7B20">
              <w:rPr>
                <w:rFonts w:cs="Arial"/>
                <w:bCs/>
                <w:color w:val="FF0000"/>
                <w:sz w:val="24"/>
                <w:szCs w:val="24"/>
              </w:rPr>
              <w:t xml:space="preserve"> </w:t>
            </w:r>
            <w:r w:rsidRPr="002C6BAD">
              <w:rPr>
                <w:rFonts w:cs="Arial"/>
                <w:bCs/>
                <w:color w:val="FF0000"/>
                <w:sz w:val="24"/>
                <w:szCs w:val="24"/>
              </w:rPr>
              <w:t>0.13</w:t>
            </w:r>
          </w:p>
        </w:tc>
        <w:tc>
          <w:tcPr>
            <w:tcW w:w="1915" w:type="dxa"/>
          </w:tcPr>
          <w:p w14:paraId="2143ABFD" w14:textId="2DC7FAEA" w:rsidR="00016621" w:rsidRDefault="00F03A2B" w:rsidP="004E60CB">
            <w:pPr>
              <w:rPr>
                <w:rFonts w:eastAsiaTheme="minorEastAsia" w:cs="Arial"/>
                <w:color w:val="FF0000"/>
                <w:sz w:val="24"/>
                <w:szCs w:val="24"/>
              </w:rPr>
            </w:pPr>
            <w:r w:rsidRPr="002C6BAD">
              <w:rPr>
                <w:rFonts w:cs="Arial"/>
                <w:bCs/>
                <w:color w:val="FF0000"/>
                <w:sz w:val="24"/>
                <w:szCs w:val="24"/>
              </w:rPr>
              <w:t>2.3</w:t>
            </w:r>
            <w:r w:rsidR="00AB7B20">
              <w:rPr>
                <w:rFonts w:cs="Arial"/>
                <w:bCs/>
                <w:color w:val="FF0000"/>
                <w:sz w:val="24"/>
                <w:szCs w:val="24"/>
              </w:rPr>
              <w:t xml:space="preserve"> </w:t>
            </w:r>
            <w:r w:rsidRPr="002C6BAD">
              <w:rPr>
                <w:rFonts w:cs="Arial"/>
                <w:bCs/>
                <w:color w:val="FF0000"/>
                <w:sz w:val="24"/>
                <w:szCs w:val="24"/>
              </w:rPr>
              <w:t>±</w:t>
            </w:r>
            <w:r w:rsidR="00AB7B20">
              <w:rPr>
                <w:rFonts w:cs="Arial"/>
                <w:bCs/>
                <w:color w:val="FF0000"/>
                <w:sz w:val="24"/>
                <w:szCs w:val="24"/>
              </w:rPr>
              <w:t xml:space="preserve"> </w:t>
            </w:r>
            <w:r w:rsidRPr="002C6BAD">
              <w:rPr>
                <w:rFonts w:cs="Arial"/>
                <w:bCs/>
                <w:color w:val="FF0000"/>
                <w:sz w:val="24"/>
                <w:szCs w:val="24"/>
              </w:rPr>
              <w:t>0.18</w:t>
            </w:r>
          </w:p>
        </w:tc>
        <w:tc>
          <w:tcPr>
            <w:tcW w:w="1916" w:type="dxa"/>
          </w:tcPr>
          <w:p w14:paraId="3C29BC3D" w14:textId="3B57DCCD" w:rsidR="00016621" w:rsidRDefault="00652BBA" w:rsidP="004E60CB">
            <w:pPr>
              <w:rPr>
                <w:rFonts w:eastAsiaTheme="minorEastAsia" w:cs="Arial"/>
                <w:color w:val="FF0000"/>
                <w:sz w:val="24"/>
                <w:szCs w:val="24"/>
              </w:rPr>
            </w:pPr>
            <w:r w:rsidRPr="002C6BAD">
              <w:rPr>
                <w:rFonts w:cs="Arial"/>
                <w:bCs/>
                <w:color w:val="FF0000"/>
                <w:sz w:val="24"/>
                <w:szCs w:val="24"/>
              </w:rPr>
              <w:t>McCutchan</w:t>
            </w:r>
            <w:r>
              <w:rPr>
                <w:rFonts w:cs="Arial"/>
                <w:bCs/>
                <w:color w:val="FF0000"/>
                <w:sz w:val="24"/>
                <w:szCs w:val="24"/>
              </w:rPr>
              <w:t xml:space="preserve"> et al. 2003</w:t>
            </w:r>
          </w:p>
        </w:tc>
      </w:tr>
      <w:tr w:rsidR="00016621" w14:paraId="56B3735C" w14:textId="77777777" w:rsidTr="00016621">
        <w:tc>
          <w:tcPr>
            <w:tcW w:w="1915" w:type="dxa"/>
          </w:tcPr>
          <w:p w14:paraId="02FEB9D4" w14:textId="5A26E52C" w:rsidR="00016621" w:rsidRDefault="00016621" w:rsidP="004E60CB">
            <w:pPr>
              <w:rPr>
                <w:rFonts w:eastAsiaTheme="minorEastAsia" w:cs="Arial"/>
                <w:color w:val="FF0000"/>
                <w:sz w:val="24"/>
                <w:szCs w:val="24"/>
              </w:rPr>
            </w:pPr>
            <w:r>
              <w:rPr>
                <w:rFonts w:cs="Arial"/>
                <w:bCs/>
                <w:color w:val="FF0000"/>
                <w:sz w:val="24"/>
                <w:szCs w:val="24"/>
              </w:rPr>
              <w:t>L</w:t>
            </w:r>
            <w:r w:rsidRPr="00D322B6">
              <w:rPr>
                <w:rFonts w:cs="Arial"/>
                <w:bCs/>
                <w:color w:val="FF0000"/>
                <w:sz w:val="24"/>
                <w:szCs w:val="24"/>
              </w:rPr>
              <w:t>ycosid spider</w:t>
            </w:r>
          </w:p>
        </w:tc>
        <w:tc>
          <w:tcPr>
            <w:tcW w:w="1915" w:type="dxa"/>
          </w:tcPr>
          <w:p w14:paraId="012BA122" w14:textId="489987D3" w:rsidR="00016621" w:rsidRDefault="000C3307" w:rsidP="004E60CB">
            <w:pPr>
              <w:rPr>
                <w:rFonts w:eastAsiaTheme="minorEastAsia" w:cs="Arial"/>
                <w:color w:val="FF0000"/>
                <w:sz w:val="24"/>
                <w:szCs w:val="24"/>
              </w:rPr>
            </w:pPr>
            <w:r>
              <w:rPr>
                <w:rFonts w:eastAsiaTheme="minorEastAsia" w:cs="Arial"/>
                <w:color w:val="FF0000"/>
                <w:sz w:val="24"/>
                <w:szCs w:val="24"/>
              </w:rPr>
              <w:t>Aphids</w:t>
            </w:r>
          </w:p>
        </w:tc>
        <w:tc>
          <w:tcPr>
            <w:tcW w:w="1915" w:type="dxa"/>
          </w:tcPr>
          <w:p w14:paraId="01D141CA" w14:textId="77777777" w:rsidR="00016621" w:rsidRDefault="00016621" w:rsidP="004E60CB">
            <w:pPr>
              <w:rPr>
                <w:rFonts w:eastAsiaTheme="minorEastAsia" w:cs="Arial"/>
                <w:color w:val="FF0000"/>
                <w:sz w:val="24"/>
                <w:szCs w:val="24"/>
              </w:rPr>
            </w:pPr>
          </w:p>
        </w:tc>
        <w:tc>
          <w:tcPr>
            <w:tcW w:w="1915" w:type="dxa"/>
          </w:tcPr>
          <w:p w14:paraId="53D5A1D7" w14:textId="77777777" w:rsidR="00016621" w:rsidRDefault="00016621" w:rsidP="004E60CB">
            <w:pPr>
              <w:rPr>
                <w:rFonts w:eastAsiaTheme="minorEastAsia" w:cs="Arial"/>
                <w:color w:val="FF0000"/>
                <w:sz w:val="24"/>
                <w:szCs w:val="24"/>
              </w:rPr>
            </w:pPr>
          </w:p>
        </w:tc>
        <w:tc>
          <w:tcPr>
            <w:tcW w:w="1916" w:type="dxa"/>
          </w:tcPr>
          <w:p w14:paraId="45AE9C6A" w14:textId="25FAE5D1" w:rsidR="00016621" w:rsidRDefault="00652BBA" w:rsidP="004E60CB">
            <w:pPr>
              <w:rPr>
                <w:rFonts w:eastAsiaTheme="minorEastAsia" w:cs="Arial"/>
                <w:color w:val="FF0000"/>
                <w:sz w:val="24"/>
                <w:szCs w:val="24"/>
              </w:rPr>
            </w:pPr>
            <w:r w:rsidRPr="00BF1E35">
              <w:rPr>
                <w:rFonts w:cs="Arial"/>
                <w:bCs/>
                <w:color w:val="FF0000"/>
                <w:sz w:val="24"/>
                <w:szCs w:val="24"/>
              </w:rPr>
              <w:t>Oelbermann</w:t>
            </w:r>
            <w:r>
              <w:rPr>
                <w:rFonts w:cs="Arial"/>
                <w:bCs/>
                <w:color w:val="FF0000"/>
                <w:sz w:val="24"/>
                <w:szCs w:val="24"/>
              </w:rPr>
              <w:t xml:space="preserve"> and</w:t>
            </w:r>
            <w:r w:rsidRPr="00BF1E35">
              <w:rPr>
                <w:rFonts w:cs="Arial"/>
                <w:bCs/>
                <w:color w:val="FF0000"/>
                <w:sz w:val="24"/>
                <w:szCs w:val="24"/>
              </w:rPr>
              <w:t> Sechu 2002</w:t>
            </w:r>
          </w:p>
        </w:tc>
      </w:tr>
      <w:tr w:rsidR="00016621" w14:paraId="3747DFB8" w14:textId="77777777" w:rsidTr="00016621">
        <w:tc>
          <w:tcPr>
            <w:tcW w:w="1915" w:type="dxa"/>
          </w:tcPr>
          <w:p w14:paraId="3D5D7CFE" w14:textId="453C714D" w:rsidR="00016621" w:rsidRDefault="00016621" w:rsidP="004E60CB">
            <w:pPr>
              <w:rPr>
                <w:rFonts w:eastAsiaTheme="minorEastAsia" w:cs="Arial"/>
                <w:color w:val="FF0000"/>
                <w:sz w:val="24"/>
                <w:szCs w:val="24"/>
              </w:rPr>
            </w:pPr>
            <w:r>
              <w:rPr>
                <w:rFonts w:cs="Arial"/>
                <w:bCs/>
                <w:color w:val="FF0000"/>
                <w:sz w:val="24"/>
                <w:szCs w:val="24"/>
              </w:rPr>
              <w:t>L</w:t>
            </w:r>
            <w:r w:rsidRPr="00D322B6">
              <w:rPr>
                <w:rFonts w:cs="Arial"/>
                <w:bCs/>
                <w:color w:val="FF0000"/>
                <w:sz w:val="24"/>
                <w:szCs w:val="24"/>
              </w:rPr>
              <w:t>ycosid spider</w:t>
            </w:r>
          </w:p>
        </w:tc>
        <w:tc>
          <w:tcPr>
            <w:tcW w:w="1915" w:type="dxa"/>
          </w:tcPr>
          <w:p w14:paraId="4690FDAE" w14:textId="23FA4538" w:rsidR="00016621" w:rsidRDefault="000C3307" w:rsidP="004E60CB">
            <w:pPr>
              <w:rPr>
                <w:rFonts w:eastAsiaTheme="minorEastAsia" w:cs="Arial"/>
                <w:color w:val="FF0000"/>
                <w:sz w:val="24"/>
                <w:szCs w:val="24"/>
              </w:rPr>
            </w:pPr>
            <w:r w:rsidRPr="000C3307">
              <w:rPr>
                <w:rFonts w:cs="Arial"/>
                <w:bCs/>
                <w:i/>
                <w:iCs/>
                <w:color w:val="FF0000"/>
                <w:sz w:val="24"/>
                <w:szCs w:val="24"/>
              </w:rPr>
              <w:t>Drosophila</w:t>
            </w:r>
          </w:p>
        </w:tc>
        <w:tc>
          <w:tcPr>
            <w:tcW w:w="1915" w:type="dxa"/>
          </w:tcPr>
          <w:p w14:paraId="4360DB25" w14:textId="77777777" w:rsidR="00016621" w:rsidRDefault="00016621" w:rsidP="004E60CB">
            <w:pPr>
              <w:rPr>
                <w:rFonts w:eastAsiaTheme="minorEastAsia" w:cs="Arial"/>
                <w:color w:val="FF0000"/>
                <w:sz w:val="24"/>
                <w:szCs w:val="24"/>
              </w:rPr>
            </w:pPr>
          </w:p>
        </w:tc>
        <w:tc>
          <w:tcPr>
            <w:tcW w:w="1915" w:type="dxa"/>
          </w:tcPr>
          <w:p w14:paraId="75C3F999" w14:textId="77777777" w:rsidR="00016621" w:rsidRDefault="00016621" w:rsidP="004E60CB">
            <w:pPr>
              <w:rPr>
                <w:rFonts w:eastAsiaTheme="minorEastAsia" w:cs="Arial"/>
                <w:color w:val="FF0000"/>
                <w:sz w:val="24"/>
                <w:szCs w:val="24"/>
              </w:rPr>
            </w:pPr>
          </w:p>
        </w:tc>
        <w:tc>
          <w:tcPr>
            <w:tcW w:w="1916" w:type="dxa"/>
          </w:tcPr>
          <w:p w14:paraId="7A4B56A5" w14:textId="254F422B" w:rsidR="00016621" w:rsidRDefault="00652BBA" w:rsidP="004E60CB">
            <w:pPr>
              <w:rPr>
                <w:rFonts w:eastAsiaTheme="minorEastAsia" w:cs="Arial"/>
                <w:color w:val="FF0000"/>
                <w:sz w:val="24"/>
                <w:szCs w:val="24"/>
              </w:rPr>
            </w:pPr>
            <w:r w:rsidRPr="00BF1E35">
              <w:rPr>
                <w:rFonts w:cs="Arial"/>
                <w:bCs/>
                <w:color w:val="FF0000"/>
                <w:sz w:val="24"/>
                <w:szCs w:val="24"/>
              </w:rPr>
              <w:t>Oelbermann</w:t>
            </w:r>
            <w:r>
              <w:rPr>
                <w:rFonts w:cs="Arial"/>
                <w:bCs/>
                <w:color w:val="FF0000"/>
                <w:sz w:val="24"/>
                <w:szCs w:val="24"/>
              </w:rPr>
              <w:t xml:space="preserve"> and</w:t>
            </w:r>
            <w:r w:rsidRPr="00BF1E35">
              <w:rPr>
                <w:rFonts w:cs="Arial"/>
                <w:bCs/>
                <w:color w:val="FF0000"/>
                <w:sz w:val="24"/>
                <w:szCs w:val="24"/>
              </w:rPr>
              <w:t> Sechu 2002</w:t>
            </w:r>
          </w:p>
        </w:tc>
      </w:tr>
      <w:tr w:rsidR="00016621" w14:paraId="7EAAE469" w14:textId="77777777" w:rsidTr="00016621">
        <w:tc>
          <w:tcPr>
            <w:tcW w:w="1915" w:type="dxa"/>
          </w:tcPr>
          <w:p w14:paraId="5B5E5F59" w14:textId="3AD37263" w:rsidR="00016621" w:rsidRDefault="00016621" w:rsidP="004E60CB">
            <w:pPr>
              <w:rPr>
                <w:rFonts w:eastAsiaTheme="minorEastAsia" w:cs="Arial"/>
                <w:color w:val="FF0000"/>
                <w:sz w:val="24"/>
                <w:szCs w:val="24"/>
              </w:rPr>
            </w:pPr>
            <w:r>
              <w:rPr>
                <w:rFonts w:cs="Arial"/>
                <w:bCs/>
                <w:color w:val="FF0000"/>
                <w:sz w:val="24"/>
                <w:szCs w:val="24"/>
              </w:rPr>
              <w:t>L</w:t>
            </w:r>
            <w:r w:rsidRPr="00D322B6">
              <w:rPr>
                <w:rFonts w:cs="Arial"/>
                <w:bCs/>
                <w:color w:val="FF0000"/>
                <w:sz w:val="24"/>
                <w:szCs w:val="24"/>
              </w:rPr>
              <w:t>ycosid spider</w:t>
            </w:r>
          </w:p>
        </w:tc>
        <w:tc>
          <w:tcPr>
            <w:tcW w:w="1915" w:type="dxa"/>
          </w:tcPr>
          <w:p w14:paraId="4E7CBA70" w14:textId="2E15352F" w:rsidR="00016621" w:rsidRDefault="000C3307" w:rsidP="004E60CB">
            <w:pPr>
              <w:rPr>
                <w:rFonts w:eastAsiaTheme="minorEastAsia" w:cs="Arial"/>
                <w:color w:val="FF0000"/>
                <w:sz w:val="24"/>
                <w:szCs w:val="24"/>
              </w:rPr>
            </w:pPr>
            <w:r>
              <w:rPr>
                <w:rFonts w:cs="Arial"/>
                <w:bCs/>
                <w:color w:val="FF0000"/>
                <w:sz w:val="24"/>
                <w:szCs w:val="24"/>
              </w:rPr>
              <w:t>Collembolans</w:t>
            </w:r>
          </w:p>
        </w:tc>
        <w:tc>
          <w:tcPr>
            <w:tcW w:w="1915" w:type="dxa"/>
          </w:tcPr>
          <w:p w14:paraId="2209441D" w14:textId="77777777" w:rsidR="00016621" w:rsidRDefault="00016621" w:rsidP="004E60CB">
            <w:pPr>
              <w:rPr>
                <w:rFonts w:eastAsiaTheme="minorEastAsia" w:cs="Arial"/>
                <w:color w:val="FF0000"/>
                <w:sz w:val="24"/>
                <w:szCs w:val="24"/>
              </w:rPr>
            </w:pPr>
          </w:p>
        </w:tc>
        <w:tc>
          <w:tcPr>
            <w:tcW w:w="1915" w:type="dxa"/>
          </w:tcPr>
          <w:p w14:paraId="5886D5D0" w14:textId="77777777" w:rsidR="00016621" w:rsidRDefault="00016621" w:rsidP="004E60CB">
            <w:pPr>
              <w:rPr>
                <w:rFonts w:eastAsiaTheme="minorEastAsia" w:cs="Arial"/>
                <w:color w:val="FF0000"/>
                <w:sz w:val="24"/>
                <w:szCs w:val="24"/>
              </w:rPr>
            </w:pPr>
          </w:p>
        </w:tc>
        <w:tc>
          <w:tcPr>
            <w:tcW w:w="1916" w:type="dxa"/>
          </w:tcPr>
          <w:p w14:paraId="47C57F21" w14:textId="6CAA2AC9" w:rsidR="00016621" w:rsidRDefault="00652BBA" w:rsidP="004E60CB">
            <w:pPr>
              <w:rPr>
                <w:rFonts w:eastAsiaTheme="minorEastAsia" w:cs="Arial"/>
                <w:color w:val="FF0000"/>
                <w:sz w:val="24"/>
                <w:szCs w:val="24"/>
              </w:rPr>
            </w:pPr>
            <w:r w:rsidRPr="00BF1E35">
              <w:rPr>
                <w:rFonts w:cs="Arial"/>
                <w:bCs/>
                <w:color w:val="FF0000"/>
                <w:sz w:val="24"/>
                <w:szCs w:val="24"/>
              </w:rPr>
              <w:t>Oelbermann</w:t>
            </w:r>
            <w:r>
              <w:rPr>
                <w:rFonts w:cs="Arial"/>
                <w:bCs/>
                <w:color w:val="FF0000"/>
                <w:sz w:val="24"/>
                <w:szCs w:val="24"/>
              </w:rPr>
              <w:t xml:space="preserve"> and</w:t>
            </w:r>
            <w:r w:rsidRPr="00BF1E35">
              <w:rPr>
                <w:rFonts w:cs="Arial"/>
                <w:bCs/>
                <w:color w:val="FF0000"/>
                <w:sz w:val="24"/>
                <w:szCs w:val="24"/>
              </w:rPr>
              <w:t> Sechu 2002</w:t>
            </w:r>
          </w:p>
        </w:tc>
      </w:tr>
    </w:tbl>
    <w:p w14:paraId="79A8FF26" w14:textId="095D05E4" w:rsidR="00F71632" w:rsidRDefault="00F71632" w:rsidP="004E60CB">
      <w:pPr>
        <w:rPr>
          <w:rFonts w:eastAsiaTheme="minorEastAsia" w:cs="Arial"/>
          <w:color w:val="FF0000"/>
          <w:sz w:val="24"/>
          <w:szCs w:val="24"/>
        </w:rPr>
      </w:pPr>
    </w:p>
    <w:p w14:paraId="2961393A" w14:textId="0876D1B8" w:rsidR="00E2049D" w:rsidRPr="00E2049D" w:rsidRDefault="00E2049D" w:rsidP="00E2049D">
      <w:pPr>
        <w:rPr>
          <w:rFonts w:cs="Arial"/>
          <w:bCs/>
          <w:color w:val="FF0000"/>
          <w:sz w:val="24"/>
          <w:szCs w:val="24"/>
        </w:rPr>
      </w:pPr>
      <w:r w:rsidRPr="00E2049D">
        <w:rPr>
          <w:rFonts w:cs="Arial"/>
          <w:bCs/>
          <w:color w:val="FF0000"/>
          <w:sz w:val="24"/>
          <w:szCs w:val="24"/>
        </w:rPr>
        <w:t>Trophic structure of the spider community of a Mediterranean citrus grove: A stable isotope analysis</w:t>
      </w:r>
      <w:r>
        <w:rPr>
          <w:rFonts w:cs="Arial"/>
          <w:bCs/>
          <w:color w:val="FF0000"/>
          <w:sz w:val="24"/>
          <w:szCs w:val="24"/>
        </w:rPr>
        <w:t xml:space="preserve">: they used different TDFs from </w:t>
      </w:r>
      <w:r w:rsidRPr="002C6BAD">
        <w:rPr>
          <w:rFonts w:cs="Arial"/>
          <w:bCs/>
          <w:color w:val="FF0000"/>
          <w:sz w:val="24"/>
          <w:szCs w:val="24"/>
        </w:rPr>
        <w:t>McCutchan</w:t>
      </w:r>
      <w:r>
        <w:rPr>
          <w:rFonts w:cs="Arial"/>
          <w:bCs/>
          <w:color w:val="FF0000"/>
          <w:sz w:val="24"/>
          <w:szCs w:val="24"/>
        </w:rPr>
        <w:t xml:space="preserve"> et al. (2003)</w:t>
      </w:r>
    </w:p>
    <w:p w14:paraId="08F89B60" w14:textId="77777777" w:rsidR="00F03A2B" w:rsidRDefault="00F03A2B" w:rsidP="00EF240F">
      <w:pPr>
        <w:rPr>
          <w:rFonts w:cs="Arial"/>
          <w:bCs/>
          <w:color w:val="FF0000"/>
          <w:sz w:val="24"/>
          <w:szCs w:val="24"/>
        </w:rPr>
      </w:pPr>
    </w:p>
    <w:p w14:paraId="5CC9206E" w14:textId="7F76BB33" w:rsidR="009258B6" w:rsidRDefault="00DA23AE" w:rsidP="00EF240F">
      <w:pPr>
        <w:rPr>
          <w:rFonts w:cs="Arial"/>
          <w:bCs/>
          <w:color w:val="FF0000"/>
          <w:sz w:val="24"/>
          <w:szCs w:val="24"/>
        </w:rPr>
      </w:pPr>
      <w:r>
        <w:rPr>
          <w:rFonts w:cs="Arial"/>
          <w:bCs/>
          <w:color w:val="FF0000"/>
          <w:sz w:val="24"/>
          <w:szCs w:val="24"/>
        </w:rPr>
        <w:lastRenderedPageBreak/>
        <w:t xml:space="preserve">&gt; </w:t>
      </w:r>
      <w:r w:rsidR="009258B6">
        <w:rPr>
          <w:rFonts w:cs="Arial"/>
          <w:bCs/>
          <w:color w:val="FF0000"/>
          <w:sz w:val="24"/>
          <w:szCs w:val="24"/>
        </w:rPr>
        <w:t>Based on the</w:t>
      </w:r>
      <w:r w:rsidR="00315B95">
        <w:rPr>
          <w:rFonts w:cs="Arial"/>
          <w:bCs/>
          <w:color w:val="FF0000"/>
          <w:sz w:val="24"/>
          <w:szCs w:val="24"/>
        </w:rPr>
        <w:t xml:space="preserve"> above information</w:t>
      </w:r>
      <w:r w:rsidR="009258B6">
        <w:rPr>
          <w:rFonts w:cs="Arial"/>
          <w:bCs/>
          <w:color w:val="FF0000"/>
          <w:sz w:val="24"/>
          <w:szCs w:val="24"/>
        </w:rPr>
        <w:t>, we performed</w:t>
      </w:r>
      <w:r>
        <w:rPr>
          <w:rFonts w:cs="Arial"/>
          <w:bCs/>
          <w:color w:val="FF0000"/>
          <w:sz w:val="24"/>
          <w:szCs w:val="24"/>
        </w:rPr>
        <w:t xml:space="preserve"> a sensitive analysis</w:t>
      </w:r>
      <w:r w:rsidR="00A70878">
        <w:rPr>
          <w:rFonts w:cs="Arial"/>
          <w:bCs/>
          <w:color w:val="FF0000"/>
          <w:sz w:val="24"/>
          <w:szCs w:val="24"/>
        </w:rPr>
        <w:t xml:space="preserve"> (</w:t>
      </w:r>
      <w:r w:rsidR="00A70878">
        <w:rPr>
          <w:rFonts w:cs="Arial"/>
          <w:bCs/>
          <w:color w:val="FF0000"/>
          <w:sz w:val="24"/>
          <w:szCs w:val="24"/>
        </w:rPr>
        <w:t>Sanders et al. 2014 also did the sensititive analysis</w:t>
      </w:r>
      <w:r w:rsidR="00A70878">
        <w:rPr>
          <w:rFonts w:cs="Arial"/>
          <w:bCs/>
          <w:color w:val="FF0000"/>
          <w:sz w:val="24"/>
          <w:szCs w:val="24"/>
        </w:rPr>
        <w:t>)</w:t>
      </w:r>
      <w:r>
        <w:rPr>
          <w:rFonts w:cs="Arial"/>
          <w:bCs/>
          <w:color w:val="FF0000"/>
          <w:sz w:val="24"/>
          <w:szCs w:val="24"/>
        </w:rPr>
        <w:t xml:space="preserve"> by using </w:t>
      </w:r>
      <w:r w:rsidR="00E30390">
        <w:rPr>
          <w:rFonts w:cs="Arial"/>
          <w:bCs/>
          <w:color w:val="FF0000"/>
          <w:sz w:val="24"/>
          <w:szCs w:val="24"/>
        </w:rPr>
        <w:t>the</w:t>
      </w:r>
      <w:r w:rsidR="009258B6">
        <w:rPr>
          <w:rFonts w:cs="Arial"/>
          <w:bCs/>
          <w:color w:val="FF0000"/>
          <w:sz w:val="24"/>
          <w:szCs w:val="24"/>
        </w:rPr>
        <w:t xml:space="preserve"> following</w:t>
      </w:r>
      <w:r>
        <w:rPr>
          <w:rFonts w:cs="Arial"/>
          <w:bCs/>
          <w:color w:val="FF0000"/>
          <w:sz w:val="24"/>
          <w:szCs w:val="24"/>
        </w:rPr>
        <w:t xml:space="preserve"> TDFs</w:t>
      </w:r>
      <w:r w:rsidR="00E30390">
        <w:rPr>
          <w:rFonts w:cs="Arial"/>
          <w:bCs/>
          <w:color w:val="FF0000"/>
          <w:sz w:val="24"/>
          <w:szCs w:val="24"/>
        </w:rPr>
        <w:t xml:space="preserve"> for the </w:t>
      </w:r>
      <w:r w:rsidR="009258B6">
        <w:rPr>
          <w:rFonts w:cs="Arial"/>
          <w:bCs/>
          <w:color w:val="FF0000"/>
          <w:sz w:val="24"/>
          <w:szCs w:val="24"/>
        </w:rPr>
        <w:t>three prey sources:</w:t>
      </w:r>
    </w:p>
    <w:tbl>
      <w:tblPr>
        <w:tblStyle w:val="TableGrid"/>
        <w:tblW w:w="0" w:type="auto"/>
        <w:tblLook w:val="04A0" w:firstRow="1" w:lastRow="0" w:firstColumn="1" w:lastColumn="0" w:noHBand="0" w:noVBand="1"/>
      </w:tblPr>
      <w:tblGrid>
        <w:gridCol w:w="3192"/>
        <w:gridCol w:w="3192"/>
        <w:gridCol w:w="3192"/>
      </w:tblGrid>
      <w:tr w:rsidR="00315B95" w14:paraId="56FC4881" w14:textId="77777777" w:rsidTr="00315B95">
        <w:tc>
          <w:tcPr>
            <w:tcW w:w="3192" w:type="dxa"/>
          </w:tcPr>
          <w:p w14:paraId="4A35D137" w14:textId="304638E7" w:rsidR="00315B95" w:rsidRDefault="00315B95" w:rsidP="00EF240F">
            <w:pPr>
              <w:rPr>
                <w:rFonts w:cs="Arial"/>
                <w:bCs/>
                <w:color w:val="FF0000"/>
                <w:sz w:val="24"/>
                <w:szCs w:val="24"/>
              </w:rPr>
            </w:pPr>
            <w:r>
              <w:rPr>
                <w:rFonts w:cs="Arial"/>
                <w:bCs/>
                <w:color w:val="FF0000"/>
                <w:sz w:val="24"/>
                <w:szCs w:val="24"/>
              </w:rPr>
              <w:t>Prey sources</w:t>
            </w:r>
          </w:p>
        </w:tc>
        <w:tc>
          <w:tcPr>
            <w:tcW w:w="3192" w:type="dxa"/>
          </w:tcPr>
          <w:p w14:paraId="0DA7FED4" w14:textId="5CDB1348" w:rsidR="00315B95" w:rsidRDefault="00315B95" w:rsidP="00EF240F">
            <w:pPr>
              <w:rPr>
                <w:rFonts w:cs="Arial"/>
                <w:bCs/>
                <w:color w:val="FF0000"/>
                <w:sz w:val="24"/>
                <w:szCs w:val="24"/>
              </w:rPr>
            </w:pPr>
            <w:r>
              <w:rPr>
                <w:rFonts w:cs="Arial"/>
                <w:bCs/>
                <w:color w:val="FF0000"/>
                <w:sz w:val="24"/>
                <w:szCs w:val="24"/>
              </w:rPr>
              <w:t>Original TDFs based on Caut et al. 2009</w:t>
            </w:r>
          </w:p>
        </w:tc>
        <w:tc>
          <w:tcPr>
            <w:tcW w:w="3192" w:type="dxa"/>
          </w:tcPr>
          <w:p w14:paraId="00E7C850" w14:textId="54D1EE83" w:rsidR="00315B95" w:rsidRDefault="00315B95" w:rsidP="00EF240F">
            <w:pPr>
              <w:rPr>
                <w:rFonts w:cs="Arial"/>
                <w:bCs/>
                <w:color w:val="FF0000"/>
                <w:sz w:val="24"/>
                <w:szCs w:val="24"/>
              </w:rPr>
            </w:pPr>
            <w:r>
              <w:rPr>
                <w:rFonts w:cs="Arial"/>
                <w:bCs/>
                <w:color w:val="FF0000"/>
                <w:sz w:val="24"/>
                <w:szCs w:val="24"/>
              </w:rPr>
              <w:t xml:space="preserve">New TDFs based on </w:t>
            </w:r>
            <w:r w:rsidRPr="002C6BAD">
              <w:rPr>
                <w:rFonts w:cs="Arial"/>
                <w:bCs/>
                <w:color w:val="FF0000"/>
                <w:sz w:val="24"/>
                <w:szCs w:val="24"/>
              </w:rPr>
              <w:t>McCutchan</w:t>
            </w:r>
            <w:r>
              <w:rPr>
                <w:rFonts w:cs="Arial"/>
                <w:bCs/>
                <w:color w:val="FF0000"/>
                <w:sz w:val="24"/>
                <w:szCs w:val="24"/>
              </w:rPr>
              <w:t xml:space="preserve"> et al. 2003</w:t>
            </w:r>
            <w:r>
              <w:rPr>
                <w:rFonts w:cs="Arial"/>
                <w:bCs/>
                <w:color w:val="FF0000"/>
                <w:sz w:val="24"/>
                <w:szCs w:val="24"/>
              </w:rPr>
              <w:t xml:space="preserve"> and </w:t>
            </w:r>
            <w:r w:rsidRPr="00BF1E35">
              <w:rPr>
                <w:rFonts w:cs="Arial"/>
                <w:bCs/>
                <w:color w:val="FF0000"/>
                <w:sz w:val="24"/>
                <w:szCs w:val="24"/>
              </w:rPr>
              <w:t>Oelbermann</w:t>
            </w:r>
            <w:r>
              <w:rPr>
                <w:rFonts w:cs="Arial"/>
                <w:bCs/>
                <w:color w:val="FF0000"/>
                <w:sz w:val="24"/>
                <w:szCs w:val="24"/>
              </w:rPr>
              <w:t xml:space="preserve"> and</w:t>
            </w:r>
            <w:r w:rsidRPr="00BF1E35">
              <w:rPr>
                <w:rFonts w:cs="Arial"/>
                <w:bCs/>
                <w:color w:val="FF0000"/>
                <w:sz w:val="24"/>
                <w:szCs w:val="24"/>
              </w:rPr>
              <w:t> Sechu 2002</w:t>
            </w:r>
          </w:p>
        </w:tc>
      </w:tr>
      <w:tr w:rsidR="00315B95" w14:paraId="4FD95DAB" w14:textId="77777777" w:rsidTr="00315B95">
        <w:tc>
          <w:tcPr>
            <w:tcW w:w="3192" w:type="dxa"/>
          </w:tcPr>
          <w:p w14:paraId="2776537C" w14:textId="14D910F5" w:rsidR="00315B95" w:rsidRDefault="00315B95" w:rsidP="00EF240F">
            <w:pPr>
              <w:rPr>
                <w:rFonts w:cs="Arial"/>
                <w:bCs/>
                <w:color w:val="FF0000"/>
                <w:sz w:val="24"/>
                <w:szCs w:val="24"/>
              </w:rPr>
            </w:pPr>
            <w:r>
              <w:rPr>
                <w:rFonts w:cs="Arial"/>
                <w:bCs/>
                <w:color w:val="FF0000"/>
                <w:sz w:val="24"/>
                <w:szCs w:val="24"/>
              </w:rPr>
              <w:t>Rice herbivore</w:t>
            </w:r>
          </w:p>
        </w:tc>
        <w:tc>
          <w:tcPr>
            <w:tcW w:w="3192" w:type="dxa"/>
          </w:tcPr>
          <w:p w14:paraId="016D7A17" w14:textId="77777777" w:rsidR="00315B95" w:rsidRDefault="00315B95" w:rsidP="00EF240F">
            <w:pPr>
              <w:rPr>
                <w:rFonts w:cs="Arial"/>
                <w:bCs/>
                <w:color w:val="FF0000"/>
                <w:sz w:val="24"/>
                <w:szCs w:val="24"/>
              </w:rPr>
            </w:pPr>
          </w:p>
        </w:tc>
        <w:tc>
          <w:tcPr>
            <w:tcW w:w="3192" w:type="dxa"/>
          </w:tcPr>
          <w:p w14:paraId="5FF1871D" w14:textId="77777777" w:rsidR="00315B95" w:rsidRDefault="00315B95" w:rsidP="00EF240F">
            <w:pPr>
              <w:rPr>
                <w:rFonts w:cs="Arial"/>
                <w:bCs/>
                <w:color w:val="FF0000"/>
                <w:sz w:val="24"/>
                <w:szCs w:val="24"/>
              </w:rPr>
            </w:pPr>
          </w:p>
        </w:tc>
      </w:tr>
      <w:tr w:rsidR="00315B95" w14:paraId="35C79122" w14:textId="77777777" w:rsidTr="00315B95">
        <w:tc>
          <w:tcPr>
            <w:tcW w:w="3192" w:type="dxa"/>
          </w:tcPr>
          <w:p w14:paraId="60EB5145" w14:textId="4B18E369" w:rsidR="00315B95" w:rsidRDefault="00315B95" w:rsidP="00EF240F">
            <w:pPr>
              <w:rPr>
                <w:rFonts w:cs="Arial"/>
                <w:bCs/>
                <w:color w:val="FF0000"/>
                <w:sz w:val="24"/>
                <w:szCs w:val="24"/>
              </w:rPr>
            </w:pPr>
            <w:r>
              <w:rPr>
                <w:rFonts w:cs="Arial"/>
                <w:bCs/>
                <w:color w:val="FF0000"/>
                <w:sz w:val="24"/>
                <w:szCs w:val="24"/>
              </w:rPr>
              <w:t>Tourist herbivore</w:t>
            </w:r>
          </w:p>
        </w:tc>
        <w:tc>
          <w:tcPr>
            <w:tcW w:w="3192" w:type="dxa"/>
          </w:tcPr>
          <w:p w14:paraId="3E99B057" w14:textId="77777777" w:rsidR="00315B95" w:rsidRDefault="00315B95" w:rsidP="00EF240F">
            <w:pPr>
              <w:rPr>
                <w:rFonts w:cs="Arial"/>
                <w:bCs/>
                <w:color w:val="FF0000"/>
                <w:sz w:val="24"/>
                <w:szCs w:val="24"/>
              </w:rPr>
            </w:pPr>
          </w:p>
        </w:tc>
        <w:tc>
          <w:tcPr>
            <w:tcW w:w="3192" w:type="dxa"/>
          </w:tcPr>
          <w:p w14:paraId="290EBF24" w14:textId="77777777" w:rsidR="00315B95" w:rsidRDefault="00315B95" w:rsidP="00EF240F">
            <w:pPr>
              <w:rPr>
                <w:rFonts w:cs="Arial"/>
                <w:bCs/>
                <w:color w:val="FF0000"/>
                <w:sz w:val="24"/>
                <w:szCs w:val="24"/>
              </w:rPr>
            </w:pPr>
          </w:p>
        </w:tc>
      </w:tr>
      <w:tr w:rsidR="00315B95" w14:paraId="489899E6" w14:textId="77777777" w:rsidTr="00315B95">
        <w:tc>
          <w:tcPr>
            <w:tcW w:w="3192" w:type="dxa"/>
          </w:tcPr>
          <w:p w14:paraId="4417A303" w14:textId="360CDC12" w:rsidR="00315B95" w:rsidRDefault="00315B95" w:rsidP="00EF240F">
            <w:pPr>
              <w:rPr>
                <w:rFonts w:cs="Arial"/>
                <w:bCs/>
                <w:color w:val="FF0000"/>
                <w:sz w:val="24"/>
                <w:szCs w:val="24"/>
              </w:rPr>
            </w:pPr>
            <w:r>
              <w:rPr>
                <w:rFonts w:cs="Arial"/>
                <w:bCs/>
                <w:color w:val="FF0000"/>
                <w:sz w:val="24"/>
                <w:szCs w:val="24"/>
              </w:rPr>
              <w:t>Detritivore</w:t>
            </w:r>
          </w:p>
        </w:tc>
        <w:tc>
          <w:tcPr>
            <w:tcW w:w="3192" w:type="dxa"/>
          </w:tcPr>
          <w:p w14:paraId="59D585E0" w14:textId="77777777" w:rsidR="00315B95" w:rsidRDefault="00315B95" w:rsidP="00EF240F">
            <w:pPr>
              <w:rPr>
                <w:rFonts w:cs="Arial"/>
                <w:bCs/>
                <w:color w:val="FF0000"/>
                <w:sz w:val="24"/>
                <w:szCs w:val="24"/>
              </w:rPr>
            </w:pPr>
          </w:p>
        </w:tc>
        <w:tc>
          <w:tcPr>
            <w:tcW w:w="3192" w:type="dxa"/>
          </w:tcPr>
          <w:p w14:paraId="6F7DCFC5" w14:textId="77777777" w:rsidR="00315B95" w:rsidRDefault="00315B95" w:rsidP="00EF240F">
            <w:pPr>
              <w:rPr>
                <w:rFonts w:cs="Arial"/>
                <w:bCs/>
                <w:color w:val="FF0000"/>
                <w:sz w:val="24"/>
                <w:szCs w:val="24"/>
              </w:rPr>
            </w:pPr>
          </w:p>
        </w:tc>
      </w:tr>
    </w:tbl>
    <w:p w14:paraId="4A976897" w14:textId="77777777" w:rsidR="00315B95" w:rsidRDefault="00315B95" w:rsidP="00EF240F">
      <w:pPr>
        <w:rPr>
          <w:rFonts w:cs="Arial"/>
          <w:bCs/>
          <w:color w:val="FF0000"/>
          <w:sz w:val="24"/>
          <w:szCs w:val="24"/>
        </w:rPr>
      </w:pPr>
    </w:p>
    <w:p w14:paraId="35E55434" w14:textId="77777777" w:rsidR="00A7221D" w:rsidRDefault="00A7221D" w:rsidP="00EF240F">
      <w:pPr>
        <w:rPr>
          <w:rFonts w:cs="Arial"/>
          <w:bCs/>
          <w:color w:val="FF0000"/>
          <w:sz w:val="24"/>
          <w:szCs w:val="24"/>
        </w:rPr>
      </w:pPr>
    </w:p>
    <w:p w14:paraId="33454881" w14:textId="69596CE4" w:rsidR="00E21050" w:rsidRDefault="00E20109" w:rsidP="00EF240F">
      <w:pPr>
        <w:rPr>
          <w:rFonts w:cs="Arial"/>
          <w:bCs/>
          <w:color w:val="FF0000"/>
          <w:sz w:val="24"/>
          <w:szCs w:val="24"/>
        </w:rPr>
      </w:pPr>
      <w:r>
        <w:rPr>
          <w:rFonts w:cs="Arial"/>
          <w:bCs/>
          <w:color w:val="FF0000"/>
          <w:sz w:val="24"/>
          <w:szCs w:val="24"/>
        </w:rPr>
        <w:t xml:space="preserve">&gt; </w:t>
      </w:r>
      <w:r w:rsidR="00DA23AE">
        <w:rPr>
          <w:rFonts w:cs="Arial"/>
          <w:bCs/>
          <w:color w:val="FF0000"/>
          <w:sz w:val="24"/>
          <w:szCs w:val="24"/>
        </w:rPr>
        <w:t>provide a summary table</w:t>
      </w:r>
      <w:r w:rsidR="002B1542">
        <w:rPr>
          <w:rFonts w:cs="Arial"/>
          <w:bCs/>
          <w:color w:val="FF0000"/>
          <w:sz w:val="24"/>
          <w:szCs w:val="24"/>
        </w:rPr>
        <w:t xml:space="preserve"> and figures</w:t>
      </w:r>
      <w:r w:rsidR="00DA23AE">
        <w:rPr>
          <w:rFonts w:cs="Arial"/>
          <w:bCs/>
          <w:color w:val="FF0000"/>
          <w:sz w:val="24"/>
          <w:szCs w:val="24"/>
        </w:rPr>
        <w:t xml:space="preserve"> of the results</w:t>
      </w:r>
    </w:p>
    <w:p w14:paraId="0BBC42C0" w14:textId="77777777" w:rsidR="00E30390" w:rsidRDefault="00E30390" w:rsidP="00EF240F">
      <w:pPr>
        <w:rPr>
          <w:rFonts w:cs="Arial"/>
          <w:bCs/>
          <w:color w:val="FF0000"/>
          <w:sz w:val="24"/>
          <w:szCs w:val="24"/>
        </w:rPr>
      </w:pPr>
    </w:p>
    <w:p w14:paraId="02C56012" w14:textId="77777777" w:rsidR="00761F38" w:rsidRDefault="00761F38" w:rsidP="00EF240F">
      <w:pPr>
        <w:rPr>
          <w:rFonts w:cs="Arial"/>
          <w:bCs/>
          <w:color w:val="FF0000"/>
          <w:sz w:val="24"/>
          <w:szCs w:val="24"/>
        </w:rPr>
      </w:pPr>
    </w:p>
    <w:p w14:paraId="3F3A06C3" w14:textId="77777777" w:rsidR="00761F38" w:rsidRDefault="00761F38" w:rsidP="00EF240F">
      <w:pPr>
        <w:rPr>
          <w:rFonts w:cs="Arial"/>
          <w:bCs/>
          <w:color w:val="FF0000"/>
          <w:sz w:val="24"/>
          <w:szCs w:val="24"/>
        </w:rPr>
      </w:pPr>
    </w:p>
    <w:p w14:paraId="4E2934C2" w14:textId="38DBA7B7" w:rsidR="00E30390" w:rsidRDefault="009172A8" w:rsidP="00E30390">
      <w:pPr>
        <w:rPr>
          <w:rFonts w:cs="Arial"/>
          <w:bCs/>
          <w:color w:val="FF0000"/>
          <w:sz w:val="24"/>
          <w:szCs w:val="24"/>
        </w:rPr>
      </w:pPr>
      <w:r>
        <w:rPr>
          <w:rFonts w:cs="Arial"/>
          <w:bCs/>
          <w:color w:val="FF0000"/>
          <w:sz w:val="24"/>
          <w:szCs w:val="24"/>
        </w:rPr>
        <w:t xml:space="preserve">&gt; </w:t>
      </w:r>
      <w:r w:rsidR="00E30390">
        <w:rPr>
          <w:rFonts w:cs="Arial"/>
          <w:bCs/>
          <w:color w:val="FF0000"/>
          <w:sz w:val="24"/>
          <w:szCs w:val="24"/>
        </w:rPr>
        <w:t xml:space="preserve">If </w:t>
      </w:r>
      <w:r w:rsidR="00E30390">
        <w:rPr>
          <w:rFonts w:cs="Arial"/>
          <w:bCs/>
          <w:color w:val="FF0000"/>
          <w:sz w:val="24"/>
          <w:szCs w:val="24"/>
        </w:rPr>
        <w:t xml:space="preserve">we </w:t>
      </w:r>
      <w:r w:rsidR="00E30390">
        <w:rPr>
          <w:rFonts w:cs="Arial"/>
          <w:bCs/>
          <w:color w:val="FF0000"/>
          <w:sz w:val="24"/>
          <w:szCs w:val="24"/>
        </w:rPr>
        <w:t>are</w:t>
      </w:r>
      <w:r w:rsidR="00E30390">
        <w:rPr>
          <w:rFonts w:cs="Arial"/>
          <w:bCs/>
          <w:color w:val="FF0000"/>
          <w:sz w:val="24"/>
          <w:szCs w:val="24"/>
        </w:rPr>
        <w:t xml:space="preserve"> able to get similar results with both TDFs, </w:t>
      </w:r>
      <w:r w:rsidR="00E30390">
        <w:rPr>
          <w:rFonts w:cs="Arial"/>
          <w:bCs/>
          <w:color w:val="FF0000"/>
          <w:sz w:val="24"/>
          <w:szCs w:val="24"/>
        </w:rPr>
        <w:t xml:space="preserve">that would </w:t>
      </w:r>
      <w:r w:rsidR="00E30390">
        <w:rPr>
          <w:rFonts w:cs="Arial"/>
          <w:bCs/>
          <w:color w:val="FF0000"/>
          <w:sz w:val="24"/>
          <w:szCs w:val="24"/>
        </w:rPr>
        <w:t>suggest the robustness of our results.</w:t>
      </w:r>
    </w:p>
    <w:p w14:paraId="6864168A" w14:textId="1DD9CFDE" w:rsidR="00857F33" w:rsidRDefault="00857F33" w:rsidP="00EF240F">
      <w:pPr>
        <w:rPr>
          <w:rFonts w:cs="Arial"/>
          <w:bCs/>
          <w:color w:val="FF0000"/>
          <w:sz w:val="24"/>
          <w:szCs w:val="24"/>
        </w:rPr>
      </w:pPr>
    </w:p>
    <w:p w14:paraId="4E9F354B" w14:textId="77777777" w:rsidR="00C14DEB" w:rsidRDefault="00C14DEB" w:rsidP="00EF240F">
      <w:pPr>
        <w:rPr>
          <w:rFonts w:cs="Arial"/>
          <w:bCs/>
          <w:color w:val="FF0000"/>
          <w:sz w:val="24"/>
          <w:szCs w:val="24"/>
        </w:rPr>
      </w:pPr>
    </w:p>
    <w:p w14:paraId="568733B9" w14:textId="77777777" w:rsidR="00C14DEB" w:rsidRDefault="00C14DEB" w:rsidP="00EF240F">
      <w:pPr>
        <w:rPr>
          <w:rFonts w:cs="Arial"/>
          <w:bCs/>
          <w:color w:val="FF0000"/>
          <w:sz w:val="24"/>
          <w:szCs w:val="24"/>
        </w:rPr>
      </w:pPr>
    </w:p>
    <w:p w14:paraId="657F84D0" w14:textId="5317CC8E" w:rsidR="006F2799" w:rsidRDefault="006F2799" w:rsidP="00EF240F">
      <w:pPr>
        <w:rPr>
          <w:rFonts w:cs="Arial"/>
          <w:bCs/>
          <w:color w:val="FF0000"/>
          <w:sz w:val="24"/>
          <w:szCs w:val="24"/>
        </w:rPr>
      </w:pPr>
      <w:r>
        <w:rPr>
          <w:rFonts w:cs="Arial"/>
          <w:bCs/>
          <w:color w:val="FF0000"/>
          <w:sz w:val="24"/>
          <w:szCs w:val="24"/>
        </w:rPr>
        <w:t>References:</w:t>
      </w:r>
    </w:p>
    <w:p w14:paraId="0D8E6F6D" w14:textId="44CC9C9B" w:rsidR="006F2799" w:rsidRDefault="006F2799" w:rsidP="00EF240F">
      <w:pPr>
        <w:rPr>
          <w:rFonts w:cs="Arial"/>
          <w:bCs/>
          <w:color w:val="FF0000"/>
          <w:sz w:val="24"/>
          <w:szCs w:val="24"/>
        </w:rPr>
      </w:pPr>
      <w:r w:rsidRPr="006F2799">
        <w:rPr>
          <w:rFonts w:cs="Arial"/>
          <w:bCs/>
          <w:color w:val="FF0000"/>
          <w:sz w:val="24"/>
          <w:szCs w:val="24"/>
        </w:rPr>
        <w:lastRenderedPageBreak/>
        <w:t>Caut, S., Angulo, E., &amp; Courchamp, F. (2009). Variation in discrimination factors (Δ15N and Δ13C): the effect of diet isotopic values and applications for diet reconstruction. </w:t>
      </w:r>
      <w:r w:rsidRPr="006F2799">
        <w:rPr>
          <w:rFonts w:cs="Arial"/>
          <w:bCs/>
          <w:i/>
          <w:iCs/>
          <w:color w:val="FF0000"/>
          <w:sz w:val="24"/>
          <w:szCs w:val="24"/>
        </w:rPr>
        <w:t>Journal of Applied Ecology</w:t>
      </w:r>
      <w:r w:rsidRPr="006F2799">
        <w:rPr>
          <w:rFonts w:cs="Arial"/>
          <w:bCs/>
          <w:color w:val="FF0000"/>
          <w:sz w:val="24"/>
          <w:szCs w:val="24"/>
        </w:rPr>
        <w:t>, </w:t>
      </w:r>
      <w:r w:rsidRPr="006F2799">
        <w:rPr>
          <w:rFonts w:cs="Arial"/>
          <w:bCs/>
          <w:i/>
          <w:iCs/>
          <w:color w:val="FF0000"/>
          <w:sz w:val="24"/>
          <w:szCs w:val="24"/>
        </w:rPr>
        <w:t>46</w:t>
      </w:r>
      <w:r w:rsidRPr="006F2799">
        <w:rPr>
          <w:rFonts w:cs="Arial"/>
          <w:bCs/>
          <w:color w:val="FF0000"/>
          <w:sz w:val="24"/>
          <w:szCs w:val="24"/>
        </w:rPr>
        <w:t>(2), 443-453.</w:t>
      </w:r>
    </w:p>
    <w:p w14:paraId="0C036CFC" w14:textId="66C5A828" w:rsidR="002C6BAD" w:rsidRDefault="00A137FD" w:rsidP="00EF240F">
      <w:pPr>
        <w:rPr>
          <w:rFonts w:cs="Arial"/>
          <w:bCs/>
          <w:color w:val="FF0000"/>
          <w:sz w:val="24"/>
          <w:szCs w:val="24"/>
        </w:rPr>
      </w:pPr>
      <w:r w:rsidRPr="00A137FD">
        <w:rPr>
          <w:rFonts w:cs="Arial"/>
          <w:bCs/>
          <w:color w:val="FF0000"/>
          <w:sz w:val="24"/>
          <w:szCs w:val="24"/>
        </w:rPr>
        <w:t>Oelbermann, K., &amp; Scheu, S. (2002). Stable isotope enrichment (δ 15 N and δ 13 C) in a generalist predator (Pardosa lugubris, Araneae: Lycosidae): effects of prey quality. </w:t>
      </w:r>
      <w:r w:rsidRPr="00A137FD">
        <w:rPr>
          <w:rFonts w:cs="Arial"/>
          <w:bCs/>
          <w:i/>
          <w:iCs/>
          <w:color w:val="FF0000"/>
          <w:sz w:val="24"/>
          <w:szCs w:val="24"/>
        </w:rPr>
        <w:t>Oecologia</w:t>
      </w:r>
      <w:r w:rsidRPr="00A137FD">
        <w:rPr>
          <w:rFonts w:cs="Arial"/>
          <w:bCs/>
          <w:color w:val="FF0000"/>
          <w:sz w:val="24"/>
          <w:szCs w:val="24"/>
        </w:rPr>
        <w:t>, </w:t>
      </w:r>
      <w:r w:rsidRPr="00A137FD">
        <w:rPr>
          <w:rFonts w:cs="Arial"/>
          <w:bCs/>
          <w:i/>
          <w:iCs/>
          <w:color w:val="FF0000"/>
          <w:sz w:val="24"/>
          <w:szCs w:val="24"/>
        </w:rPr>
        <w:t>130</w:t>
      </w:r>
      <w:r w:rsidRPr="00A137FD">
        <w:rPr>
          <w:rFonts w:cs="Arial"/>
          <w:bCs/>
          <w:color w:val="FF0000"/>
          <w:sz w:val="24"/>
          <w:szCs w:val="24"/>
        </w:rPr>
        <w:t>, 337-344.</w:t>
      </w:r>
    </w:p>
    <w:p w14:paraId="4B16DFE6" w14:textId="796646E3" w:rsidR="008E53BA" w:rsidRDefault="008E53BA" w:rsidP="00EF240F">
      <w:pPr>
        <w:rPr>
          <w:rFonts w:cs="Arial"/>
          <w:bCs/>
          <w:color w:val="FF0000"/>
          <w:sz w:val="24"/>
          <w:szCs w:val="24"/>
        </w:rPr>
      </w:pPr>
      <w:r w:rsidRPr="008E53BA">
        <w:rPr>
          <w:rFonts w:cs="Arial"/>
          <w:bCs/>
          <w:color w:val="FF0000"/>
          <w:sz w:val="24"/>
          <w:szCs w:val="24"/>
        </w:rPr>
        <w:t>Sanders, D., Vogel, E., &amp; Knop, E. (2015). Individual and species</w:t>
      </w:r>
      <w:r w:rsidRPr="008E53BA">
        <w:rPr>
          <w:rFonts w:ascii="Cambria Math" w:hAnsi="Cambria Math" w:cs="Cambria Math"/>
          <w:bCs/>
          <w:color w:val="FF0000"/>
          <w:sz w:val="24"/>
          <w:szCs w:val="24"/>
        </w:rPr>
        <w:t>‐</w:t>
      </w:r>
      <w:r w:rsidRPr="008E53BA">
        <w:rPr>
          <w:rFonts w:cs="Arial"/>
          <w:bCs/>
          <w:color w:val="FF0000"/>
          <w:sz w:val="24"/>
          <w:szCs w:val="24"/>
        </w:rPr>
        <w:t>specific traits explain niche size and functional role in spiders as generalist predators. </w:t>
      </w:r>
      <w:r w:rsidRPr="008E53BA">
        <w:rPr>
          <w:rFonts w:cs="Arial"/>
          <w:bCs/>
          <w:i/>
          <w:iCs/>
          <w:color w:val="FF0000"/>
          <w:sz w:val="24"/>
          <w:szCs w:val="24"/>
        </w:rPr>
        <w:t>Journal of Animal Ecology</w:t>
      </w:r>
      <w:r w:rsidRPr="008E53BA">
        <w:rPr>
          <w:rFonts w:cs="Arial"/>
          <w:bCs/>
          <w:color w:val="FF0000"/>
          <w:sz w:val="24"/>
          <w:szCs w:val="24"/>
        </w:rPr>
        <w:t>, </w:t>
      </w:r>
      <w:r w:rsidRPr="008E53BA">
        <w:rPr>
          <w:rFonts w:cs="Arial"/>
          <w:bCs/>
          <w:i/>
          <w:iCs/>
          <w:color w:val="FF0000"/>
          <w:sz w:val="24"/>
          <w:szCs w:val="24"/>
        </w:rPr>
        <w:t>84</w:t>
      </w:r>
      <w:r w:rsidRPr="008E53BA">
        <w:rPr>
          <w:rFonts w:cs="Arial"/>
          <w:bCs/>
          <w:color w:val="FF0000"/>
          <w:sz w:val="24"/>
          <w:szCs w:val="24"/>
        </w:rPr>
        <w:t>(1), 134-142.</w:t>
      </w:r>
    </w:p>
    <w:p w14:paraId="028189FA" w14:textId="328FE772" w:rsidR="002C6BAD" w:rsidRDefault="002C6BAD" w:rsidP="00EF240F">
      <w:pPr>
        <w:rPr>
          <w:rFonts w:cs="Arial"/>
          <w:bCs/>
          <w:color w:val="FF0000"/>
          <w:sz w:val="24"/>
          <w:szCs w:val="24"/>
        </w:rPr>
      </w:pPr>
      <w:r w:rsidRPr="002C6BAD">
        <w:rPr>
          <w:rFonts w:cs="Arial"/>
          <w:bCs/>
          <w:color w:val="FF0000"/>
          <w:sz w:val="24"/>
          <w:szCs w:val="24"/>
        </w:rPr>
        <w:t>McCutchan Jr, J. H., Lewis Jr, W. M., Kendall, C., &amp; McGrath, C. C. (2003). Variation in trophic shift for stable isotope ratios of carbon, nitrogen, and sulfur. </w:t>
      </w:r>
      <w:r w:rsidRPr="002C6BAD">
        <w:rPr>
          <w:rFonts w:cs="Arial"/>
          <w:bCs/>
          <w:i/>
          <w:iCs/>
          <w:color w:val="FF0000"/>
          <w:sz w:val="24"/>
          <w:szCs w:val="24"/>
        </w:rPr>
        <w:t>Oikos</w:t>
      </w:r>
      <w:r w:rsidRPr="002C6BAD">
        <w:rPr>
          <w:rFonts w:cs="Arial"/>
          <w:bCs/>
          <w:color w:val="FF0000"/>
          <w:sz w:val="24"/>
          <w:szCs w:val="24"/>
        </w:rPr>
        <w:t>, </w:t>
      </w:r>
      <w:r w:rsidRPr="002C6BAD">
        <w:rPr>
          <w:rFonts w:cs="Arial"/>
          <w:bCs/>
          <w:i/>
          <w:iCs/>
          <w:color w:val="FF0000"/>
          <w:sz w:val="24"/>
          <w:szCs w:val="24"/>
        </w:rPr>
        <w:t>102</w:t>
      </w:r>
      <w:r w:rsidRPr="002C6BAD">
        <w:rPr>
          <w:rFonts w:cs="Arial"/>
          <w:bCs/>
          <w:color w:val="FF0000"/>
          <w:sz w:val="24"/>
          <w:szCs w:val="24"/>
        </w:rPr>
        <w:t>(2), 378-390.</w:t>
      </w:r>
    </w:p>
    <w:p w14:paraId="2630B9D4" w14:textId="66D53965" w:rsidR="00E2049D" w:rsidRPr="009C7703" w:rsidRDefault="00E2049D" w:rsidP="00EF240F">
      <w:pPr>
        <w:rPr>
          <w:rFonts w:cs="Arial"/>
          <w:bCs/>
          <w:color w:val="FF0000"/>
          <w:sz w:val="24"/>
          <w:szCs w:val="24"/>
        </w:rPr>
      </w:pPr>
      <w:r w:rsidRPr="00E2049D">
        <w:rPr>
          <w:rFonts w:cs="Arial"/>
          <w:bCs/>
          <w:color w:val="FF0000"/>
          <w:sz w:val="24"/>
          <w:szCs w:val="24"/>
        </w:rPr>
        <w:t>Haraguchi, T. F., Uchida, M., Shibata, Y., &amp; Tayasu, I. (2013). Contributions of detrital subsidies to aboveground spiders during secondary succession, revealed by radiocarbon and stable isotope signatures. </w:t>
      </w:r>
      <w:r w:rsidRPr="00E2049D">
        <w:rPr>
          <w:rFonts w:cs="Arial"/>
          <w:bCs/>
          <w:i/>
          <w:iCs/>
          <w:color w:val="FF0000"/>
          <w:sz w:val="24"/>
          <w:szCs w:val="24"/>
        </w:rPr>
        <w:t>Oecologia</w:t>
      </w:r>
      <w:r w:rsidRPr="00E2049D">
        <w:rPr>
          <w:rFonts w:cs="Arial"/>
          <w:bCs/>
          <w:color w:val="FF0000"/>
          <w:sz w:val="24"/>
          <w:szCs w:val="24"/>
        </w:rPr>
        <w:t>, </w:t>
      </w:r>
      <w:r w:rsidRPr="00E2049D">
        <w:rPr>
          <w:rFonts w:cs="Arial"/>
          <w:bCs/>
          <w:i/>
          <w:iCs/>
          <w:color w:val="FF0000"/>
          <w:sz w:val="24"/>
          <w:szCs w:val="24"/>
        </w:rPr>
        <w:t>171</w:t>
      </w:r>
      <w:r w:rsidRPr="00E2049D">
        <w:rPr>
          <w:rFonts w:cs="Arial"/>
          <w:bCs/>
          <w:color w:val="FF0000"/>
          <w:sz w:val="24"/>
          <w:szCs w:val="24"/>
        </w:rPr>
        <w:t>, 935-944.</w:t>
      </w:r>
    </w:p>
    <w:p w14:paraId="6D5A0A1C" w14:textId="77777777" w:rsidR="00787E4D" w:rsidRDefault="00787E4D">
      <w:pPr>
        <w:spacing w:after="0" w:line="240" w:lineRule="auto"/>
        <w:jc w:val="left"/>
        <w:rPr>
          <w:rFonts w:cs="Arial"/>
          <w:bCs/>
          <w:i/>
          <w:iCs/>
          <w:color w:val="FF0000"/>
          <w:sz w:val="24"/>
          <w:szCs w:val="24"/>
        </w:rPr>
      </w:pPr>
      <w:r>
        <w:rPr>
          <w:rFonts w:cs="Arial"/>
          <w:bCs/>
          <w:i/>
          <w:iCs/>
          <w:color w:val="FF0000"/>
          <w:sz w:val="24"/>
          <w:szCs w:val="24"/>
        </w:rPr>
        <w:br w:type="page"/>
      </w: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lastRenderedPageBreak/>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7041480C"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r w:rsidR="009172A8">
        <w:rPr>
          <w:rFonts w:cs="Arial"/>
          <w:bCs/>
          <w:color w:val="FF0000"/>
          <w:sz w:val="24"/>
          <w:szCs w:val="24"/>
        </w:rPr>
        <w:t>.</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 xml:space="preserve">The </w:t>
      </w:r>
      <w:r w:rsidR="000D74C1" w:rsidRPr="000D74C1">
        <w:rPr>
          <w:rFonts w:cs="Arial"/>
          <w:bCs/>
          <w:sz w:val="24"/>
          <w:szCs w:val="24"/>
        </w:rPr>
        <w:lastRenderedPageBreak/>
        <w:t>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analysed, the most consumed by both predators are the pests. This is an interesting result that would denote a certain preference for pests. However, considering the need to include other prey non-herbivore in the </w:t>
      </w:r>
      <w:r w:rsidR="00EF240F" w:rsidRPr="009C7703">
        <w:rPr>
          <w:rFonts w:cs="Arial"/>
          <w:bCs/>
          <w:color w:val="FF0000"/>
          <w:sz w:val="24"/>
          <w:szCs w:val="24"/>
        </w:rPr>
        <w:lastRenderedPageBreak/>
        <w:t>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7777777" w:rsidR="0060329D" w:rsidRDefault="0060329D" w:rsidP="0060329D">
      <w:pPr>
        <w:rPr>
          <w:rFonts w:cs="Arial"/>
          <w:bCs/>
          <w:color w:val="FF0000"/>
          <w:sz w:val="24"/>
          <w:szCs w:val="24"/>
        </w:rPr>
      </w:pPr>
      <w:r>
        <w:rPr>
          <w:rFonts w:cs="Arial"/>
          <w:bCs/>
          <w:color w:val="FF0000"/>
          <w:sz w:val="24"/>
          <w:szCs w:val="24"/>
        </w:rPr>
        <w:t>&gt; Show the results of both DDDF and TDFs and see if they differ.</w:t>
      </w:r>
    </w:p>
    <w:p w14:paraId="79FC97CA" w14:textId="77777777" w:rsidR="00FE5126" w:rsidRDefault="00FE5126"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L 337-342: I consider that this is an unexpected result and that it would be interesting to investigate why they consume more pests in conventional crops. Authors cannot assert that there is pest specialisation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w:t>
      </w:r>
      <w:r w:rsidRPr="003327E8">
        <w:rPr>
          <w:rFonts w:cs="Arial"/>
          <w:bCs/>
          <w:sz w:val="24"/>
          <w:szCs w:val="24"/>
        </w:rPr>
        <w:lastRenderedPageBreak/>
        <w:t xml:space="preserve">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favouring the migration of natural enemies into the crop when herbivore population densities increase throughout 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lastRenderedPageBreak/>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344646CC" w14:textId="77777777" w:rsidR="00873F81" w:rsidRDefault="00871D5F" w:rsidP="00873F81">
      <w:pPr>
        <w:pStyle w:val="CommentText"/>
        <w:jc w:val="left"/>
      </w:pPr>
      <w:r>
        <w:rPr>
          <w:rStyle w:val="CommentReference"/>
        </w:rPr>
        <w:annotationRef/>
      </w:r>
      <w:r w:rsidR="00873F81">
        <w:t>A few notes:</w:t>
      </w:r>
    </w:p>
    <w:p w14:paraId="0716DE26" w14:textId="77777777" w:rsidR="00873F81" w:rsidRDefault="00873F81" w:rsidP="00873F81">
      <w:pPr>
        <w:pStyle w:val="CommentText"/>
        <w:jc w:val="left"/>
      </w:pPr>
    </w:p>
    <w:p w14:paraId="135509B6" w14:textId="77777777" w:rsidR="00873F81" w:rsidRDefault="00873F81" w:rsidP="00873F81">
      <w:pPr>
        <w:pStyle w:val="CommentText"/>
        <w:numPr>
          <w:ilvl w:val="0"/>
          <w:numId w:val="3"/>
        </w:numPr>
        <w:jc w:val="left"/>
      </w:pPr>
      <w:r>
        <w:t>The placeholder line numbers in red need updating after we finalize the revision.</w:t>
      </w:r>
    </w:p>
    <w:p w14:paraId="78678C79" w14:textId="77777777" w:rsidR="00873F81" w:rsidRDefault="00873F81" w:rsidP="00873F81">
      <w:pPr>
        <w:pStyle w:val="CommentText"/>
        <w:numPr>
          <w:ilvl w:val="0"/>
          <w:numId w:val="3"/>
        </w:numPr>
        <w:jc w:val="left"/>
      </w:pPr>
      <w:r>
        <w:t>The table and figure numbers in red need updating after we finalize the revision.</w:t>
      </w:r>
    </w:p>
  </w:comment>
  <w:comment w:id="1" w:author="Gen-Chang Hsu" w:date="2024-08-22T13:26:00Z" w:initials="GH">
    <w:p w14:paraId="5FF926D6" w14:textId="13DFE0B4"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3A1B4" w14:textId="77777777" w:rsidR="00CA3ABB" w:rsidRDefault="00CA3ABB">
      <w:pPr>
        <w:spacing w:line="240" w:lineRule="auto"/>
      </w:pPr>
      <w:r>
        <w:separator/>
      </w:r>
    </w:p>
  </w:endnote>
  <w:endnote w:type="continuationSeparator" w:id="0">
    <w:p w14:paraId="6311AED0" w14:textId="77777777" w:rsidR="00CA3ABB" w:rsidRDefault="00CA3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C439D" w14:textId="77777777" w:rsidR="00CA3ABB" w:rsidRDefault="00CA3ABB">
      <w:pPr>
        <w:spacing w:after="0"/>
      </w:pPr>
      <w:r>
        <w:separator/>
      </w:r>
    </w:p>
  </w:footnote>
  <w:footnote w:type="continuationSeparator" w:id="0">
    <w:p w14:paraId="7AE8BEF3" w14:textId="77777777" w:rsidR="00CA3ABB" w:rsidRDefault="00CA3A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2"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num w:numId="1" w16cid:durableId="755514174">
    <w:abstractNumId w:val="0"/>
  </w:num>
  <w:num w:numId="2" w16cid:durableId="1488788523">
    <w:abstractNumId w:val="2"/>
  </w:num>
  <w:num w:numId="3" w16cid:durableId="1167264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10C"/>
    <w:rsid w:val="000054A0"/>
    <w:rsid w:val="00012E9E"/>
    <w:rsid w:val="00013CF0"/>
    <w:rsid w:val="00014618"/>
    <w:rsid w:val="00015A0A"/>
    <w:rsid w:val="00015E1D"/>
    <w:rsid w:val="00016621"/>
    <w:rsid w:val="000172AF"/>
    <w:rsid w:val="00017DE2"/>
    <w:rsid w:val="00022A17"/>
    <w:rsid w:val="0002362A"/>
    <w:rsid w:val="00023755"/>
    <w:rsid w:val="000244C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49AE"/>
    <w:rsid w:val="000479F7"/>
    <w:rsid w:val="00051A4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7740E"/>
    <w:rsid w:val="00080956"/>
    <w:rsid w:val="0008321B"/>
    <w:rsid w:val="00083C78"/>
    <w:rsid w:val="00084143"/>
    <w:rsid w:val="000850C4"/>
    <w:rsid w:val="000863A7"/>
    <w:rsid w:val="00093498"/>
    <w:rsid w:val="00093F28"/>
    <w:rsid w:val="000941A3"/>
    <w:rsid w:val="00094FFB"/>
    <w:rsid w:val="00096116"/>
    <w:rsid w:val="00096C61"/>
    <w:rsid w:val="00097E2F"/>
    <w:rsid w:val="000A37CF"/>
    <w:rsid w:val="000A5855"/>
    <w:rsid w:val="000A7FD1"/>
    <w:rsid w:val="000B2A3F"/>
    <w:rsid w:val="000B2AE6"/>
    <w:rsid w:val="000B3055"/>
    <w:rsid w:val="000B51FE"/>
    <w:rsid w:val="000B6096"/>
    <w:rsid w:val="000B6DC9"/>
    <w:rsid w:val="000C0AC8"/>
    <w:rsid w:val="000C0D7A"/>
    <w:rsid w:val="000C1A8A"/>
    <w:rsid w:val="000C3307"/>
    <w:rsid w:val="000C33E9"/>
    <w:rsid w:val="000C3CCA"/>
    <w:rsid w:val="000C4102"/>
    <w:rsid w:val="000C4D26"/>
    <w:rsid w:val="000C4D88"/>
    <w:rsid w:val="000C6137"/>
    <w:rsid w:val="000C780A"/>
    <w:rsid w:val="000D0B37"/>
    <w:rsid w:val="000D260E"/>
    <w:rsid w:val="000D2BEC"/>
    <w:rsid w:val="000D5A80"/>
    <w:rsid w:val="000D650E"/>
    <w:rsid w:val="000D74C1"/>
    <w:rsid w:val="000E1435"/>
    <w:rsid w:val="000E1913"/>
    <w:rsid w:val="000E235C"/>
    <w:rsid w:val="000E3D1B"/>
    <w:rsid w:val="000E444D"/>
    <w:rsid w:val="000E4EDF"/>
    <w:rsid w:val="000E778C"/>
    <w:rsid w:val="000F1365"/>
    <w:rsid w:val="000F14E6"/>
    <w:rsid w:val="000F1825"/>
    <w:rsid w:val="000F225E"/>
    <w:rsid w:val="000F27A1"/>
    <w:rsid w:val="000F2C9D"/>
    <w:rsid w:val="000F42C8"/>
    <w:rsid w:val="000F529A"/>
    <w:rsid w:val="000F624C"/>
    <w:rsid w:val="000F6C47"/>
    <w:rsid w:val="000F6D42"/>
    <w:rsid w:val="00101298"/>
    <w:rsid w:val="0010152F"/>
    <w:rsid w:val="00101685"/>
    <w:rsid w:val="001031D6"/>
    <w:rsid w:val="00104583"/>
    <w:rsid w:val="00105E08"/>
    <w:rsid w:val="001105A6"/>
    <w:rsid w:val="00111776"/>
    <w:rsid w:val="00113127"/>
    <w:rsid w:val="00113804"/>
    <w:rsid w:val="001145CC"/>
    <w:rsid w:val="00115314"/>
    <w:rsid w:val="001167D3"/>
    <w:rsid w:val="0012015E"/>
    <w:rsid w:val="001201FF"/>
    <w:rsid w:val="001216F7"/>
    <w:rsid w:val="0012287D"/>
    <w:rsid w:val="001234D4"/>
    <w:rsid w:val="0012454F"/>
    <w:rsid w:val="00125294"/>
    <w:rsid w:val="00126683"/>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B7D"/>
    <w:rsid w:val="00185D11"/>
    <w:rsid w:val="00186A11"/>
    <w:rsid w:val="0018750C"/>
    <w:rsid w:val="001900D2"/>
    <w:rsid w:val="00192CDD"/>
    <w:rsid w:val="0019305D"/>
    <w:rsid w:val="00195B60"/>
    <w:rsid w:val="00197D5F"/>
    <w:rsid w:val="001A0CB0"/>
    <w:rsid w:val="001A2101"/>
    <w:rsid w:val="001A4D79"/>
    <w:rsid w:val="001A6077"/>
    <w:rsid w:val="001A6571"/>
    <w:rsid w:val="001A6F1B"/>
    <w:rsid w:val="001B06D2"/>
    <w:rsid w:val="001B1CC4"/>
    <w:rsid w:val="001B2AAF"/>
    <w:rsid w:val="001B48BF"/>
    <w:rsid w:val="001B49C4"/>
    <w:rsid w:val="001B5683"/>
    <w:rsid w:val="001B66EF"/>
    <w:rsid w:val="001B753A"/>
    <w:rsid w:val="001C2E9C"/>
    <w:rsid w:val="001C39C1"/>
    <w:rsid w:val="001C4577"/>
    <w:rsid w:val="001C5061"/>
    <w:rsid w:val="001C6201"/>
    <w:rsid w:val="001C78EB"/>
    <w:rsid w:val="001C7DFE"/>
    <w:rsid w:val="001D085A"/>
    <w:rsid w:val="001D284D"/>
    <w:rsid w:val="001D301A"/>
    <w:rsid w:val="001D478D"/>
    <w:rsid w:val="001D55A2"/>
    <w:rsid w:val="001D59FC"/>
    <w:rsid w:val="001D5FF1"/>
    <w:rsid w:val="001D7DB9"/>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71E9"/>
    <w:rsid w:val="002300F1"/>
    <w:rsid w:val="00230D1F"/>
    <w:rsid w:val="00233BBA"/>
    <w:rsid w:val="002347D6"/>
    <w:rsid w:val="00235DC4"/>
    <w:rsid w:val="00236B2A"/>
    <w:rsid w:val="0024084F"/>
    <w:rsid w:val="002416DA"/>
    <w:rsid w:val="00242CBF"/>
    <w:rsid w:val="00244398"/>
    <w:rsid w:val="00244EF1"/>
    <w:rsid w:val="00244FE8"/>
    <w:rsid w:val="00247889"/>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80DB8"/>
    <w:rsid w:val="0028210E"/>
    <w:rsid w:val="00283CD6"/>
    <w:rsid w:val="002858F8"/>
    <w:rsid w:val="00286A9A"/>
    <w:rsid w:val="00287550"/>
    <w:rsid w:val="0028775C"/>
    <w:rsid w:val="00292679"/>
    <w:rsid w:val="002928A3"/>
    <w:rsid w:val="00293F90"/>
    <w:rsid w:val="0029416A"/>
    <w:rsid w:val="00294EF5"/>
    <w:rsid w:val="002952F5"/>
    <w:rsid w:val="00295A43"/>
    <w:rsid w:val="00297ABC"/>
    <w:rsid w:val="002A135F"/>
    <w:rsid w:val="002A21CB"/>
    <w:rsid w:val="002A2A6E"/>
    <w:rsid w:val="002A41E9"/>
    <w:rsid w:val="002A6F09"/>
    <w:rsid w:val="002A72AC"/>
    <w:rsid w:val="002A7D09"/>
    <w:rsid w:val="002B1542"/>
    <w:rsid w:val="002B1CAF"/>
    <w:rsid w:val="002B239D"/>
    <w:rsid w:val="002B2588"/>
    <w:rsid w:val="002B3A20"/>
    <w:rsid w:val="002B48D8"/>
    <w:rsid w:val="002B5076"/>
    <w:rsid w:val="002B710D"/>
    <w:rsid w:val="002B785E"/>
    <w:rsid w:val="002C0860"/>
    <w:rsid w:val="002C0BBC"/>
    <w:rsid w:val="002C2695"/>
    <w:rsid w:val="002C49B7"/>
    <w:rsid w:val="002C5752"/>
    <w:rsid w:val="002C6BAD"/>
    <w:rsid w:val="002D0470"/>
    <w:rsid w:val="002D06E7"/>
    <w:rsid w:val="002D11F8"/>
    <w:rsid w:val="002D1328"/>
    <w:rsid w:val="002D18AD"/>
    <w:rsid w:val="002D22C7"/>
    <w:rsid w:val="002D2545"/>
    <w:rsid w:val="002D385F"/>
    <w:rsid w:val="002D3C7E"/>
    <w:rsid w:val="002D56A4"/>
    <w:rsid w:val="002D60FE"/>
    <w:rsid w:val="002D6474"/>
    <w:rsid w:val="002E18A4"/>
    <w:rsid w:val="002E3BB2"/>
    <w:rsid w:val="002E5881"/>
    <w:rsid w:val="002E5C28"/>
    <w:rsid w:val="002E5FFE"/>
    <w:rsid w:val="002E6F54"/>
    <w:rsid w:val="002E740C"/>
    <w:rsid w:val="002F0875"/>
    <w:rsid w:val="002F3873"/>
    <w:rsid w:val="002F552E"/>
    <w:rsid w:val="002F7CAB"/>
    <w:rsid w:val="0030109B"/>
    <w:rsid w:val="003017DC"/>
    <w:rsid w:val="003024FE"/>
    <w:rsid w:val="00302D83"/>
    <w:rsid w:val="00302F75"/>
    <w:rsid w:val="00306149"/>
    <w:rsid w:val="0030664A"/>
    <w:rsid w:val="0031148C"/>
    <w:rsid w:val="00311770"/>
    <w:rsid w:val="00312CC2"/>
    <w:rsid w:val="00314D92"/>
    <w:rsid w:val="00315B95"/>
    <w:rsid w:val="00317AFE"/>
    <w:rsid w:val="0032297B"/>
    <w:rsid w:val="003229B9"/>
    <w:rsid w:val="003246ED"/>
    <w:rsid w:val="00324A75"/>
    <w:rsid w:val="0032543B"/>
    <w:rsid w:val="0032645F"/>
    <w:rsid w:val="00326B37"/>
    <w:rsid w:val="00330732"/>
    <w:rsid w:val="00331E1A"/>
    <w:rsid w:val="003320DD"/>
    <w:rsid w:val="003327E8"/>
    <w:rsid w:val="003347F7"/>
    <w:rsid w:val="00334D7D"/>
    <w:rsid w:val="003369A9"/>
    <w:rsid w:val="00337849"/>
    <w:rsid w:val="00337913"/>
    <w:rsid w:val="003411BF"/>
    <w:rsid w:val="00341A39"/>
    <w:rsid w:val="0034224F"/>
    <w:rsid w:val="00344B1A"/>
    <w:rsid w:val="00345371"/>
    <w:rsid w:val="0034537C"/>
    <w:rsid w:val="00350D5B"/>
    <w:rsid w:val="00353762"/>
    <w:rsid w:val="00353E13"/>
    <w:rsid w:val="00353F7D"/>
    <w:rsid w:val="00354E2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C3"/>
    <w:rsid w:val="00395D5F"/>
    <w:rsid w:val="003A0BF5"/>
    <w:rsid w:val="003A29E2"/>
    <w:rsid w:val="003A2B32"/>
    <w:rsid w:val="003A390B"/>
    <w:rsid w:val="003A493F"/>
    <w:rsid w:val="003A541F"/>
    <w:rsid w:val="003A6A0C"/>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C6D6E"/>
    <w:rsid w:val="003D14E2"/>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87F"/>
    <w:rsid w:val="003F6B95"/>
    <w:rsid w:val="003F6BA9"/>
    <w:rsid w:val="003F75A5"/>
    <w:rsid w:val="00402BE6"/>
    <w:rsid w:val="004030EC"/>
    <w:rsid w:val="00404341"/>
    <w:rsid w:val="004053B9"/>
    <w:rsid w:val="00407674"/>
    <w:rsid w:val="00412584"/>
    <w:rsid w:val="004138D2"/>
    <w:rsid w:val="00413DA8"/>
    <w:rsid w:val="0041456A"/>
    <w:rsid w:val="00415D7B"/>
    <w:rsid w:val="00416583"/>
    <w:rsid w:val="0041744C"/>
    <w:rsid w:val="00417CAF"/>
    <w:rsid w:val="0042010C"/>
    <w:rsid w:val="00421E75"/>
    <w:rsid w:val="004234E0"/>
    <w:rsid w:val="00423C64"/>
    <w:rsid w:val="004257F2"/>
    <w:rsid w:val="00425B8A"/>
    <w:rsid w:val="00426219"/>
    <w:rsid w:val="0042717B"/>
    <w:rsid w:val="00430F0E"/>
    <w:rsid w:val="004312D0"/>
    <w:rsid w:val="00433471"/>
    <w:rsid w:val="004406D0"/>
    <w:rsid w:val="00442C5B"/>
    <w:rsid w:val="00443FE4"/>
    <w:rsid w:val="0044437A"/>
    <w:rsid w:val="00451B3C"/>
    <w:rsid w:val="0045209F"/>
    <w:rsid w:val="00453065"/>
    <w:rsid w:val="004546C4"/>
    <w:rsid w:val="00454826"/>
    <w:rsid w:val="00456F84"/>
    <w:rsid w:val="00457734"/>
    <w:rsid w:val="004624B6"/>
    <w:rsid w:val="0046255E"/>
    <w:rsid w:val="00462DDA"/>
    <w:rsid w:val="00464DF3"/>
    <w:rsid w:val="00465ED1"/>
    <w:rsid w:val="004672D3"/>
    <w:rsid w:val="00470B6F"/>
    <w:rsid w:val="00470D96"/>
    <w:rsid w:val="00470DD4"/>
    <w:rsid w:val="00473794"/>
    <w:rsid w:val="00473BC5"/>
    <w:rsid w:val="0047461A"/>
    <w:rsid w:val="004755F5"/>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A1351"/>
    <w:rsid w:val="004A40D9"/>
    <w:rsid w:val="004A48EF"/>
    <w:rsid w:val="004A4A45"/>
    <w:rsid w:val="004A4F2C"/>
    <w:rsid w:val="004A59CC"/>
    <w:rsid w:val="004A703F"/>
    <w:rsid w:val="004A73F1"/>
    <w:rsid w:val="004A78D0"/>
    <w:rsid w:val="004A78DF"/>
    <w:rsid w:val="004B0D5A"/>
    <w:rsid w:val="004B17ED"/>
    <w:rsid w:val="004B1A00"/>
    <w:rsid w:val="004B20C9"/>
    <w:rsid w:val="004B22DD"/>
    <w:rsid w:val="004B3DFA"/>
    <w:rsid w:val="004B5E91"/>
    <w:rsid w:val="004B611D"/>
    <w:rsid w:val="004B6A33"/>
    <w:rsid w:val="004B78E0"/>
    <w:rsid w:val="004C1C9D"/>
    <w:rsid w:val="004C22E9"/>
    <w:rsid w:val="004C37AE"/>
    <w:rsid w:val="004C4462"/>
    <w:rsid w:val="004C4857"/>
    <w:rsid w:val="004C6451"/>
    <w:rsid w:val="004C6EC7"/>
    <w:rsid w:val="004D04B3"/>
    <w:rsid w:val="004D117F"/>
    <w:rsid w:val="004D1FD4"/>
    <w:rsid w:val="004D3D12"/>
    <w:rsid w:val="004D48F0"/>
    <w:rsid w:val="004D4966"/>
    <w:rsid w:val="004D4D4E"/>
    <w:rsid w:val="004D6A3C"/>
    <w:rsid w:val="004D6C81"/>
    <w:rsid w:val="004D6E62"/>
    <w:rsid w:val="004E05F3"/>
    <w:rsid w:val="004E15AB"/>
    <w:rsid w:val="004E1673"/>
    <w:rsid w:val="004E3E0C"/>
    <w:rsid w:val="004E60CB"/>
    <w:rsid w:val="004E7C19"/>
    <w:rsid w:val="004F091B"/>
    <w:rsid w:val="004F296B"/>
    <w:rsid w:val="004F3D4F"/>
    <w:rsid w:val="004F432E"/>
    <w:rsid w:val="004F50A7"/>
    <w:rsid w:val="00500323"/>
    <w:rsid w:val="00500B27"/>
    <w:rsid w:val="00502AAF"/>
    <w:rsid w:val="0050773F"/>
    <w:rsid w:val="00510FD4"/>
    <w:rsid w:val="00511ABA"/>
    <w:rsid w:val="00511AC9"/>
    <w:rsid w:val="0051575A"/>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41516"/>
    <w:rsid w:val="00541771"/>
    <w:rsid w:val="00543A8E"/>
    <w:rsid w:val="00544AB2"/>
    <w:rsid w:val="00545562"/>
    <w:rsid w:val="00545B10"/>
    <w:rsid w:val="005505B1"/>
    <w:rsid w:val="0055100A"/>
    <w:rsid w:val="00551998"/>
    <w:rsid w:val="005528AE"/>
    <w:rsid w:val="00554314"/>
    <w:rsid w:val="0055540E"/>
    <w:rsid w:val="00555909"/>
    <w:rsid w:val="00557491"/>
    <w:rsid w:val="005574AE"/>
    <w:rsid w:val="00557BF2"/>
    <w:rsid w:val="005602F2"/>
    <w:rsid w:val="005603BB"/>
    <w:rsid w:val="00562B99"/>
    <w:rsid w:val="0056371B"/>
    <w:rsid w:val="0056469F"/>
    <w:rsid w:val="00564924"/>
    <w:rsid w:val="0056585B"/>
    <w:rsid w:val="00566413"/>
    <w:rsid w:val="00566A69"/>
    <w:rsid w:val="005671B8"/>
    <w:rsid w:val="005715DE"/>
    <w:rsid w:val="00572963"/>
    <w:rsid w:val="0057335A"/>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4ACB"/>
    <w:rsid w:val="005A5071"/>
    <w:rsid w:val="005A562F"/>
    <w:rsid w:val="005A56B5"/>
    <w:rsid w:val="005A5BEC"/>
    <w:rsid w:val="005A636E"/>
    <w:rsid w:val="005A655A"/>
    <w:rsid w:val="005A6E9C"/>
    <w:rsid w:val="005A778E"/>
    <w:rsid w:val="005B138B"/>
    <w:rsid w:val="005B2A0D"/>
    <w:rsid w:val="005B4977"/>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AB8"/>
    <w:rsid w:val="005F6CCE"/>
    <w:rsid w:val="0060019C"/>
    <w:rsid w:val="006014B3"/>
    <w:rsid w:val="00602ADA"/>
    <w:rsid w:val="0060329D"/>
    <w:rsid w:val="00603ED6"/>
    <w:rsid w:val="00606928"/>
    <w:rsid w:val="00607020"/>
    <w:rsid w:val="00607FA1"/>
    <w:rsid w:val="00607FA7"/>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3E2B"/>
    <w:rsid w:val="00644231"/>
    <w:rsid w:val="0064607E"/>
    <w:rsid w:val="00647461"/>
    <w:rsid w:val="00650A24"/>
    <w:rsid w:val="006511C5"/>
    <w:rsid w:val="00652BBA"/>
    <w:rsid w:val="0065342E"/>
    <w:rsid w:val="00653E08"/>
    <w:rsid w:val="00656237"/>
    <w:rsid w:val="00661A4F"/>
    <w:rsid w:val="006620B4"/>
    <w:rsid w:val="00662913"/>
    <w:rsid w:val="00662AE7"/>
    <w:rsid w:val="006633AB"/>
    <w:rsid w:val="00663D61"/>
    <w:rsid w:val="0066455A"/>
    <w:rsid w:val="006656A8"/>
    <w:rsid w:val="00665DAC"/>
    <w:rsid w:val="00666327"/>
    <w:rsid w:val="006677F5"/>
    <w:rsid w:val="00672419"/>
    <w:rsid w:val="00672E72"/>
    <w:rsid w:val="00676754"/>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799"/>
    <w:rsid w:val="006F2AD2"/>
    <w:rsid w:val="006F2EBC"/>
    <w:rsid w:val="006F3DFA"/>
    <w:rsid w:val="006F44EC"/>
    <w:rsid w:val="00701818"/>
    <w:rsid w:val="00702C2E"/>
    <w:rsid w:val="0070429A"/>
    <w:rsid w:val="0070581F"/>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1F38"/>
    <w:rsid w:val="00764493"/>
    <w:rsid w:val="007645F8"/>
    <w:rsid w:val="00764EFD"/>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516E"/>
    <w:rsid w:val="007B62E5"/>
    <w:rsid w:val="007B6614"/>
    <w:rsid w:val="007B6901"/>
    <w:rsid w:val="007B6C69"/>
    <w:rsid w:val="007C0CCA"/>
    <w:rsid w:val="007C2CA4"/>
    <w:rsid w:val="007C3BD6"/>
    <w:rsid w:val="007C5FDA"/>
    <w:rsid w:val="007D1A8E"/>
    <w:rsid w:val="007D264E"/>
    <w:rsid w:val="007D650E"/>
    <w:rsid w:val="007D6CC8"/>
    <w:rsid w:val="007E0D3C"/>
    <w:rsid w:val="007E1C3F"/>
    <w:rsid w:val="007E2C94"/>
    <w:rsid w:val="007E3441"/>
    <w:rsid w:val="007E351A"/>
    <w:rsid w:val="007E3BA8"/>
    <w:rsid w:val="007E3EBE"/>
    <w:rsid w:val="007E539D"/>
    <w:rsid w:val="007E68C8"/>
    <w:rsid w:val="007F107F"/>
    <w:rsid w:val="007F3FE6"/>
    <w:rsid w:val="007F4830"/>
    <w:rsid w:val="007F4ACA"/>
    <w:rsid w:val="007F63D9"/>
    <w:rsid w:val="007F754C"/>
    <w:rsid w:val="007F7F50"/>
    <w:rsid w:val="00800057"/>
    <w:rsid w:val="00800CCE"/>
    <w:rsid w:val="00801F3D"/>
    <w:rsid w:val="008021A8"/>
    <w:rsid w:val="00803410"/>
    <w:rsid w:val="008045AB"/>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DAE"/>
    <w:rsid w:val="00840AEC"/>
    <w:rsid w:val="008413FD"/>
    <w:rsid w:val="008415EC"/>
    <w:rsid w:val="00841E99"/>
    <w:rsid w:val="008431BD"/>
    <w:rsid w:val="0084582C"/>
    <w:rsid w:val="008459EA"/>
    <w:rsid w:val="008463C7"/>
    <w:rsid w:val="00850772"/>
    <w:rsid w:val="008523DA"/>
    <w:rsid w:val="008535F1"/>
    <w:rsid w:val="00853A65"/>
    <w:rsid w:val="0085437F"/>
    <w:rsid w:val="008547D6"/>
    <w:rsid w:val="0085488D"/>
    <w:rsid w:val="00854E1F"/>
    <w:rsid w:val="00855513"/>
    <w:rsid w:val="00856782"/>
    <w:rsid w:val="00856A00"/>
    <w:rsid w:val="00857901"/>
    <w:rsid w:val="00857F33"/>
    <w:rsid w:val="008600F9"/>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224C"/>
    <w:rsid w:val="008A2395"/>
    <w:rsid w:val="008A2B43"/>
    <w:rsid w:val="008A3764"/>
    <w:rsid w:val="008A628B"/>
    <w:rsid w:val="008A74B5"/>
    <w:rsid w:val="008B0E8B"/>
    <w:rsid w:val="008B15C3"/>
    <w:rsid w:val="008B400E"/>
    <w:rsid w:val="008B471D"/>
    <w:rsid w:val="008B51CA"/>
    <w:rsid w:val="008B6BA4"/>
    <w:rsid w:val="008B74DF"/>
    <w:rsid w:val="008B7891"/>
    <w:rsid w:val="008C115F"/>
    <w:rsid w:val="008C23FC"/>
    <w:rsid w:val="008C3409"/>
    <w:rsid w:val="008C4AA9"/>
    <w:rsid w:val="008C564D"/>
    <w:rsid w:val="008C5A37"/>
    <w:rsid w:val="008C63F9"/>
    <w:rsid w:val="008C6604"/>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53BA"/>
    <w:rsid w:val="008E7C5C"/>
    <w:rsid w:val="008F0A1E"/>
    <w:rsid w:val="008F34FE"/>
    <w:rsid w:val="008F3B57"/>
    <w:rsid w:val="008F3D37"/>
    <w:rsid w:val="008F693B"/>
    <w:rsid w:val="009025D2"/>
    <w:rsid w:val="009025FE"/>
    <w:rsid w:val="00903394"/>
    <w:rsid w:val="009036C8"/>
    <w:rsid w:val="009036F2"/>
    <w:rsid w:val="009040F2"/>
    <w:rsid w:val="0090735C"/>
    <w:rsid w:val="00907448"/>
    <w:rsid w:val="00907D51"/>
    <w:rsid w:val="009104E6"/>
    <w:rsid w:val="00910F47"/>
    <w:rsid w:val="00911189"/>
    <w:rsid w:val="00915D6D"/>
    <w:rsid w:val="00916530"/>
    <w:rsid w:val="0091713F"/>
    <w:rsid w:val="009172A8"/>
    <w:rsid w:val="00917447"/>
    <w:rsid w:val="00917574"/>
    <w:rsid w:val="00921B74"/>
    <w:rsid w:val="00923D2C"/>
    <w:rsid w:val="00924EFF"/>
    <w:rsid w:val="0092574A"/>
    <w:rsid w:val="009258B6"/>
    <w:rsid w:val="00926356"/>
    <w:rsid w:val="00932CB9"/>
    <w:rsid w:val="00937748"/>
    <w:rsid w:val="0094164E"/>
    <w:rsid w:val="00942E83"/>
    <w:rsid w:val="0094412E"/>
    <w:rsid w:val="00944522"/>
    <w:rsid w:val="009447E9"/>
    <w:rsid w:val="00944B6E"/>
    <w:rsid w:val="0094529F"/>
    <w:rsid w:val="00945B89"/>
    <w:rsid w:val="009476E4"/>
    <w:rsid w:val="00947BF7"/>
    <w:rsid w:val="00947DED"/>
    <w:rsid w:val="00951D6D"/>
    <w:rsid w:val="00954492"/>
    <w:rsid w:val="00954C30"/>
    <w:rsid w:val="00955D26"/>
    <w:rsid w:val="009567B4"/>
    <w:rsid w:val="00961B6F"/>
    <w:rsid w:val="00963C40"/>
    <w:rsid w:val="00964B0F"/>
    <w:rsid w:val="00964FD1"/>
    <w:rsid w:val="0096743E"/>
    <w:rsid w:val="00967596"/>
    <w:rsid w:val="00975860"/>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5481"/>
    <w:rsid w:val="009C055A"/>
    <w:rsid w:val="009C171B"/>
    <w:rsid w:val="009C1E08"/>
    <w:rsid w:val="009C4055"/>
    <w:rsid w:val="009C4320"/>
    <w:rsid w:val="009C4FA7"/>
    <w:rsid w:val="009C5F61"/>
    <w:rsid w:val="009C6456"/>
    <w:rsid w:val="009C6969"/>
    <w:rsid w:val="009C6A6A"/>
    <w:rsid w:val="009C7703"/>
    <w:rsid w:val="009D0D33"/>
    <w:rsid w:val="009D3928"/>
    <w:rsid w:val="009D3E8F"/>
    <w:rsid w:val="009D42D1"/>
    <w:rsid w:val="009D4EE9"/>
    <w:rsid w:val="009D5463"/>
    <w:rsid w:val="009D60AF"/>
    <w:rsid w:val="009D6757"/>
    <w:rsid w:val="009D6819"/>
    <w:rsid w:val="009D7BE4"/>
    <w:rsid w:val="009E7DB9"/>
    <w:rsid w:val="009F0890"/>
    <w:rsid w:val="009F08DE"/>
    <w:rsid w:val="009F18C4"/>
    <w:rsid w:val="009F2185"/>
    <w:rsid w:val="009F3F2D"/>
    <w:rsid w:val="009F5B64"/>
    <w:rsid w:val="009F7623"/>
    <w:rsid w:val="009F7D8F"/>
    <w:rsid w:val="00A009ED"/>
    <w:rsid w:val="00A01247"/>
    <w:rsid w:val="00A03887"/>
    <w:rsid w:val="00A06DEF"/>
    <w:rsid w:val="00A07AD9"/>
    <w:rsid w:val="00A07DD7"/>
    <w:rsid w:val="00A10E90"/>
    <w:rsid w:val="00A111E6"/>
    <w:rsid w:val="00A11369"/>
    <w:rsid w:val="00A121D8"/>
    <w:rsid w:val="00A12232"/>
    <w:rsid w:val="00A137FD"/>
    <w:rsid w:val="00A14B9C"/>
    <w:rsid w:val="00A15595"/>
    <w:rsid w:val="00A1623F"/>
    <w:rsid w:val="00A16366"/>
    <w:rsid w:val="00A202A0"/>
    <w:rsid w:val="00A207D0"/>
    <w:rsid w:val="00A20D26"/>
    <w:rsid w:val="00A20E5E"/>
    <w:rsid w:val="00A21C69"/>
    <w:rsid w:val="00A25D98"/>
    <w:rsid w:val="00A26326"/>
    <w:rsid w:val="00A26F23"/>
    <w:rsid w:val="00A30734"/>
    <w:rsid w:val="00A30D5A"/>
    <w:rsid w:val="00A32C23"/>
    <w:rsid w:val="00A33A99"/>
    <w:rsid w:val="00A359C2"/>
    <w:rsid w:val="00A40F9E"/>
    <w:rsid w:val="00A41180"/>
    <w:rsid w:val="00A41893"/>
    <w:rsid w:val="00A41E55"/>
    <w:rsid w:val="00A438B5"/>
    <w:rsid w:val="00A43924"/>
    <w:rsid w:val="00A44EB4"/>
    <w:rsid w:val="00A45B02"/>
    <w:rsid w:val="00A515B7"/>
    <w:rsid w:val="00A52056"/>
    <w:rsid w:val="00A5277F"/>
    <w:rsid w:val="00A529B1"/>
    <w:rsid w:val="00A529ED"/>
    <w:rsid w:val="00A52F58"/>
    <w:rsid w:val="00A54ACD"/>
    <w:rsid w:val="00A5555F"/>
    <w:rsid w:val="00A56994"/>
    <w:rsid w:val="00A57FFE"/>
    <w:rsid w:val="00A60EF6"/>
    <w:rsid w:val="00A61D11"/>
    <w:rsid w:val="00A62428"/>
    <w:rsid w:val="00A62992"/>
    <w:rsid w:val="00A63230"/>
    <w:rsid w:val="00A65D5E"/>
    <w:rsid w:val="00A70146"/>
    <w:rsid w:val="00A70878"/>
    <w:rsid w:val="00A7094E"/>
    <w:rsid w:val="00A71BFE"/>
    <w:rsid w:val="00A72009"/>
    <w:rsid w:val="00A72082"/>
    <w:rsid w:val="00A7221D"/>
    <w:rsid w:val="00A731C0"/>
    <w:rsid w:val="00A739DA"/>
    <w:rsid w:val="00A7438C"/>
    <w:rsid w:val="00A750F0"/>
    <w:rsid w:val="00A8005D"/>
    <w:rsid w:val="00A80EAC"/>
    <w:rsid w:val="00A8157B"/>
    <w:rsid w:val="00A81617"/>
    <w:rsid w:val="00A83869"/>
    <w:rsid w:val="00A83F03"/>
    <w:rsid w:val="00A84160"/>
    <w:rsid w:val="00A8571F"/>
    <w:rsid w:val="00A8692A"/>
    <w:rsid w:val="00A87FD7"/>
    <w:rsid w:val="00A938E9"/>
    <w:rsid w:val="00A94D68"/>
    <w:rsid w:val="00A96191"/>
    <w:rsid w:val="00A96D90"/>
    <w:rsid w:val="00A97891"/>
    <w:rsid w:val="00AA2FB8"/>
    <w:rsid w:val="00AA328E"/>
    <w:rsid w:val="00AA3783"/>
    <w:rsid w:val="00AB05E1"/>
    <w:rsid w:val="00AB08E2"/>
    <w:rsid w:val="00AB1226"/>
    <w:rsid w:val="00AB238F"/>
    <w:rsid w:val="00AB3B32"/>
    <w:rsid w:val="00AB455E"/>
    <w:rsid w:val="00AB7B20"/>
    <w:rsid w:val="00AC05DB"/>
    <w:rsid w:val="00AC1780"/>
    <w:rsid w:val="00AC2F8A"/>
    <w:rsid w:val="00AC5268"/>
    <w:rsid w:val="00AC7B54"/>
    <w:rsid w:val="00AD02CB"/>
    <w:rsid w:val="00AD03B0"/>
    <w:rsid w:val="00AD075D"/>
    <w:rsid w:val="00AD2DEC"/>
    <w:rsid w:val="00AD3F9F"/>
    <w:rsid w:val="00AD4CFF"/>
    <w:rsid w:val="00AD5B62"/>
    <w:rsid w:val="00AD6BE2"/>
    <w:rsid w:val="00AD7841"/>
    <w:rsid w:val="00AD7C38"/>
    <w:rsid w:val="00AE034C"/>
    <w:rsid w:val="00AE1020"/>
    <w:rsid w:val="00AE3256"/>
    <w:rsid w:val="00AE49BA"/>
    <w:rsid w:val="00AE4A66"/>
    <w:rsid w:val="00AE4B51"/>
    <w:rsid w:val="00AE4D2E"/>
    <w:rsid w:val="00AE76CD"/>
    <w:rsid w:val="00AE794B"/>
    <w:rsid w:val="00AF08C2"/>
    <w:rsid w:val="00AF0A4B"/>
    <w:rsid w:val="00AF3D96"/>
    <w:rsid w:val="00AF4A57"/>
    <w:rsid w:val="00AF784A"/>
    <w:rsid w:val="00AF7AB5"/>
    <w:rsid w:val="00AF7FC4"/>
    <w:rsid w:val="00B01B5C"/>
    <w:rsid w:val="00B01B9D"/>
    <w:rsid w:val="00B026F4"/>
    <w:rsid w:val="00B03FA8"/>
    <w:rsid w:val="00B05572"/>
    <w:rsid w:val="00B06DEA"/>
    <w:rsid w:val="00B06FEE"/>
    <w:rsid w:val="00B07900"/>
    <w:rsid w:val="00B0799C"/>
    <w:rsid w:val="00B10435"/>
    <w:rsid w:val="00B147F2"/>
    <w:rsid w:val="00B1480D"/>
    <w:rsid w:val="00B16271"/>
    <w:rsid w:val="00B16E98"/>
    <w:rsid w:val="00B20552"/>
    <w:rsid w:val="00B22604"/>
    <w:rsid w:val="00B22F43"/>
    <w:rsid w:val="00B23F85"/>
    <w:rsid w:val="00B24989"/>
    <w:rsid w:val="00B24D86"/>
    <w:rsid w:val="00B255A9"/>
    <w:rsid w:val="00B25BFC"/>
    <w:rsid w:val="00B26B94"/>
    <w:rsid w:val="00B27009"/>
    <w:rsid w:val="00B270E5"/>
    <w:rsid w:val="00B2773F"/>
    <w:rsid w:val="00B32141"/>
    <w:rsid w:val="00B34D52"/>
    <w:rsid w:val="00B35FC9"/>
    <w:rsid w:val="00B3639B"/>
    <w:rsid w:val="00B36FCD"/>
    <w:rsid w:val="00B37F6D"/>
    <w:rsid w:val="00B40879"/>
    <w:rsid w:val="00B40F47"/>
    <w:rsid w:val="00B40F9C"/>
    <w:rsid w:val="00B41849"/>
    <w:rsid w:val="00B43577"/>
    <w:rsid w:val="00B43EED"/>
    <w:rsid w:val="00B4486F"/>
    <w:rsid w:val="00B44A00"/>
    <w:rsid w:val="00B47C0C"/>
    <w:rsid w:val="00B53E38"/>
    <w:rsid w:val="00B5526E"/>
    <w:rsid w:val="00B5570D"/>
    <w:rsid w:val="00B57016"/>
    <w:rsid w:val="00B57BD2"/>
    <w:rsid w:val="00B600DF"/>
    <w:rsid w:val="00B650A5"/>
    <w:rsid w:val="00B651D7"/>
    <w:rsid w:val="00B6659A"/>
    <w:rsid w:val="00B67734"/>
    <w:rsid w:val="00B67DE3"/>
    <w:rsid w:val="00B7174E"/>
    <w:rsid w:val="00B72463"/>
    <w:rsid w:val="00B7327B"/>
    <w:rsid w:val="00B73578"/>
    <w:rsid w:val="00B7600C"/>
    <w:rsid w:val="00B770FA"/>
    <w:rsid w:val="00B77F2B"/>
    <w:rsid w:val="00B80926"/>
    <w:rsid w:val="00B81C4C"/>
    <w:rsid w:val="00B81FC1"/>
    <w:rsid w:val="00B825EE"/>
    <w:rsid w:val="00B82C47"/>
    <w:rsid w:val="00B82C53"/>
    <w:rsid w:val="00B8385F"/>
    <w:rsid w:val="00B84AE8"/>
    <w:rsid w:val="00B851D5"/>
    <w:rsid w:val="00B87A9E"/>
    <w:rsid w:val="00B87BA6"/>
    <w:rsid w:val="00B87F80"/>
    <w:rsid w:val="00B95334"/>
    <w:rsid w:val="00BA0EE8"/>
    <w:rsid w:val="00BA1221"/>
    <w:rsid w:val="00BA162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4A84"/>
    <w:rsid w:val="00BC5605"/>
    <w:rsid w:val="00BC643F"/>
    <w:rsid w:val="00BD08E0"/>
    <w:rsid w:val="00BD112C"/>
    <w:rsid w:val="00BD232E"/>
    <w:rsid w:val="00BD530D"/>
    <w:rsid w:val="00BD5384"/>
    <w:rsid w:val="00BD6457"/>
    <w:rsid w:val="00BD6AD6"/>
    <w:rsid w:val="00BE0220"/>
    <w:rsid w:val="00BE0727"/>
    <w:rsid w:val="00BE281A"/>
    <w:rsid w:val="00BE53CC"/>
    <w:rsid w:val="00BE565E"/>
    <w:rsid w:val="00BE5DB6"/>
    <w:rsid w:val="00BE703D"/>
    <w:rsid w:val="00BE7E33"/>
    <w:rsid w:val="00BF1E35"/>
    <w:rsid w:val="00BF346F"/>
    <w:rsid w:val="00BF61A2"/>
    <w:rsid w:val="00C0038D"/>
    <w:rsid w:val="00C03CB9"/>
    <w:rsid w:val="00C048B2"/>
    <w:rsid w:val="00C054DE"/>
    <w:rsid w:val="00C13FF5"/>
    <w:rsid w:val="00C14069"/>
    <w:rsid w:val="00C14DEB"/>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54E7"/>
    <w:rsid w:val="00C96608"/>
    <w:rsid w:val="00C96940"/>
    <w:rsid w:val="00C97309"/>
    <w:rsid w:val="00CA2CA0"/>
    <w:rsid w:val="00CA3ABB"/>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0D"/>
    <w:rsid w:val="00CF10BF"/>
    <w:rsid w:val="00CF10CD"/>
    <w:rsid w:val="00CF37DF"/>
    <w:rsid w:val="00CF392A"/>
    <w:rsid w:val="00CF4740"/>
    <w:rsid w:val="00CF49A2"/>
    <w:rsid w:val="00D00AC7"/>
    <w:rsid w:val="00D038B8"/>
    <w:rsid w:val="00D051C8"/>
    <w:rsid w:val="00D05464"/>
    <w:rsid w:val="00D13B19"/>
    <w:rsid w:val="00D14023"/>
    <w:rsid w:val="00D152D4"/>
    <w:rsid w:val="00D1561F"/>
    <w:rsid w:val="00D15626"/>
    <w:rsid w:val="00D209F6"/>
    <w:rsid w:val="00D23451"/>
    <w:rsid w:val="00D26AE6"/>
    <w:rsid w:val="00D271C0"/>
    <w:rsid w:val="00D271F3"/>
    <w:rsid w:val="00D27399"/>
    <w:rsid w:val="00D322B6"/>
    <w:rsid w:val="00D325DB"/>
    <w:rsid w:val="00D32CF3"/>
    <w:rsid w:val="00D349E4"/>
    <w:rsid w:val="00D3633A"/>
    <w:rsid w:val="00D368BA"/>
    <w:rsid w:val="00D41801"/>
    <w:rsid w:val="00D42A48"/>
    <w:rsid w:val="00D42FF1"/>
    <w:rsid w:val="00D43540"/>
    <w:rsid w:val="00D462A6"/>
    <w:rsid w:val="00D46A01"/>
    <w:rsid w:val="00D46AFA"/>
    <w:rsid w:val="00D47300"/>
    <w:rsid w:val="00D522D6"/>
    <w:rsid w:val="00D55D97"/>
    <w:rsid w:val="00D56287"/>
    <w:rsid w:val="00D5734A"/>
    <w:rsid w:val="00D575F6"/>
    <w:rsid w:val="00D57D5C"/>
    <w:rsid w:val="00D623C5"/>
    <w:rsid w:val="00D64E35"/>
    <w:rsid w:val="00D70D97"/>
    <w:rsid w:val="00D71455"/>
    <w:rsid w:val="00D72136"/>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6571"/>
    <w:rsid w:val="00D9667A"/>
    <w:rsid w:val="00D96E3E"/>
    <w:rsid w:val="00DA23AE"/>
    <w:rsid w:val="00DA23E5"/>
    <w:rsid w:val="00DA241D"/>
    <w:rsid w:val="00DA2B25"/>
    <w:rsid w:val="00DA2D91"/>
    <w:rsid w:val="00DA2F85"/>
    <w:rsid w:val="00DA59D5"/>
    <w:rsid w:val="00DB1641"/>
    <w:rsid w:val="00DB1A09"/>
    <w:rsid w:val="00DB2BDE"/>
    <w:rsid w:val="00DB3AC9"/>
    <w:rsid w:val="00DB3F6F"/>
    <w:rsid w:val="00DB4979"/>
    <w:rsid w:val="00DB693F"/>
    <w:rsid w:val="00DB6DC8"/>
    <w:rsid w:val="00DC0747"/>
    <w:rsid w:val="00DC4841"/>
    <w:rsid w:val="00DC4AE4"/>
    <w:rsid w:val="00DC4F8A"/>
    <w:rsid w:val="00DC5B75"/>
    <w:rsid w:val="00DC5F97"/>
    <w:rsid w:val="00DC61F1"/>
    <w:rsid w:val="00DD1C1A"/>
    <w:rsid w:val="00DD1CD5"/>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109"/>
    <w:rsid w:val="00E2049D"/>
    <w:rsid w:val="00E20D3D"/>
    <w:rsid w:val="00E21050"/>
    <w:rsid w:val="00E22C76"/>
    <w:rsid w:val="00E23DDE"/>
    <w:rsid w:val="00E243D5"/>
    <w:rsid w:val="00E24C13"/>
    <w:rsid w:val="00E255F2"/>
    <w:rsid w:val="00E3007D"/>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34DF"/>
    <w:rsid w:val="00E65D0A"/>
    <w:rsid w:val="00E662D5"/>
    <w:rsid w:val="00E70EDF"/>
    <w:rsid w:val="00E7197F"/>
    <w:rsid w:val="00E71C0B"/>
    <w:rsid w:val="00E733AC"/>
    <w:rsid w:val="00E737C6"/>
    <w:rsid w:val="00E75EDC"/>
    <w:rsid w:val="00E8045E"/>
    <w:rsid w:val="00E80CBF"/>
    <w:rsid w:val="00E81E5B"/>
    <w:rsid w:val="00E84E4D"/>
    <w:rsid w:val="00E85405"/>
    <w:rsid w:val="00E85C42"/>
    <w:rsid w:val="00E86871"/>
    <w:rsid w:val="00E87177"/>
    <w:rsid w:val="00E872FE"/>
    <w:rsid w:val="00E8779D"/>
    <w:rsid w:val="00E913B7"/>
    <w:rsid w:val="00E928CA"/>
    <w:rsid w:val="00E929E4"/>
    <w:rsid w:val="00E9370D"/>
    <w:rsid w:val="00E94336"/>
    <w:rsid w:val="00E94653"/>
    <w:rsid w:val="00E949B3"/>
    <w:rsid w:val="00E94C87"/>
    <w:rsid w:val="00E94E40"/>
    <w:rsid w:val="00E9509C"/>
    <w:rsid w:val="00E966EC"/>
    <w:rsid w:val="00E968A4"/>
    <w:rsid w:val="00E975EF"/>
    <w:rsid w:val="00E97802"/>
    <w:rsid w:val="00EA0576"/>
    <w:rsid w:val="00EA33B8"/>
    <w:rsid w:val="00EA3ABE"/>
    <w:rsid w:val="00EA68FC"/>
    <w:rsid w:val="00EA7644"/>
    <w:rsid w:val="00EB118E"/>
    <w:rsid w:val="00EB153D"/>
    <w:rsid w:val="00EB7567"/>
    <w:rsid w:val="00EC1620"/>
    <w:rsid w:val="00EC2489"/>
    <w:rsid w:val="00EC4C56"/>
    <w:rsid w:val="00EC5611"/>
    <w:rsid w:val="00EC692C"/>
    <w:rsid w:val="00EC692D"/>
    <w:rsid w:val="00EC77A5"/>
    <w:rsid w:val="00ED03FA"/>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70D6"/>
    <w:rsid w:val="00EE7F1A"/>
    <w:rsid w:val="00EF180C"/>
    <w:rsid w:val="00EF18DD"/>
    <w:rsid w:val="00EF1E77"/>
    <w:rsid w:val="00EF240F"/>
    <w:rsid w:val="00EF2CD5"/>
    <w:rsid w:val="00EF395A"/>
    <w:rsid w:val="00EF4D83"/>
    <w:rsid w:val="00EF5997"/>
    <w:rsid w:val="00EF5CA4"/>
    <w:rsid w:val="00EF7082"/>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621C"/>
    <w:rsid w:val="00F169DD"/>
    <w:rsid w:val="00F16D4F"/>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453"/>
    <w:rsid w:val="00F436AA"/>
    <w:rsid w:val="00F436B6"/>
    <w:rsid w:val="00F43ABC"/>
    <w:rsid w:val="00F4546C"/>
    <w:rsid w:val="00F45873"/>
    <w:rsid w:val="00F458AF"/>
    <w:rsid w:val="00F46202"/>
    <w:rsid w:val="00F51C8A"/>
    <w:rsid w:val="00F53251"/>
    <w:rsid w:val="00F53664"/>
    <w:rsid w:val="00F53C4A"/>
    <w:rsid w:val="00F56268"/>
    <w:rsid w:val="00F57A49"/>
    <w:rsid w:val="00F62E35"/>
    <w:rsid w:val="00F63242"/>
    <w:rsid w:val="00F65412"/>
    <w:rsid w:val="00F65AF4"/>
    <w:rsid w:val="00F65CBA"/>
    <w:rsid w:val="00F706AC"/>
    <w:rsid w:val="00F71055"/>
    <w:rsid w:val="00F71632"/>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62A"/>
    <w:rsid w:val="00F92B6E"/>
    <w:rsid w:val="00F92D03"/>
    <w:rsid w:val="00F93AA3"/>
    <w:rsid w:val="00F942DA"/>
    <w:rsid w:val="00F94459"/>
    <w:rsid w:val="00F948BF"/>
    <w:rsid w:val="00F96611"/>
    <w:rsid w:val="00F97224"/>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569B"/>
    <w:rsid w:val="00FB667D"/>
    <w:rsid w:val="00FB6C07"/>
    <w:rsid w:val="00FC3D8A"/>
    <w:rsid w:val="00FC4B00"/>
    <w:rsid w:val="00FC53DA"/>
    <w:rsid w:val="00FC5754"/>
    <w:rsid w:val="00FC5BDE"/>
    <w:rsid w:val="00FD0FBF"/>
    <w:rsid w:val="00FD112D"/>
    <w:rsid w:val="00FD2036"/>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100F"/>
    <w:rsid w:val="00FF265E"/>
    <w:rsid w:val="00FF3361"/>
    <w:rsid w:val="00FF4719"/>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5238</TotalTime>
  <Pages>44</Pages>
  <Words>10488</Words>
  <Characters>59788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2194</cp:revision>
  <cp:lastPrinted>2022-12-04T23:09:00Z</cp:lastPrinted>
  <dcterms:created xsi:type="dcterms:W3CDTF">2021-07-20T18:26:00Z</dcterms:created>
  <dcterms:modified xsi:type="dcterms:W3CDTF">2024-08-30T02:38:00Z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