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C517F9"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50EC8DFE" w14:textId="542395A2" w:rsidR="00C517F9" w:rsidRPr="00FD112D" w:rsidRDefault="00C517F9">
      <w:pPr>
        <w:pStyle w:val="ListParagraph"/>
        <w:numPr>
          <w:ilvl w:val="0"/>
          <w:numId w:val="1"/>
        </w:numPr>
        <w:rPr>
          <w:rFonts w:cs="Arial"/>
          <w:color w:val="FF0000"/>
          <w:sz w:val="24"/>
          <w:szCs w:val="24"/>
        </w:rPr>
      </w:pPr>
      <w:r>
        <w:rPr>
          <w:rFonts w:eastAsiaTheme="minorEastAsia" w:cs="Arial"/>
          <w:color w:val="FF0000"/>
          <w:sz w:val="24"/>
          <w:szCs w:val="24"/>
        </w:rPr>
        <w:t>Perform</w:t>
      </w:r>
      <w:r w:rsidR="00557491">
        <w:rPr>
          <w:rFonts w:eastAsiaTheme="minorEastAsia" w:cs="Arial"/>
          <w:color w:val="FF0000"/>
          <w:sz w:val="24"/>
          <w:szCs w:val="24"/>
        </w:rPr>
        <w:t>ed</w:t>
      </w:r>
      <w:r>
        <w:rPr>
          <w:rFonts w:eastAsiaTheme="minorEastAsia" w:cs="Arial"/>
          <w:color w:val="FF0000"/>
          <w:sz w:val="24"/>
          <w:szCs w:val="24"/>
        </w:rPr>
        <w:t xml:space="preserve"> a sensitivity analysis of TDFs</w:t>
      </w:r>
    </w:p>
    <w:p w14:paraId="4E2451F1" w14:textId="1C8B579D" w:rsidR="00FD112D" w:rsidRPr="00FD112D" w:rsidRDefault="00FD112D" w:rsidP="00FD112D">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Default="00354E22" w:rsidP="006A1D87">
      <w:pPr>
        <w:rPr>
          <w:rFonts w:eastAsiaTheme="minorEastAsia" w:cs="Arial"/>
          <w:bCs/>
          <w:color w:val="FF0000"/>
          <w:sz w:val="24"/>
          <w:szCs w:val="24"/>
        </w:rPr>
      </w:pP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Default="00BE53CC" w:rsidP="006A1D87">
      <w:pPr>
        <w:rPr>
          <w:rFonts w:eastAsiaTheme="minorEastAsia" w:cs="Arial"/>
          <w:bCs/>
          <w:color w:val="FF0000"/>
          <w:sz w:val="24"/>
          <w:szCs w:val="24"/>
        </w:rPr>
      </w:pPr>
    </w:p>
    <w:p w14:paraId="59B164AE" w14:textId="77777777" w:rsidR="008A2B43" w:rsidRPr="006A1D87" w:rsidRDefault="008A2B43"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3D3E1F78" w14:textId="752BAFBD" w:rsidR="00EF240F" w:rsidRPr="009C7703" w:rsidRDefault="00EF240F" w:rsidP="00EF240F">
      <w:pPr>
        <w:rPr>
          <w:rFonts w:cs="Arial"/>
          <w:bCs/>
          <w:color w:val="FF0000"/>
          <w:sz w:val="24"/>
          <w:szCs w:val="24"/>
        </w:rPr>
      </w:pPr>
      <w:r>
        <w:rPr>
          <w:rFonts w:cs="Arial"/>
          <w:b/>
          <w:color w:val="FF0000"/>
          <w:sz w:val="24"/>
          <w:szCs w:val="24"/>
          <w:u w:val="single"/>
        </w:rPr>
        <w:t>Comment 1</w:t>
      </w:r>
      <w:r>
        <w:rPr>
          <w:rFonts w:cs="Arial"/>
          <w:color w:val="FF0000"/>
          <w:sz w:val="24"/>
          <w:szCs w:val="24"/>
        </w:rPr>
        <w:t xml:space="preserve"> &gt; </w:t>
      </w: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642C11">
        <w:rPr>
          <w:rFonts w:cs="Arial"/>
          <w:bCs/>
          <w:color w:val="FF0000"/>
          <w:sz w:val="24"/>
          <w:szCs w:val="24"/>
        </w:rPr>
        <w:t xml:space="preserve">it would be necessary to include other potential non-herbivore prey in the analysis. On the other hand, they use the method proposed by </w:t>
      </w:r>
      <w:proofErr w:type="spellStart"/>
      <w:r w:rsidRPr="00642C11">
        <w:rPr>
          <w:rFonts w:cs="Arial"/>
          <w:bCs/>
          <w:color w:val="FF0000"/>
          <w:sz w:val="24"/>
          <w:szCs w:val="24"/>
        </w:rPr>
        <w:t>Caut</w:t>
      </w:r>
      <w:proofErr w:type="spellEnd"/>
      <w:r w:rsidRPr="00642C11">
        <w:rPr>
          <w:rFonts w:cs="Arial"/>
          <w:bCs/>
          <w:color w:val="FF0000"/>
          <w:sz w:val="24"/>
          <w:szCs w:val="24"/>
        </w:rPr>
        <w:t xml:space="preserve"> et al. (2009) to calculate TDFs but this protocol was subsequently </w:t>
      </w:r>
      <w:proofErr w:type="spellStart"/>
      <w:r w:rsidRPr="00642C11">
        <w:rPr>
          <w:rFonts w:cs="Arial"/>
          <w:bCs/>
          <w:color w:val="FF0000"/>
          <w:sz w:val="24"/>
          <w:szCs w:val="24"/>
        </w:rPr>
        <w:t>criticised</w:t>
      </w:r>
      <w:proofErr w:type="spellEnd"/>
      <w:r w:rsidRPr="00642C11">
        <w:rPr>
          <w:rFonts w:cs="Arial"/>
          <w:bCs/>
          <w:color w:val="FF0000"/>
          <w:sz w:val="24"/>
          <w:szCs w:val="24"/>
        </w:rPr>
        <w:t xml:space="preserve"> in several publications and is therefore not the most suitable to be used. In my</w:t>
      </w:r>
      <w:r w:rsidRPr="009C7703">
        <w:rPr>
          <w:rFonts w:cs="Arial"/>
          <w:bCs/>
          <w:color w:val="FF0000"/>
          <w:sz w:val="24"/>
          <w:szCs w:val="24"/>
        </w:rPr>
        <w:t xml:space="preserve">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52B8EF87" w14:textId="6CC80FC9" w:rsidR="00EF240F" w:rsidRPr="009C7703" w:rsidRDefault="007745B9" w:rsidP="00EF240F">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00EF240F" w:rsidRPr="009C7703">
        <w:rPr>
          <w:rFonts w:cs="Arial"/>
          <w:bCs/>
          <w:color w:val="FF0000"/>
          <w:sz w:val="24"/>
          <w:szCs w:val="24"/>
        </w:rPr>
        <w:t>The introduction is concise and clearly explains the gaps in knowledge of generalist natural enemies as biological control agents and why it is important to fill these ga</w:t>
      </w:r>
      <w:r w:rsidR="00EF240F" w:rsidRPr="00364FA3">
        <w:rPr>
          <w:rFonts w:cs="Arial"/>
          <w:bCs/>
          <w:color w:val="FF0000"/>
          <w:sz w:val="24"/>
          <w:szCs w:val="24"/>
        </w:rPr>
        <w:t xml:space="preserve">ps in order to increase the importance of generalist predators in biological pest control </w:t>
      </w:r>
      <w:proofErr w:type="spellStart"/>
      <w:r w:rsidR="00EF240F" w:rsidRPr="00364FA3">
        <w:rPr>
          <w:rFonts w:cs="Arial"/>
          <w:bCs/>
          <w:color w:val="FF0000"/>
          <w:sz w:val="24"/>
          <w:szCs w:val="24"/>
        </w:rPr>
        <w:t>programmes</w:t>
      </w:r>
      <w:proofErr w:type="spellEnd"/>
      <w:r w:rsidR="00EF240F" w:rsidRPr="00364FA3">
        <w:rPr>
          <w:rFonts w:cs="Arial"/>
          <w:bCs/>
          <w:color w:val="FF0000"/>
          <w:sz w:val="24"/>
          <w:szCs w:val="24"/>
        </w:rPr>
        <w:t>.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w:t>
      </w:r>
      <w:r w:rsidR="00EF240F" w:rsidRPr="009C7703">
        <w:rPr>
          <w:rFonts w:cs="Arial"/>
          <w:bCs/>
          <w:color w:val="FF0000"/>
          <w:sz w:val="24"/>
          <w:szCs w:val="24"/>
        </w:rPr>
        <w:t xml:space="preserve">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lastRenderedPageBreak/>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lastRenderedPageBreak/>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independent prey choice, taxonomy, life 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lastRenderedPageBreak/>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97E8CC6" w14:textId="77777777" w:rsidR="00404341" w:rsidRDefault="00404341" w:rsidP="00EF240F">
      <w:pPr>
        <w:rPr>
          <w:rFonts w:cs="Arial"/>
          <w:bCs/>
          <w:color w:val="FF0000"/>
          <w:sz w:val="24"/>
          <w:szCs w:val="24"/>
        </w:rPr>
      </w:pPr>
    </w:p>
    <w:p w14:paraId="7866DA1B" w14:textId="5E60CAF9" w:rsidR="00500323" w:rsidRDefault="00C45A24" w:rsidP="00500323">
      <w:pPr>
        <w:rPr>
          <w:rFonts w:cs="Arial"/>
          <w:bCs/>
          <w:color w:val="FF0000"/>
          <w:sz w:val="24"/>
          <w:szCs w:val="24"/>
        </w:rPr>
      </w:pPr>
      <w:r>
        <w:rPr>
          <w:rFonts w:cs="Arial"/>
          <w:b/>
          <w:color w:val="FF0000"/>
          <w:sz w:val="24"/>
          <w:szCs w:val="24"/>
          <w:u w:val="single"/>
        </w:rPr>
        <w:t>Comment 9</w:t>
      </w:r>
      <w:r>
        <w:rPr>
          <w:rFonts w:cs="Arial"/>
          <w:color w:val="FF0000"/>
          <w:sz w:val="24"/>
          <w:szCs w:val="24"/>
        </w:rPr>
        <w:t xml:space="preserve"> &gt; </w:t>
      </w:r>
      <w:r w:rsidR="00EF240F" w:rsidRPr="009C7703">
        <w:rPr>
          <w:rFonts w:cs="Arial"/>
          <w:bCs/>
          <w:color w:val="FF0000"/>
          <w:sz w:val="24"/>
          <w:szCs w:val="24"/>
        </w:rPr>
        <w:t xml:space="preserve">L 175-178: I acknowledge the enormous work done by the authors in collecting and </w:t>
      </w:r>
      <w:proofErr w:type="spellStart"/>
      <w:r w:rsidR="00EF240F" w:rsidRPr="009C7703">
        <w:rPr>
          <w:rFonts w:cs="Arial"/>
          <w:bCs/>
          <w:color w:val="FF0000"/>
          <w:sz w:val="24"/>
          <w:szCs w:val="24"/>
        </w:rPr>
        <w:t>analysing</w:t>
      </w:r>
      <w:proofErr w:type="spellEnd"/>
      <w:r w:rsidR="00EF240F"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00EF240F" w:rsidRPr="00373F8F">
        <w:rPr>
          <w:rFonts w:cs="Arial"/>
          <w:bCs/>
          <w:color w:val="FF0000"/>
          <w:sz w:val="24"/>
          <w:szCs w:val="24"/>
        </w:rPr>
        <w:t>,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xml:space="preserve">. This also shows the appropriateness of the mixing model as the predator data lie within the </w:t>
      </w:r>
      <w:r w:rsidR="004E60CB">
        <w:rPr>
          <w:rFonts w:eastAsiaTheme="minorEastAsia" w:cs="Arial"/>
          <w:color w:val="FF0000"/>
          <w:sz w:val="24"/>
          <w:szCs w:val="24"/>
        </w:rPr>
        <w:lastRenderedPageBreak/>
        <w:t>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524339A9" w14:textId="093E46DE" w:rsidR="00EF240F" w:rsidRPr="009C7703" w:rsidRDefault="004E60CB" w:rsidP="00EF240F">
      <w:pPr>
        <w:rPr>
          <w:rFonts w:cs="Arial"/>
          <w:bCs/>
          <w:color w:val="FF0000"/>
          <w:sz w:val="24"/>
          <w:szCs w:val="24"/>
        </w:rPr>
      </w:pPr>
      <w:r>
        <w:rPr>
          <w:rFonts w:cs="Arial"/>
          <w:b/>
          <w:color w:val="FF0000"/>
          <w:sz w:val="24"/>
          <w:szCs w:val="24"/>
          <w:u w:val="single"/>
        </w:rPr>
        <w:t>Comment 10</w:t>
      </w:r>
      <w:r>
        <w:rPr>
          <w:rFonts w:cs="Arial"/>
          <w:color w:val="FF0000"/>
          <w:sz w:val="24"/>
          <w:szCs w:val="24"/>
        </w:rPr>
        <w:t xml:space="preserve"> &gt; </w:t>
      </w:r>
      <w:r w:rsidR="00EF240F" w:rsidRPr="009C7703">
        <w:rPr>
          <w:rFonts w:cs="Arial"/>
          <w:bCs/>
          <w:color w:val="FF0000"/>
          <w:sz w:val="24"/>
          <w:szCs w:val="24"/>
        </w:rPr>
        <w:t xml:space="preserve">L 185-186: </w:t>
      </w:r>
      <w:proofErr w:type="spellStart"/>
      <w:r w:rsidR="00EF240F" w:rsidRPr="009C7703">
        <w:rPr>
          <w:rFonts w:cs="Arial"/>
          <w:bCs/>
          <w:color w:val="FF0000"/>
          <w:sz w:val="24"/>
          <w:szCs w:val="24"/>
        </w:rPr>
        <w:t>Caut</w:t>
      </w:r>
      <w:proofErr w:type="spellEnd"/>
      <w:r w:rsidR="00EF240F"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9C7703">
        <w:rPr>
          <w:rFonts w:cs="Arial"/>
          <w:bCs/>
          <w:color w:val="FF0000"/>
          <w:sz w:val="24"/>
          <w:szCs w:val="24"/>
        </w:rPr>
        <w:t>Codron</w:t>
      </w:r>
      <w:proofErr w:type="spellEnd"/>
      <w:r w:rsidR="00EF240F"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w:t>
      </w:r>
      <w:r w:rsidRPr="002C0BBC">
        <w:rPr>
          <w:rFonts w:cs="Arial"/>
          <w:bCs/>
          <w:color w:val="FF0000"/>
          <w:sz w:val="24"/>
          <w:szCs w:val="24"/>
        </w:rPr>
        <w:t>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w:t>
      </w:r>
      <w:r w:rsidRPr="009C7703">
        <w:rPr>
          <w:rFonts w:cs="Arial"/>
          <w:bCs/>
          <w:color w:val="FF0000"/>
          <w:sz w:val="24"/>
          <w:szCs w:val="24"/>
        </w:rPr>
        <w:t xml:space="preserve">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lastRenderedPageBreak/>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7C9F17EB" w14:textId="77777777" w:rsidR="009172A8" w:rsidRDefault="00857F33" w:rsidP="00EF240F">
      <w:pPr>
        <w:rPr>
          <w:rFonts w:cs="Arial"/>
          <w:bCs/>
          <w:color w:val="FF0000"/>
          <w:sz w:val="24"/>
          <w:szCs w:val="24"/>
        </w:rPr>
      </w:pPr>
      <w:r>
        <w:rPr>
          <w:rFonts w:cs="Arial"/>
          <w:bCs/>
          <w:color w:val="FF0000"/>
          <w:sz w:val="24"/>
          <w:szCs w:val="24"/>
        </w:rPr>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r w:rsidR="009172A8">
        <w:rPr>
          <w:rFonts w:cs="Arial"/>
          <w:bCs/>
          <w:color w:val="FF0000"/>
          <w:sz w:val="24"/>
          <w:szCs w:val="24"/>
        </w:rPr>
        <w:t xml:space="preserve">. </w:t>
      </w:r>
    </w:p>
    <w:p w14:paraId="6864168A" w14:textId="533B2E6B" w:rsidR="00857F33" w:rsidRDefault="009172A8" w:rsidP="00EF240F">
      <w:pPr>
        <w:rPr>
          <w:rFonts w:cs="Arial"/>
          <w:bCs/>
          <w:color w:val="FF0000"/>
          <w:sz w:val="24"/>
          <w:szCs w:val="24"/>
        </w:rPr>
      </w:pPr>
      <w:r>
        <w:rPr>
          <w:rFonts w:cs="Arial"/>
          <w:bCs/>
          <w:color w:val="FF0000"/>
          <w:sz w:val="24"/>
          <w:szCs w:val="24"/>
        </w:rPr>
        <w:t>&gt; Here, we were able to get similar results with both TDFs, suggesting the robustness of our results.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6D5A0A1C" w14:textId="77777777" w:rsidR="00787E4D" w:rsidRDefault="00787E4D">
      <w:pPr>
        <w:spacing w:after="0" w:line="240" w:lineRule="auto"/>
        <w:jc w:val="left"/>
        <w:rPr>
          <w:rFonts w:cs="Arial"/>
          <w:bCs/>
          <w:i/>
          <w:iCs/>
          <w:color w:val="FF0000"/>
          <w:sz w:val="24"/>
          <w:szCs w:val="24"/>
        </w:rPr>
      </w:pPr>
      <w:r>
        <w:rPr>
          <w:rFonts w:cs="Arial"/>
          <w:bCs/>
          <w:i/>
          <w:iCs/>
          <w:color w:val="FF0000"/>
          <w:sz w:val="24"/>
          <w:szCs w:val="24"/>
        </w:rPr>
        <w:br w:type="page"/>
      </w: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7041480C"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r w:rsidR="009172A8">
        <w:rPr>
          <w:rFonts w:cs="Arial"/>
          <w:bCs/>
          <w:color w:val="FF0000"/>
          <w:sz w:val="24"/>
          <w:szCs w:val="24"/>
        </w:rPr>
        <w:t>.</w:t>
      </w:r>
    </w:p>
    <w:p w14:paraId="4284E56D" w14:textId="77777777" w:rsidR="00FE5126" w:rsidRDefault="00FE5126" w:rsidP="00EF240F">
      <w:pPr>
        <w:rPr>
          <w:rFonts w:cs="Arial"/>
          <w:bCs/>
          <w:color w:val="FF0000"/>
          <w:sz w:val="24"/>
          <w:szCs w:val="24"/>
        </w:rPr>
      </w:pPr>
    </w:p>
    <w:p w14:paraId="068A50A2" w14:textId="3AACFE6D" w:rsidR="00EF240F" w:rsidRPr="00B5570D" w:rsidRDefault="00FE5126" w:rsidP="00EF240F">
      <w:pPr>
        <w:rPr>
          <w:rFonts w:cs="Arial"/>
          <w:bCs/>
          <w:color w:val="0070C0"/>
          <w:sz w:val="24"/>
          <w:szCs w:val="24"/>
        </w:rPr>
      </w:pPr>
      <w:r w:rsidRPr="00B5570D">
        <w:rPr>
          <w:rFonts w:cs="Arial"/>
          <w:b/>
          <w:color w:val="0070C0"/>
          <w:sz w:val="24"/>
          <w:szCs w:val="24"/>
          <w:u w:val="single"/>
        </w:rPr>
        <w:t>Comment 12</w:t>
      </w:r>
      <w:r w:rsidRPr="00B5570D">
        <w:rPr>
          <w:rFonts w:cs="Arial"/>
          <w:color w:val="0070C0"/>
          <w:sz w:val="24"/>
          <w:szCs w:val="24"/>
        </w:rPr>
        <w:t xml:space="preserve"> &gt; </w:t>
      </w:r>
      <w:r w:rsidR="00EF240F" w:rsidRPr="00B5570D">
        <w:rPr>
          <w:rFonts w:cs="Arial"/>
          <w:bCs/>
          <w:color w:val="0070C0"/>
          <w:sz w:val="24"/>
          <w:szCs w:val="24"/>
        </w:rPr>
        <w:t>It would be desirable to add the 15N vs.</w:t>
      </w:r>
      <w:r w:rsidRPr="00B5570D">
        <w:rPr>
          <w:rFonts w:cs="Arial"/>
          <w:bCs/>
          <w:color w:val="0070C0"/>
          <w:sz w:val="24"/>
          <w:szCs w:val="24"/>
        </w:rPr>
        <w:t xml:space="preserve"> </w:t>
      </w:r>
      <w:r w:rsidR="00EF240F" w:rsidRPr="00B5570D">
        <w:rPr>
          <w:rFonts w:cs="Arial"/>
          <w:bCs/>
          <w:color w:val="0070C0"/>
          <w:sz w:val="24"/>
          <w:szCs w:val="24"/>
        </w:rPr>
        <w:t>13C biplot including the convex hull defined by the sources and the position of predators used in Bayesian mixing model.</w:t>
      </w:r>
    </w:p>
    <w:p w14:paraId="6A5FE385" w14:textId="03CA6DD5" w:rsidR="00FE5126" w:rsidRPr="00B5570D" w:rsidRDefault="00FE5126" w:rsidP="00FE5126">
      <w:pPr>
        <w:rPr>
          <w:rFonts w:eastAsiaTheme="minorEastAsia" w:cs="Arial"/>
          <w:color w:val="0070C0"/>
          <w:sz w:val="24"/>
          <w:szCs w:val="24"/>
        </w:rPr>
      </w:pPr>
      <w:r w:rsidRPr="00B5570D">
        <w:rPr>
          <w:rFonts w:eastAsiaTheme="minorEastAsia" w:cs="Arial"/>
          <w:b/>
          <w:color w:val="0070C0"/>
          <w:sz w:val="24"/>
          <w:szCs w:val="24"/>
          <w:u w:val="single"/>
        </w:rPr>
        <w:t>Response 12</w:t>
      </w:r>
      <w:r w:rsidRPr="00B5570D">
        <w:rPr>
          <w:rFonts w:eastAsiaTheme="minorEastAsia" w:cs="Arial"/>
          <w:b/>
          <w:color w:val="0070C0"/>
          <w:sz w:val="24"/>
          <w:szCs w:val="24"/>
        </w:rPr>
        <w:t xml:space="preserve"> </w:t>
      </w:r>
      <w:r w:rsidRPr="00B5570D">
        <w:rPr>
          <w:rFonts w:eastAsiaTheme="minorEastAsia" w:cs="Arial"/>
          <w:color w:val="0070C0"/>
          <w:sz w:val="24"/>
          <w:szCs w:val="24"/>
        </w:rPr>
        <w:t xml:space="preserve">&gt; </w:t>
      </w:r>
    </w:p>
    <w:p w14:paraId="0C84AAF5" w14:textId="0C5E03B7" w:rsidR="00FE5126" w:rsidRPr="00B5570D" w:rsidRDefault="00FE5126" w:rsidP="00EF240F">
      <w:pPr>
        <w:rPr>
          <w:rFonts w:cs="Arial"/>
          <w:bCs/>
          <w:color w:val="0070C0"/>
          <w:sz w:val="24"/>
          <w:szCs w:val="24"/>
        </w:rPr>
      </w:pPr>
      <w:r w:rsidRPr="00B5570D">
        <w:rPr>
          <w:rFonts w:cs="Arial"/>
          <w:bCs/>
          <w:color w:val="0070C0"/>
          <w:sz w:val="24"/>
          <w:szCs w:val="24"/>
        </w:rPr>
        <w:t xml:space="preserve">&gt; </w:t>
      </w:r>
      <w:r w:rsidR="00764493" w:rsidRPr="00B5570D">
        <w:rPr>
          <w:rFonts w:cs="Arial"/>
          <w:bCs/>
          <w:color w:val="0070C0"/>
          <w:sz w:val="24"/>
          <w:szCs w:val="24"/>
        </w:rPr>
        <w:t>Update the SI</w:t>
      </w:r>
      <w:r w:rsidRPr="00B5570D">
        <w:rPr>
          <w:rFonts w:cs="Arial"/>
          <w:bCs/>
          <w:color w:val="0070C0"/>
          <w:sz w:val="24"/>
          <w:szCs w:val="24"/>
        </w:rPr>
        <w:t xml:space="preserve"> biplot in the supplementary </w:t>
      </w:r>
      <w:r w:rsidR="00764493" w:rsidRPr="00B5570D">
        <w:rPr>
          <w:rFonts w:cs="Arial"/>
          <w:bCs/>
          <w:color w:val="0070C0"/>
          <w:sz w:val="24"/>
          <w:szCs w:val="24"/>
        </w:rPr>
        <w:t>information.</w:t>
      </w:r>
    </w:p>
    <w:p w14:paraId="6F7CC534" w14:textId="77777777" w:rsidR="00FE5126" w:rsidRDefault="00FE5126" w:rsidP="00EF240F">
      <w:pPr>
        <w:rPr>
          <w:rFonts w:cs="Arial"/>
          <w:bCs/>
          <w:color w:val="FF0000"/>
          <w:sz w:val="24"/>
          <w:szCs w:val="24"/>
        </w:rPr>
      </w:pPr>
    </w:p>
    <w:p w14:paraId="2621A644" w14:textId="77777777" w:rsidR="006B670E" w:rsidRDefault="006B670E">
      <w:pPr>
        <w:spacing w:after="0" w:line="240" w:lineRule="auto"/>
        <w:jc w:val="left"/>
        <w:rPr>
          <w:rFonts w:cs="Arial"/>
          <w:b/>
          <w:color w:val="FF0000"/>
          <w:sz w:val="24"/>
          <w:szCs w:val="24"/>
          <w:u w:val="single"/>
        </w:rPr>
      </w:pPr>
      <w:r>
        <w:rPr>
          <w:rFonts w:cs="Arial"/>
          <w:b/>
          <w:color w:val="FF0000"/>
          <w:sz w:val="24"/>
          <w:szCs w:val="24"/>
          <w:u w:val="single"/>
        </w:rPr>
        <w:br w:type="page"/>
      </w:r>
    </w:p>
    <w:p w14:paraId="03440D07" w14:textId="155983CA" w:rsidR="00EF240F" w:rsidRPr="000D74C1" w:rsidRDefault="00FE5126" w:rsidP="00EF240F">
      <w:pPr>
        <w:rPr>
          <w:rFonts w:cs="Arial"/>
          <w:bCs/>
          <w:sz w:val="24"/>
          <w:szCs w:val="24"/>
        </w:rPr>
      </w:pPr>
      <w:r w:rsidRPr="000D74C1">
        <w:rPr>
          <w:rFonts w:cs="Arial"/>
          <w:b/>
          <w:sz w:val="24"/>
          <w:szCs w:val="24"/>
          <w:u w:val="single"/>
        </w:rPr>
        <w:lastRenderedPageBreak/>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 xml:space="preserve">s Reviewer 2 </w:t>
      </w:r>
      <w:r w:rsidR="000D74C1" w:rsidRPr="000D74C1">
        <w:rPr>
          <w:rFonts w:cs="Arial"/>
          <w:bCs/>
          <w:sz w:val="24"/>
          <w:szCs w:val="24"/>
        </w:rPr>
        <w:t>requested</w:t>
      </w:r>
      <w:r w:rsidR="000D74C1" w:rsidRPr="000D74C1">
        <w:rPr>
          <w:rFonts w:cs="Arial"/>
          <w:bCs/>
          <w:sz w:val="24"/>
          <w:szCs w:val="24"/>
        </w:rPr>
        <w:t>, we have</w:t>
      </w:r>
      <w:r w:rsidR="00DE4D77">
        <w:rPr>
          <w:rFonts w:cs="Arial"/>
          <w:bCs/>
          <w:sz w:val="24"/>
          <w:szCs w:val="24"/>
        </w:rPr>
        <w:t xml:space="preserve"> now</w:t>
      </w:r>
      <w:r w:rsidR="000D74C1" w:rsidRPr="000D74C1">
        <w:rPr>
          <w:rFonts w:cs="Arial"/>
          <w:bCs/>
          <w:sz w:val="24"/>
          <w:szCs w:val="24"/>
        </w:rPr>
        <w:t xml:space="preserve"> included </w:t>
      </w:r>
      <w:r w:rsidR="000D74C1" w:rsidRPr="000D74C1">
        <w:rPr>
          <w:rFonts w:cs="Arial"/>
          <w:bCs/>
          <w:sz w:val="24"/>
          <w:szCs w:val="24"/>
        </w:rPr>
        <w:t>an additional</w:t>
      </w:r>
      <w:r w:rsidR="000D74C1" w:rsidRPr="000D74C1">
        <w:rPr>
          <w:rFonts w:cs="Arial"/>
          <w:bCs/>
          <w:sz w:val="24"/>
          <w:szCs w:val="24"/>
        </w:rPr>
        <w:t xml:space="preserve"> analysis on the effects of year, farm type, crop stage, and percent forest cover on</w:t>
      </w:r>
      <w:r w:rsidR="000D74C1" w:rsidRPr="000D74C1">
        <w:rPr>
          <w:rFonts w:cs="Arial"/>
          <w:bCs/>
          <w:sz w:val="24"/>
          <w:szCs w:val="24"/>
        </w:rPr>
        <w:t xml:space="preserve"> the</w:t>
      </w:r>
      <w:r w:rsidR="000D74C1" w:rsidRPr="000D74C1">
        <w:rPr>
          <w:rFonts w:cs="Arial"/>
          <w:bCs/>
          <w:sz w:val="24"/>
          <w:szCs w:val="24"/>
        </w:rPr>
        <w:t xml:space="preserve"> predator and rice</w:t>
      </w:r>
      <w:r w:rsidR="00AB1226">
        <w:rPr>
          <w:rFonts w:cs="Arial"/>
          <w:bCs/>
          <w:sz w:val="24"/>
          <w:szCs w:val="24"/>
        </w:rPr>
        <w:t xml:space="preserve"> (pest)</w:t>
      </w:r>
      <w:r w:rsidR="000D74C1" w:rsidRPr="000D74C1">
        <w:rPr>
          <w:rFonts w:cs="Arial"/>
          <w:bCs/>
          <w:sz w:val="24"/>
          <w:szCs w:val="24"/>
        </w:rPr>
        <w:t xml:space="preserve"> herbivore abundance</w:t>
      </w:r>
      <w:r w:rsidR="000D74C1" w:rsidRPr="000D74C1">
        <w:rPr>
          <w:rFonts w:cs="Arial"/>
          <w:bCs/>
          <w:sz w:val="24"/>
          <w:szCs w:val="24"/>
        </w:rPr>
        <w:t xml:space="preserve"> in the field</w:t>
      </w:r>
      <w:r w:rsidR="000D74C1" w:rsidRPr="000D74C1">
        <w:rPr>
          <w:rFonts w:cs="Arial"/>
          <w:bCs/>
          <w:sz w:val="24"/>
          <w:szCs w:val="24"/>
        </w:rPr>
        <w:t xml:space="preserve"> (</w:t>
      </w:r>
      <w:r w:rsidR="000D74C1" w:rsidRPr="000D74C1">
        <w:rPr>
          <w:rFonts w:cs="Arial"/>
          <w:bCs/>
          <w:color w:val="FF0000"/>
          <w:sz w:val="24"/>
          <w:szCs w:val="24"/>
        </w:rPr>
        <w:t>line XXX</w:t>
      </w:r>
      <w:r w:rsidR="000D74C1" w:rsidRPr="000D74C1">
        <w:rPr>
          <w:rFonts w:cs="Arial"/>
          <w:bCs/>
          <w:color w:val="FF0000"/>
          <w:sz w:val="24"/>
          <w:szCs w:val="24"/>
        </w:rPr>
        <w:t xml:space="preserve"> and XXX</w:t>
      </w:r>
      <w:r w:rsidR="000D74C1" w:rsidRPr="000D74C1">
        <w:rPr>
          <w:rFonts w:cs="Arial"/>
          <w:bCs/>
          <w:color w:val="FF0000"/>
          <w:sz w:val="24"/>
          <w:szCs w:val="24"/>
        </w:rPr>
        <w:t>; Table S</w:t>
      </w:r>
      <w:r w:rsidR="000D74C1" w:rsidRPr="000D74C1">
        <w:rPr>
          <w:rFonts w:cs="Arial"/>
          <w:bCs/>
          <w:color w:val="FF0000"/>
          <w:sz w:val="24"/>
          <w:szCs w:val="24"/>
        </w:rPr>
        <w:t>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The</w:t>
      </w:r>
      <w:r w:rsidR="000D74C1" w:rsidRPr="000D74C1">
        <w:rPr>
          <w:rFonts w:cs="Arial"/>
          <w:bCs/>
          <w:sz w:val="24"/>
          <w:szCs w:val="24"/>
        </w:rPr>
        <w:t xml:space="preserve"> 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w:t>
      </w:r>
      <w:r w:rsidR="000D74C1" w:rsidRPr="000D74C1">
        <w:rPr>
          <w:rFonts w:cs="Arial"/>
          <w:bCs/>
          <w:color w:val="FF0000"/>
          <w:sz w:val="24"/>
          <w:szCs w:val="24"/>
        </w:rPr>
        <w:t>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w:t>
      </w:r>
      <w:r w:rsidR="004C6451" w:rsidRPr="0072154B">
        <w:rPr>
          <w:rFonts w:cs="Arial"/>
          <w:bCs/>
          <w:sz w:val="24"/>
          <w:szCs w:val="24"/>
        </w:rPr>
        <w:t>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00EF240F" w:rsidRPr="003E2FF1">
        <w:rPr>
          <w:rFonts w:cs="Arial"/>
          <w:bCs/>
          <w:sz w:val="24"/>
          <w:szCs w:val="24"/>
        </w:rPr>
        <w:lastRenderedPageBreak/>
        <w:t>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w:t>
      </w:r>
      <w:r w:rsidR="003E2FF1" w:rsidRPr="00ED47D2">
        <w:rPr>
          <w:rFonts w:eastAsiaTheme="minorEastAsia" w:cs="Arial"/>
          <w:sz w:val="24"/>
          <w:szCs w:val="24"/>
        </w:rPr>
        <w:t xml:space="preserve">our main focus is on diet composition and pest consumption by </w:t>
      </w:r>
      <w:r w:rsidR="003E2FF1" w:rsidRPr="00F706AC">
        <w:rPr>
          <w:rFonts w:eastAsiaTheme="minorEastAsia" w:cs="Arial"/>
          <w:sz w:val="24"/>
          <w:szCs w:val="24"/>
        </w:rPr>
        <w:t>predators</w:t>
      </w:r>
      <w:r w:rsidR="003E2FF1" w:rsidRPr="00F706AC">
        <w:rPr>
          <w:rFonts w:eastAsiaTheme="minorEastAsia" w:cs="Arial"/>
          <w:sz w:val="24"/>
          <w:szCs w:val="24"/>
        </w:rPr>
        <w:t xml:space="preserve">.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w:t>
      </w:r>
      <w:proofErr w:type="spellStart"/>
      <w:r w:rsidR="00EF240F" w:rsidRPr="009C7703">
        <w:rPr>
          <w:rFonts w:cs="Arial"/>
          <w:bCs/>
          <w:color w:val="FF0000"/>
          <w:sz w:val="24"/>
          <w:szCs w:val="24"/>
        </w:rPr>
        <w:t>analysed</w:t>
      </w:r>
      <w:proofErr w:type="spellEnd"/>
      <w:r w:rsidR="00EF240F"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7777777" w:rsidR="0060329D" w:rsidRDefault="0060329D" w:rsidP="0060329D">
      <w:pPr>
        <w:rPr>
          <w:rFonts w:cs="Arial"/>
          <w:bCs/>
          <w:color w:val="FF0000"/>
          <w:sz w:val="24"/>
          <w:szCs w:val="24"/>
        </w:rPr>
      </w:pPr>
      <w:r>
        <w:rPr>
          <w:rFonts w:cs="Arial"/>
          <w:bCs/>
          <w:color w:val="FF0000"/>
          <w:sz w:val="24"/>
          <w:szCs w:val="24"/>
        </w:rPr>
        <w:t>&gt; Show the results of both DDDF and TDFs and see if they differ.</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20DC79C9" w14:textId="7B095060" w:rsidR="00EF240F" w:rsidRPr="009F0890" w:rsidRDefault="006E074F" w:rsidP="00EF240F">
      <w:pPr>
        <w:rPr>
          <w:rFonts w:cs="Arial"/>
          <w:bCs/>
          <w:color w:val="0070C0"/>
          <w:sz w:val="24"/>
          <w:szCs w:val="24"/>
        </w:rPr>
      </w:pPr>
      <w:r w:rsidRPr="009F0890">
        <w:rPr>
          <w:rFonts w:cs="Arial"/>
          <w:b/>
          <w:color w:val="0070C0"/>
          <w:sz w:val="24"/>
          <w:szCs w:val="24"/>
          <w:u w:val="single"/>
        </w:rPr>
        <w:t>Comment 16</w:t>
      </w:r>
      <w:r w:rsidRPr="009F0890">
        <w:rPr>
          <w:rFonts w:cs="Arial"/>
          <w:color w:val="0070C0"/>
          <w:sz w:val="24"/>
          <w:szCs w:val="24"/>
        </w:rPr>
        <w:t xml:space="preserve"> &gt; </w:t>
      </w:r>
      <w:r w:rsidR="00EF240F" w:rsidRPr="009F0890">
        <w:rPr>
          <w:rFonts w:cs="Arial"/>
          <w:bCs/>
          <w:color w:val="0070C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00EF240F" w:rsidRPr="009F0890">
        <w:rPr>
          <w:rFonts w:cs="Arial"/>
          <w:bCs/>
          <w:color w:val="0070C0"/>
          <w:sz w:val="24"/>
          <w:szCs w:val="24"/>
        </w:rPr>
        <w:t>specialisation</w:t>
      </w:r>
      <w:proofErr w:type="spellEnd"/>
      <w:r w:rsidR="00EF240F" w:rsidRPr="009F0890">
        <w:rPr>
          <w:rFonts w:cs="Arial"/>
          <w:bCs/>
          <w:color w:val="0070C0"/>
          <w:sz w:val="24"/>
          <w:szCs w:val="24"/>
        </w:rPr>
        <w:t xml:space="preserve"> by generalist predators if they do not know the density of prey taxa in the crop. Perhaps they only feed on pests because that is all that is available. A simple way to do this would be to compare the densities of </w:t>
      </w:r>
      <w:r w:rsidR="00EF240F" w:rsidRPr="009F0890">
        <w:rPr>
          <w:rFonts w:cs="Arial"/>
          <w:bCs/>
          <w:color w:val="0070C0"/>
          <w:sz w:val="24"/>
          <w:szCs w:val="24"/>
        </w:rPr>
        <w:lastRenderedPageBreak/>
        <w:t>herbivores (the same ones that have been included in the stable isotope analysis) in the two crops and thus be able to resolve some of the reasons why this may be happening.</w:t>
      </w:r>
    </w:p>
    <w:p w14:paraId="6D89751D" w14:textId="77777777" w:rsidR="00982D1A" w:rsidRPr="009F0890" w:rsidRDefault="00982D1A" w:rsidP="00982D1A">
      <w:pPr>
        <w:rPr>
          <w:rFonts w:cs="Arial"/>
          <w:bCs/>
          <w:color w:val="0070C0"/>
          <w:sz w:val="24"/>
          <w:szCs w:val="24"/>
        </w:rPr>
      </w:pPr>
      <w:r w:rsidRPr="009F0890">
        <w:rPr>
          <w:rFonts w:cs="Arial"/>
          <w:bCs/>
          <w:color w:val="0070C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Pr="009F0890" w:rsidRDefault="006E074F" w:rsidP="006E074F">
      <w:pPr>
        <w:rPr>
          <w:rFonts w:eastAsiaTheme="minorEastAsia" w:cs="Arial"/>
          <w:color w:val="0070C0"/>
          <w:sz w:val="24"/>
          <w:szCs w:val="24"/>
        </w:rPr>
      </w:pPr>
      <w:r w:rsidRPr="009F0890">
        <w:rPr>
          <w:rFonts w:eastAsiaTheme="minorEastAsia" w:cs="Arial"/>
          <w:b/>
          <w:color w:val="0070C0"/>
          <w:sz w:val="24"/>
          <w:szCs w:val="24"/>
          <w:u w:val="single"/>
        </w:rPr>
        <w:t>Response 16</w:t>
      </w:r>
      <w:r w:rsidRPr="009F0890">
        <w:rPr>
          <w:rFonts w:eastAsiaTheme="minorEastAsia" w:cs="Arial"/>
          <w:b/>
          <w:color w:val="0070C0"/>
          <w:sz w:val="24"/>
          <w:szCs w:val="24"/>
        </w:rPr>
        <w:t xml:space="preserve"> </w:t>
      </w:r>
      <w:r w:rsidRPr="009F0890">
        <w:rPr>
          <w:rFonts w:eastAsiaTheme="minorEastAsia" w:cs="Arial"/>
          <w:color w:val="0070C0"/>
          <w:sz w:val="24"/>
          <w:szCs w:val="24"/>
        </w:rPr>
        <w:t xml:space="preserve">&gt; </w:t>
      </w:r>
    </w:p>
    <w:p w14:paraId="1C52B3C9" w14:textId="46FFC572" w:rsidR="006E074F" w:rsidRPr="009F0890" w:rsidRDefault="006E074F" w:rsidP="006E074F">
      <w:pPr>
        <w:rPr>
          <w:rFonts w:cs="Arial"/>
          <w:bCs/>
          <w:color w:val="0070C0"/>
          <w:sz w:val="24"/>
          <w:szCs w:val="24"/>
        </w:rPr>
      </w:pPr>
      <w:r w:rsidRPr="009F0890">
        <w:rPr>
          <w:rFonts w:cs="Arial"/>
          <w:bCs/>
          <w:color w:val="0070C0"/>
          <w:sz w:val="24"/>
          <w:szCs w:val="24"/>
        </w:rPr>
        <w:t xml:space="preserve">&gt; Good suggestion and </w:t>
      </w:r>
      <w:r w:rsidR="001216F7" w:rsidRPr="009F0890">
        <w:rPr>
          <w:rFonts w:cs="Arial"/>
          <w:bCs/>
          <w:color w:val="0070C0"/>
          <w:sz w:val="24"/>
          <w:szCs w:val="24"/>
        </w:rPr>
        <w:t xml:space="preserve">we have </w:t>
      </w:r>
      <w:r w:rsidRPr="009F0890">
        <w:rPr>
          <w:rFonts w:cs="Arial"/>
          <w:bCs/>
          <w:color w:val="0070C0"/>
          <w:sz w:val="24"/>
          <w:szCs w:val="24"/>
        </w:rPr>
        <w:t>compare</w:t>
      </w:r>
      <w:r w:rsidR="001216F7" w:rsidRPr="009F0890">
        <w:rPr>
          <w:rFonts w:cs="Arial"/>
          <w:bCs/>
          <w:color w:val="0070C0"/>
          <w:sz w:val="24"/>
          <w:szCs w:val="24"/>
        </w:rPr>
        <w:t>d</w:t>
      </w:r>
      <w:r w:rsidRPr="009F0890">
        <w:rPr>
          <w:rFonts w:cs="Arial"/>
          <w:bCs/>
          <w:color w:val="0070C0"/>
          <w:sz w:val="24"/>
          <w:szCs w:val="24"/>
        </w:rPr>
        <w:t xml:space="preserve"> the rice herbivore abundance between organic and conventional farms</w:t>
      </w:r>
      <w:r w:rsidR="001216F7" w:rsidRPr="009F0890">
        <w:rPr>
          <w:rFonts w:cs="Arial"/>
          <w:bCs/>
          <w:color w:val="0070C0"/>
          <w:sz w:val="24"/>
          <w:szCs w:val="24"/>
        </w:rPr>
        <w:t>. The results suggest that rice herbivore abundance did not differ significantly between the two farm type</w:t>
      </w:r>
      <w:r w:rsidR="00915D6D" w:rsidRPr="009F0890">
        <w:rPr>
          <w:rFonts w:cs="Arial"/>
          <w:bCs/>
          <w:color w:val="0070C0"/>
          <w:sz w:val="24"/>
          <w:szCs w:val="24"/>
        </w:rPr>
        <w:t>, although it does seem to be higher in conventional farms</w:t>
      </w:r>
      <w:r w:rsidR="001216F7" w:rsidRPr="009F0890">
        <w:rPr>
          <w:rFonts w:cs="Arial"/>
          <w:bCs/>
          <w:color w:val="0070C0"/>
          <w:sz w:val="24"/>
          <w:szCs w:val="24"/>
        </w:rPr>
        <w:t xml:space="preserve">. Therefore, the higher pest consumption in conventional farms may </w:t>
      </w:r>
      <w:r w:rsidR="00915D6D" w:rsidRPr="009F0890">
        <w:rPr>
          <w:rFonts w:cs="Arial"/>
          <w:bCs/>
          <w:color w:val="0070C0"/>
          <w:sz w:val="24"/>
          <w:szCs w:val="24"/>
        </w:rPr>
        <w:t xml:space="preserve">potentially be related to </w:t>
      </w:r>
      <w:r w:rsidR="001216F7" w:rsidRPr="009F0890">
        <w:rPr>
          <w:rFonts w:cs="Arial"/>
          <w:bCs/>
          <w:color w:val="0070C0"/>
          <w:sz w:val="24"/>
          <w:szCs w:val="24"/>
        </w:rPr>
        <w:t>pest availability</w:t>
      </w:r>
      <w:r w:rsidR="00915D6D" w:rsidRPr="009F0890">
        <w:rPr>
          <w:rFonts w:cs="Arial"/>
          <w:bCs/>
          <w:color w:val="0070C0"/>
          <w:sz w:val="24"/>
          <w:szCs w:val="24"/>
        </w:rPr>
        <w:t xml:space="preserve">, but other factors (which we did not examine in this study) might also play a role </w:t>
      </w:r>
    </w:p>
    <w:p w14:paraId="478C9F2C" w14:textId="57FDF46D" w:rsidR="00982D1A" w:rsidRPr="009F0890" w:rsidRDefault="00982D1A" w:rsidP="006E074F">
      <w:pPr>
        <w:rPr>
          <w:rFonts w:cs="Arial"/>
          <w:bCs/>
          <w:color w:val="0070C0"/>
          <w:sz w:val="24"/>
          <w:szCs w:val="24"/>
        </w:rPr>
      </w:pPr>
      <w:r w:rsidRPr="009F0890">
        <w:rPr>
          <w:rFonts w:cs="Arial"/>
          <w:bCs/>
          <w:color w:val="0070C0"/>
          <w:sz w:val="24"/>
          <w:szCs w:val="24"/>
        </w:rPr>
        <w:t xml:space="preserve">&gt; </w:t>
      </w:r>
      <w:r w:rsidR="001216F7" w:rsidRPr="009F0890">
        <w:rPr>
          <w:rFonts w:cs="Arial"/>
          <w:bCs/>
          <w:color w:val="0070C0"/>
          <w:sz w:val="24"/>
          <w:szCs w:val="24"/>
        </w:rPr>
        <w:t>We also mentioned</w:t>
      </w:r>
      <w:r w:rsidRPr="009F0890">
        <w:rPr>
          <w:rFonts w:cs="Arial"/>
          <w:bCs/>
          <w:color w:val="0070C0"/>
          <w:sz w:val="24"/>
          <w:szCs w:val="24"/>
        </w:rPr>
        <w:t xml:space="preserve"> the role of GAPs in organic farms</w:t>
      </w:r>
    </w:p>
    <w:p w14:paraId="0BED22E6" w14:textId="77777777" w:rsidR="006E074F" w:rsidRDefault="006E074F" w:rsidP="006E074F">
      <w:pPr>
        <w:rPr>
          <w:rFonts w:cs="Arial"/>
          <w:b/>
          <w:color w:val="FF0000"/>
          <w:sz w:val="24"/>
          <w:szCs w:val="24"/>
          <w:u w:val="single"/>
        </w:rPr>
      </w:pPr>
    </w:p>
    <w:p w14:paraId="2E6123C6" w14:textId="7AC970FE" w:rsidR="00EF240F" w:rsidRPr="004234E0" w:rsidRDefault="006E074F" w:rsidP="001E3277">
      <w:pPr>
        <w:tabs>
          <w:tab w:val="left" w:pos="3409"/>
        </w:tabs>
        <w:rPr>
          <w:rFonts w:cs="Arial"/>
          <w:bCs/>
          <w:color w:val="0070C0"/>
          <w:sz w:val="24"/>
          <w:szCs w:val="24"/>
        </w:rPr>
      </w:pPr>
      <w:r w:rsidRPr="004234E0">
        <w:rPr>
          <w:rFonts w:cs="Arial"/>
          <w:b/>
          <w:color w:val="0070C0"/>
          <w:sz w:val="24"/>
          <w:szCs w:val="24"/>
          <w:u w:val="single"/>
        </w:rPr>
        <w:t>Comment 1</w:t>
      </w:r>
      <w:r w:rsidR="00982D1A" w:rsidRPr="004234E0">
        <w:rPr>
          <w:rFonts w:cs="Arial"/>
          <w:b/>
          <w:color w:val="0070C0"/>
          <w:sz w:val="24"/>
          <w:szCs w:val="24"/>
          <w:u w:val="single"/>
        </w:rPr>
        <w:t>7</w:t>
      </w:r>
      <w:r w:rsidRPr="004234E0">
        <w:rPr>
          <w:rFonts w:cs="Arial"/>
          <w:color w:val="0070C0"/>
          <w:sz w:val="24"/>
          <w:szCs w:val="24"/>
        </w:rPr>
        <w:t xml:space="preserve"> &gt; </w:t>
      </w:r>
      <w:r w:rsidR="00EF240F" w:rsidRPr="004234E0">
        <w:rPr>
          <w:rFonts w:cs="Arial"/>
          <w:bCs/>
          <w:color w:val="0070C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4234E0">
        <w:rPr>
          <w:rFonts w:cs="Arial"/>
          <w:bCs/>
          <w:color w:val="0070C0"/>
          <w:sz w:val="24"/>
          <w:szCs w:val="24"/>
        </w:rPr>
        <w:t>favouring</w:t>
      </w:r>
      <w:proofErr w:type="spellEnd"/>
      <w:r w:rsidR="00EF240F" w:rsidRPr="004234E0">
        <w:rPr>
          <w:rFonts w:cs="Arial"/>
          <w:bCs/>
          <w:color w:val="0070C0"/>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77E4E020" w14:textId="71DAC921" w:rsidR="00344B1A" w:rsidRPr="004234E0" w:rsidRDefault="00344B1A" w:rsidP="00344B1A">
      <w:pPr>
        <w:rPr>
          <w:rFonts w:eastAsiaTheme="minorEastAsia" w:cs="Arial"/>
          <w:color w:val="0070C0"/>
          <w:sz w:val="24"/>
          <w:szCs w:val="24"/>
        </w:rPr>
      </w:pPr>
      <w:r w:rsidRPr="004234E0">
        <w:rPr>
          <w:rFonts w:eastAsiaTheme="minorEastAsia" w:cs="Arial"/>
          <w:b/>
          <w:color w:val="0070C0"/>
          <w:sz w:val="24"/>
          <w:szCs w:val="24"/>
          <w:u w:val="single"/>
        </w:rPr>
        <w:t>Response 17</w:t>
      </w:r>
      <w:r w:rsidRPr="004234E0">
        <w:rPr>
          <w:rFonts w:eastAsiaTheme="minorEastAsia" w:cs="Arial"/>
          <w:b/>
          <w:color w:val="0070C0"/>
          <w:sz w:val="24"/>
          <w:szCs w:val="24"/>
        </w:rPr>
        <w:t xml:space="preserve"> </w:t>
      </w:r>
      <w:r w:rsidRPr="004234E0">
        <w:rPr>
          <w:rFonts w:eastAsiaTheme="minorEastAsia" w:cs="Arial"/>
          <w:color w:val="0070C0"/>
          <w:sz w:val="24"/>
          <w:szCs w:val="24"/>
        </w:rPr>
        <w:t xml:space="preserve">&gt; </w:t>
      </w:r>
    </w:p>
    <w:p w14:paraId="4836D2DA" w14:textId="631D575F" w:rsidR="000172AF" w:rsidRPr="004234E0" w:rsidRDefault="00B95334" w:rsidP="00EF240F">
      <w:pPr>
        <w:rPr>
          <w:rFonts w:cs="Arial"/>
          <w:bCs/>
          <w:color w:val="0070C0"/>
          <w:sz w:val="24"/>
          <w:szCs w:val="24"/>
        </w:rPr>
      </w:pPr>
      <w:r w:rsidRPr="004234E0">
        <w:rPr>
          <w:rFonts w:cs="Arial"/>
          <w:bCs/>
          <w:color w:val="0070C0"/>
          <w:sz w:val="24"/>
          <w:szCs w:val="24"/>
        </w:rPr>
        <w:lastRenderedPageBreak/>
        <w:t xml:space="preserve">&gt; We agree that although landscape factor does not affect per capita interaction strength, it can potentially </w:t>
      </w:r>
      <w:r w:rsidR="001E3277" w:rsidRPr="004234E0">
        <w:rPr>
          <w:rFonts w:cs="Arial"/>
          <w:bCs/>
          <w:color w:val="0070C0"/>
          <w:sz w:val="24"/>
          <w:szCs w:val="24"/>
        </w:rPr>
        <w:t xml:space="preserve">alter </w:t>
      </w:r>
      <w:r w:rsidR="001E3277" w:rsidRPr="004234E0">
        <w:rPr>
          <w:rFonts w:cs="Arial"/>
          <w:bCs/>
          <w:color w:val="0070C0"/>
          <w:sz w:val="24"/>
          <w:szCs w:val="24"/>
        </w:rPr>
        <w:t>other aspects of predator prey interactions and migration and dispersal</w:t>
      </w:r>
      <w:r w:rsidR="001E3277" w:rsidRPr="004234E0">
        <w:rPr>
          <w:rFonts w:cs="Arial"/>
          <w:bCs/>
          <w:color w:val="0070C0"/>
          <w:sz w:val="24"/>
          <w:szCs w:val="24"/>
        </w:rPr>
        <w:t xml:space="preserve"> and </w:t>
      </w:r>
      <w:r w:rsidRPr="004234E0">
        <w:rPr>
          <w:rFonts w:cs="Arial"/>
          <w:bCs/>
          <w:color w:val="0070C0"/>
          <w:sz w:val="24"/>
          <w:szCs w:val="24"/>
        </w:rPr>
        <w:t>predator-prey population dynamics by providing spatial refuge</w:t>
      </w:r>
      <w:r w:rsidR="0000510C" w:rsidRPr="004234E0">
        <w:rPr>
          <w:rFonts w:cs="Arial"/>
          <w:bCs/>
          <w:color w:val="0070C0"/>
          <w:sz w:val="24"/>
          <w:szCs w:val="24"/>
        </w:rPr>
        <w:t xml:space="preserve"> (citation)</w:t>
      </w:r>
      <w:r w:rsidRPr="004234E0">
        <w:rPr>
          <w:rFonts w:cs="Arial"/>
          <w:bCs/>
          <w:color w:val="0070C0"/>
          <w:sz w:val="24"/>
          <w:szCs w:val="24"/>
        </w:rPr>
        <w:t>, thereby influencing pest control efficacy by GAPs. We have added this in the discussion</w:t>
      </w:r>
      <w:r w:rsidR="001E3277" w:rsidRPr="004234E0">
        <w:rPr>
          <w:rFonts w:cs="Arial"/>
          <w:bCs/>
          <w:color w:val="0070C0"/>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B82C53" w:rsidRDefault="00EF240F" w:rsidP="00EF240F">
      <w:pPr>
        <w:rPr>
          <w:rFonts w:cs="Arial"/>
          <w:bCs/>
          <w:i/>
          <w:iCs/>
          <w:color w:val="0070C0"/>
          <w:sz w:val="24"/>
          <w:szCs w:val="24"/>
        </w:rPr>
      </w:pPr>
      <w:r w:rsidRPr="00B82C53">
        <w:rPr>
          <w:rFonts w:cs="Arial"/>
          <w:bCs/>
          <w:i/>
          <w:iCs/>
          <w:color w:val="0070C0"/>
          <w:sz w:val="24"/>
          <w:szCs w:val="24"/>
        </w:rPr>
        <w:t>Appendix A</w:t>
      </w:r>
    </w:p>
    <w:p w14:paraId="485A0155" w14:textId="4D4410D2" w:rsidR="00EF240F" w:rsidRPr="00B82C53" w:rsidRDefault="00764EFD" w:rsidP="00EF240F">
      <w:pPr>
        <w:rPr>
          <w:rFonts w:cs="Arial"/>
          <w:bCs/>
          <w:color w:val="0070C0"/>
          <w:sz w:val="24"/>
          <w:szCs w:val="24"/>
        </w:rPr>
      </w:pPr>
      <w:r w:rsidRPr="00B82C53">
        <w:rPr>
          <w:rFonts w:cs="Arial"/>
          <w:b/>
          <w:color w:val="0070C0"/>
          <w:sz w:val="24"/>
          <w:szCs w:val="24"/>
          <w:u w:val="single"/>
        </w:rPr>
        <w:t>Comment 18</w:t>
      </w:r>
      <w:r w:rsidRPr="00B82C53">
        <w:rPr>
          <w:rFonts w:cs="Arial"/>
          <w:color w:val="0070C0"/>
          <w:sz w:val="24"/>
          <w:szCs w:val="24"/>
        </w:rPr>
        <w:t xml:space="preserve"> &gt; </w:t>
      </w:r>
      <w:r w:rsidR="00EF240F" w:rsidRPr="00B82C53">
        <w:rPr>
          <w:rFonts w:cs="Arial"/>
          <w:bCs/>
          <w:color w:val="0070C0"/>
          <w:sz w:val="24"/>
          <w:szCs w:val="24"/>
        </w:rPr>
        <w:t>Table S3: It would be interesting to separate the abundance data by cropping regime and by the classification of guilds done in the manuscript: rice herbivores, tourist herbivores and detritivore.</w:t>
      </w:r>
    </w:p>
    <w:p w14:paraId="10C4A904" w14:textId="47833F1F" w:rsidR="00764EFD" w:rsidRPr="00B82C53" w:rsidRDefault="00764EFD" w:rsidP="00EF240F">
      <w:pPr>
        <w:rPr>
          <w:rFonts w:eastAsiaTheme="minorEastAsia" w:cs="Arial" w:hint="eastAsia"/>
          <w:color w:val="0070C0"/>
          <w:sz w:val="24"/>
          <w:szCs w:val="24"/>
        </w:rPr>
      </w:pPr>
      <w:r w:rsidRPr="00B82C53">
        <w:rPr>
          <w:rFonts w:eastAsiaTheme="minorEastAsia" w:cs="Arial"/>
          <w:b/>
          <w:color w:val="0070C0"/>
          <w:sz w:val="24"/>
          <w:szCs w:val="24"/>
          <w:u w:val="single"/>
        </w:rPr>
        <w:t>Response 18</w:t>
      </w:r>
      <w:r w:rsidRPr="00B82C53">
        <w:rPr>
          <w:rFonts w:eastAsiaTheme="minorEastAsia" w:cs="Arial"/>
          <w:b/>
          <w:color w:val="0070C0"/>
          <w:sz w:val="24"/>
          <w:szCs w:val="24"/>
        </w:rPr>
        <w:t xml:space="preserve"> </w:t>
      </w:r>
      <w:r w:rsidRPr="00B82C53">
        <w:rPr>
          <w:rFonts w:eastAsiaTheme="minorEastAsia" w:cs="Arial"/>
          <w:color w:val="0070C0"/>
          <w:sz w:val="24"/>
          <w:szCs w:val="24"/>
        </w:rPr>
        <w:t xml:space="preserve">&gt; </w:t>
      </w:r>
      <w:r w:rsidR="004A40D9" w:rsidRPr="00B82C53">
        <w:rPr>
          <w:rFonts w:eastAsiaTheme="minorEastAsia" w:cs="Arial"/>
          <w:color w:val="0070C0"/>
          <w:sz w:val="24"/>
          <w:szCs w:val="24"/>
        </w:rPr>
        <w:t>Thanks for the suggestion</w:t>
      </w:r>
      <w:r w:rsidR="00B82C53" w:rsidRPr="00B82C53">
        <w:rPr>
          <w:rFonts w:eastAsiaTheme="minorEastAsia" w:cs="Arial"/>
          <w:color w:val="0070C0"/>
          <w:sz w:val="24"/>
          <w:szCs w:val="24"/>
        </w:rPr>
        <w:t xml:space="preserve">. We have now included farm type in Table S3 and further </w:t>
      </w:r>
      <w:r w:rsidR="004A40D9" w:rsidRPr="00B82C53">
        <w:rPr>
          <w:rFonts w:eastAsiaTheme="minorEastAsia" w:cs="Arial"/>
          <w:color w:val="0070C0"/>
          <w:sz w:val="24"/>
          <w:szCs w:val="24"/>
        </w:rPr>
        <w:t>provided the abundance (the number of individuals in the sweep net samples) of the three prey guilds</w:t>
      </w:r>
      <w:r w:rsidR="00B82C53" w:rsidRPr="00B82C53">
        <w:rPr>
          <w:rFonts w:eastAsiaTheme="minorEastAsia" w:cs="Arial"/>
          <w:color w:val="0070C0"/>
          <w:sz w:val="24"/>
          <w:szCs w:val="24"/>
        </w:rPr>
        <w:t xml:space="preserve"> by year, farm type, and crop stage </w:t>
      </w:r>
      <w:r w:rsidR="004A40D9" w:rsidRPr="00B82C53">
        <w:rPr>
          <w:rFonts w:eastAsiaTheme="minorEastAsia" w:cs="Arial"/>
          <w:color w:val="0070C0"/>
          <w:sz w:val="24"/>
          <w:szCs w:val="24"/>
        </w:rPr>
        <w:t>in</w:t>
      </w:r>
      <w:r w:rsidR="00B82C53" w:rsidRPr="00B82C53">
        <w:rPr>
          <w:rFonts w:eastAsiaTheme="minorEastAsia" w:cs="Arial"/>
          <w:color w:val="0070C0"/>
          <w:sz w:val="24"/>
          <w:szCs w:val="24"/>
        </w:rPr>
        <w:t xml:space="preserve"> </w:t>
      </w:r>
      <w:r w:rsidR="004A40D9" w:rsidRPr="00B82C53">
        <w:rPr>
          <w:rFonts w:eastAsiaTheme="minorEastAsia" w:cs="Arial"/>
          <w:color w:val="0070C0"/>
          <w:sz w:val="24"/>
          <w:szCs w:val="24"/>
        </w:rPr>
        <w:t>supplementary Table S</w:t>
      </w:r>
      <w:r w:rsidR="00ED67D1" w:rsidRPr="00B82C53">
        <w:rPr>
          <w:rFonts w:eastAsiaTheme="minorEastAsia" w:cs="Arial"/>
          <w:color w:val="0070C0"/>
          <w:sz w:val="24"/>
          <w:szCs w:val="24"/>
        </w:rPr>
        <w:t>E</w:t>
      </w:r>
      <w:r w:rsidR="004A40D9" w:rsidRPr="00B82C53">
        <w:rPr>
          <w:rFonts w:eastAsiaTheme="minorEastAsia" w:cs="Arial"/>
          <w:color w:val="0070C0"/>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w:t>
      </w:r>
      <w:r w:rsidR="0056371B" w:rsidRPr="0056371B">
        <w:rPr>
          <w:rFonts w:eastAsiaTheme="minorEastAsia" w:cs="Arial"/>
          <w:color w:val="FF0000"/>
          <w:sz w:val="24"/>
          <w:szCs w:val="24"/>
        </w:rPr>
        <w:t xml:space="preserve">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344646CC" w14:textId="77777777" w:rsidR="00873F81" w:rsidRDefault="00871D5F" w:rsidP="00873F81">
      <w:pPr>
        <w:pStyle w:val="CommentText"/>
        <w:jc w:val="left"/>
      </w:pPr>
      <w:r>
        <w:rPr>
          <w:rStyle w:val="CommentReference"/>
        </w:rPr>
        <w:annotationRef/>
      </w:r>
      <w:r w:rsidR="00873F81">
        <w:t>A few notes:</w:t>
      </w:r>
    </w:p>
    <w:p w14:paraId="0716DE26" w14:textId="77777777" w:rsidR="00873F81" w:rsidRDefault="00873F81" w:rsidP="00873F81">
      <w:pPr>
        <w:pStyle w:val="CommentText"/>
        <w:jc w:val="left"/>
      </w:pPr>
    </w:p>
    <w:p w14:paraId="135509B6" w14:textId="77777777" w:rsidR="00873F81" w:rsidRDefault="00873F81" w:rsidP="00873F81">
      <w:pPr>
        <w:pStyle w:val="CommentText"/>
        <w:numPr>
          <w:ilvl w:val="0"/>
          <w:numId w:val="3"/>
        </w:numPr>
        <w:jc w:val="left"/>
      </w:pPr>
      <w:r>
        <w:t>The placeholder line numbers in red need updating after we finalize the revision.</w:t>
      </w:r>
    </w:p>
    <w:p w14:paraId="78678C79" w14:textId="77777777" w:rsidR="00873F81" w:rsidRDefault="00873F81" w:rsidP="00873F81">
      <w:pPr>
        <w:pStyle w:val="CommentText"/>
        <w:numPr>
          <w:ilvl w:val="0"/>
          <w:numId w:val="3"/>
        </w:numPr>
        <w:jc w:val="left"/>
      </w:pPr>
      <w:r>
        <w:t>The table and figure numbers in red need updating after we finalize the revision.</w:t>
      </w:r>
    </w:p>
  </w:comment>
  <w:comment w:id="1" w:author="Gen-Chang Hsu" w:date="2024-08-22T13:26:00Z" w:initials="GH">
    <w:p w14:paraId="5FF926D6" w14:textId="13DFE0B4"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479A2" w14:textId="77777777" w:rsidR="00391875" w:rsidRDefault="00391875">
      <w:pPr>
        <w:spacing w:line="240" w:lineRule="auto"/>
      </w:pPr>
      <w:r>
        <w:separator/>
      </w:r>
    </w:p>
  </w:endnote>
  <w:endnote w:type="continuationSeparator" w:id="0">
    <w:p w14:paraId="58ACE12D" w14:textId="77777777" w:rsidR="00391875" w:rsidRDefault="00391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A2284" w14:textId="77777777" w:rsidR="00391875" w:rsidRDefault="00391875">
      <w:pPr>
        <w:spacing w:after="0"/>
      </w:pPr>
      <w:r>
        <w:separator/>
      </w:r>
    </w:p>
  </w:footnote>
  <w:footnote w:type="continuationSeparator" w:id="0">
    <w:p w14:paraId="36C11470" w14:textId="77777777" w:rsidR="00391875" w:rsidRDefault="003918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2"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num w:numId="1" w16cid:durableId="755514174">
    <w:abstractNumId w:val="0"/>
  </w:num>
  <w:num w:numId="2" w16cid:durableId="1488788523">
    <w:abstractNumId w:val="2"/>
  </w:num>
  <w:num w:numId="3" w16cid:durableId="1167264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10C"/>
    <w:rsid w:val="000054A0"/>
    <w:rsid w:val="00012E9E"/>
    <w:rsid w:val="00013CF0"/>
    <w:rsid w:val="00014618"/>
    <w:rsid w:val="00015A0A"/>
    <w:rsid w:val="00015E1D"/>
    <w:rsid w:val="000172AF"/>
    <w:rsid w:val="00022A17"/>
    <w:rsid w:val="0002362A"/>
    <w:rsid w:val="00023755"/>
    <w:rsid w:val="000244CE"/>
    <w:rsid w:val="00030B20"/>
    <w:rsid w:val="000315E1"/>
    <w:rsid w:val="0003234A"/>
    <w:rsid w:val="000329AF"/>
    <w:rsid w:val="00032CF4"/>
    <w:rsid w:val="00032DFC"/>
    <w:rsid w:val="00033D6D"/>
    <w:rsid w:val="00034422"/>
    <w:rsid w:val="000345DA"/>
    <w:rsid w:val="00035903"/>
    <w:rsid w:val="00035B97"/>
    <w:rsid w:val="00036F1B"/>
    <w:rsid w:val="00041DC9"/>
    <w:rsid w:val="000420CF"/>
    <w:rsid w:val="000427A4"/>
    <w:rsid w:val="00042D90"/>
    <w:rsid w:val="000431A5"/>
    <w:rsid w:val="000434A3"/>
    <w:rsid w:val="000479F7"/>
    <w:rsid w:val="00051A46"/>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7740E"/>
    <w:rsid w:val="00080956"/>
    <w:rsid w:val="0008321B"/>
    <w:rsid w:val="00083C78"/>
    <w:rsid w:val="00084143"/>
    <w:rsid w:val="000850C4"/>
    <w:rsid w:val="000863A7"/>
    <w:rsid w:val="00093498"/>
    <w:rsid w:val="00093F28"/>
    <w:rsid w:val="000941A3"/>
    <w:rsid w:val="00094FFB"/>
    <w:rsid w:val="00096116"/>
    <w:rsid w:val="00096C61"/>
    <w:rsid w:val="00097E2F"/>
    <w:rsid w:val="000A37CF"/>
    <w:rsid w:val="000A5855"/>
    <w:rsid w:val="000B2A3F"/>
    <w:rsid w:val="000B2AE6"/>
    <w:rsid w:val="000B3055"/>
    <w:rsid w:val="000B51FE"/>
    <w:rsid w:val="000B6096"/>
    <w:rsid w:val="000B6DC9"/>
    <w:rsid w:val="000C0AC8"/>
    <w:rsid w:val="000C0D7A"/>
    <w:rsid w:val="000C1A8A"/>
    <w:rsid w:val="000C33E9"/>
    <w:rsid w:val="000C3CCA"/>
    <w:rsid w:val="000C4D26"/>
    <w:rsid w:val="000C4D88"/>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F1365"/>
    <w:rsid w:val="000F14E6"/>
    <w:rsid w:val="000F1825"/>
    <w:rsid w:val="000F225E"/>
    <w:rsid w:val="000F27A1"/>
    <w:rsid w:val="000F2C9D"/>
    <w:rsid w:val="000F42C8"/>
    <w:rsid w:val="000F529A"/>
    <w:rsid w:val="000F624C"/>
    <w:rsid w:val="000F6C47"/>
    <w:rsid w:val="000F6D42"/>
    <w:rsid w:val="0010152F"/>
    <w:rsid w:val="00101685"/>
    <w:rsid w:val="001031D6"/>
    <w:rsid w:val="001105A6"/>
    <w:rsid w:val="00111776"/>
    <w:rsid w:val="00113127"/>
    <w:rsid w:val="00113804"/>
    <w:rsid w:val="001145CC"/>
    <w:rsid w:val="001167D3"/>
    <w:rsid w:val="0012015E"/>
    <w:rsid w:val="001201FF"/>
    <w:rsid w:val="001216F7"/>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523C5"/>
    <w:rsid w:val="001538CB"/>
    <w:rsid w:val="00155980"/>
    <w:rsid w:val="0015681C"/>
    <w:rsid w:val="001569D6"/>
    <w:rsid w:val="00157182"/>
    <w:rsid w:val="00161448"/>
    <w:rsid w:val="00161FA5"/>
    <w:rsid w:val="0016214E"/>
    <w:rsid w:val="001623F0"/>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808DB"/>
    <w:rsid w:val="00181CBA"/>
    <w:rsid w:val="00181EF0"/>
    <w:rsid w:val="00183862"/>
    <w:rsid w:val="00185B7D"/>
    <w:rsid w:val="00185D11"/>
    <w:rsid w:val="00186A11"/>
    <w:rsid w:val="0018750C"/>
    <w:rsid w:val="001900D2"/>
    <w:rsid w:val="00192CDD"/>
    <w:rsid w:val="0019305D"/>
    <w:rsid w:val="00195B60"/>
    <w:rsid w:val="00197D5F"/>
    <w:rsid w:val="001A0CB0"/>
    <w:rsid w:val="001A2101"/>
    <w:rsid w:val="001A4D79"/>
    <w:rsid w:val="001A6077"/>
    <w:rsid w:val="001A6571"/>
    <w:rsid w:val="001A6F1B"/>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3277"/>
    <w:rsid w:val="001E47D5"/>
    <w:rsid w:val="001E4BFF"/>
    <w:rsid w:val="001E4C99"/>
    <w:rsid w:val="001E5177"/>
    <w:rsid w:val="001E5697"/>
    <w:rsid w:val="001E796C"/>
    <w:rsid w:val="001F00DD"/>
    <w:rsid w:val="001F217C"/>
    <w:rsid w:val="001F2641"/>
    <w:rsid w:val="001F405F"/>
    <w:rsid w:val="001F63D1"/>
    <w:rsid w:val="001F6CEA"/>
    <w:rsid w:val="001F714B"/>
    <w:rsid w:val="001F74E7"/>
    <w:rsid w:val="001F77FA"/>
    <w:rsid w:val="002022F0"/>
    <w:rsid w:val="002024C6"/>
    <w:rsid w:val="00203500"/>
    <w:rsid w:val="00203D75"/>
    <w:rsid w:val="00204039"/>
    <w:rsid w:val="002056B5"/>
    <w:rsid w:val="00205703"/>
    <w:rsid w:val="00205849"/>
    <w:rsid w:val="002130BC"/>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57769"/>
    <w:rsid w:val="0026023C"/>
    <w:rsid w:val="002607CD"/>
    <w:rsid w:val="00260936"/>
    <w:rsid w:val="0026161B"/>
    <w:rsid w:val="00262C98"/>
    <w:rsid w:val="00265885"/>
    <w:rsid w:val="002659DA"/>
    <w:rsid w:val="00265A4E"/>
    <w:rsid w:val="00265B4F"/>
    <w:rsid w:val="00265C8A"/>
    <w:rsid w:val="002705E2"/>
    <w:rsid w:val="0027209D"/>
    <w:rsid w:val="0027249A"/>
    <w:rsid w:val="00272E6C"/>
    <w:rsid w:val="00280DB8"/>
    <w:rsid w:val="0028210E"/>
    <w:rsid w:val="00283CD6"/>
    <w:rsid w:val="002858F8"/>
    <w:rsid w:val="00286A9A"/>
    <w:rsid w:val="00287550"/>
    <w:rsid w:val="0028775C"/>
    <w:rsid w:val="00292679"/>
    <w:rsid w:val="002928A3"/>
    <w:rsid w:val="0029416A"/>
    <w:rsid w:val="00294EF5"/>
    <w:rsid w:val="002952F5"/>
    <w:rsid w:val="00295A43"/>
    <w:rsid w:val="002A135F"/>
    <w:rsid w:val="002A21CB"/>
    <w:rsid w:val="002A2A6E"/>
    <w:rsid w:val="002A41E9"/>
    <w:rsid w:val="002A6F09"/>
    <w:rsid w:val="002A72AC"/>
    <w:rsid w:val="002A7D09"/>
    <w:rsid w:val="002B1CAF"/>
    <w:rsid w:val="002B239D"/>
    <w:rsid w:val="002B2588"/>
    <w:rsid w:val="002B3A20"/>
    <w:rsid w:val="002B48D8"/>
    <w:rsid w:val="002B5076"/>
    <w:rsid w:val="002B785E"/>
    <w:rsid w:val="002C0860"/>
    <w:rsid w:val="002C0BBC"/>
    <w:rsid w:val="002C2695"/>
    <w:rsid w:val="002C49B7"/>
    <w:rsid w:val="002C5752"/>
    <w:rsid w:val="002D0470"/>
    <w:rsid w:val="002D06E7"/>
    <w:rsid w:val="002D11F8"/>
    <w:rsid w:val="002D18AD"/>
    <w:rsid w:val="002D2545"/>
    <w:rsid w:val="002D385F"/>
    <w:rsid w:val="002D3C7E"/>
    <w:rsid w:val="002D56A4"/>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17DC"/>
    <w:rsid w:val="003024FE"/>
    <w:rsid w:val="00302D83"/>
    <w:rsid w:val="00302F75"/>
    <w:rsid w:val="00306149"/>
    <w:rsid w:val="0030664A"/>
    <w:rsid w:val="0031148C"/>
    <w:rsid w:val="00311770"/>
    <w:rsid w:val="00312CC2"/>
    <w:rsid w:val="00314D92"/>
    <w:rsid w:val="00317AFE"/>
    <w:rsid w:val="003229B9"/>
    <w:rsid w:val="003246ED"/>
    <w:rsid w:val="00324A75"/>
    <w:rsid w:val="0032543B"/>
    <w:rsid w:val="0032645F"/>
    <w:rsid w:val="00326B37"/>
    <w:rsid w:val="00330732"/>
    <w:rsid w:val="00331E1A"/>
    <w:rsid w:val="003320DD"/>
    <w:rsid w:val="003347F7"/>
    <w:rsid w:val="00334D7D"/>
    <w:rsid w:val="003369A9"/>
    <w:rsid w:val="00337849"/>
    <w:rsid w:val="003411BF"/>
    <w:rsid w:val="00341A39"/>
    <w:rsid w:val="00344B1A"/>
    <w:rsid w:val="00345371"/>
    <w:rsid w:val="0034537C"/>
    <w:rsid w:val="00350D5B"/>
    <w:rsid w:val="00353762"/>
    <w:rsid w:val="00353E13"/>
    <w:rsid w:val="00353F7D"/>
    <w:rsid w:val="00354E22"/>
    <w:rsid w:val="00363FFD"/>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E03"/>
    <w:rsid w:val="00385F7C"/>
    <w:rsid w:val="0038707A"/>
    <w:rsid w:val="0039073F"/>
    <w:rsid w:val="00391875"/>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A0C"/>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C6D6E"/>
    <w:rsid w:val="003D14E2"/>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6583"/>
    <w:rsid w:val="0041744C"/>
    <w:rsid w:val="00417CAF"/>
    <w:rsid w:val="0042010C"/>
    <w:rsid w:val="00421E75"/>
    <w:rsid w:val="004234E0"/>
    <w:rsid w:val="00423C64"/>
    <w:rsid w:val="004257F2"/>
    <w:rsid w:val="00425B8A"/>
    <w:rsid w:val="00426219"/>
    <w:rsid w:val="0042717B"/>
    <w:rsid w:val="004312D0"/>
    <w:rsid w:val="004406D0"/>
    <w:rsid w:val="00442C5B"/>
    <w:rsid w:val="00443FE4"/>
    <w:rsid w:val="0044437A"/>
    <w:rsid w:val="00451B3C"/>
    <w:rsid w:val="0045209F"/>
    <w:rsid w:val="00453065"/>
    <w:rsid w:val="004546C4"/>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A1351"/>
    <w:rsid w:val="004A40D9"/>
    <w:rsid w:val="004A48EF"/>
    <w:rsid w:val="004A4F2C"/>
    <w:rsid w:val="004A59CC"/>
    <w:rsid w:val="004A73F1"/>
    <w:rsid w:val="004A78D0"/>
    <w:rsid w:val="004A78DF"/>
    <w:rsid w:val="004B0D5A"/>
    <w:rsid w:val="004B17ED"/>
    <w:rsid w:val="004B1A00"/>
    <w:rsid w:val="004B20C9"/>
    <w:rsid w:val="004B22DD"/>
    <w:rsid w:val="004B3DFA"/>
    <w:rsid w:val="004B5E91"/>
    <w:rsid w:val="004B611D"/>
    <w:rsid w:val="004B6A33"/>
    <w:rsid w:val="004B78E0"/>
    <w:rsid w:val="004C1C9D"/>
    <w:rsid w:val="004C22E9"/>
    <w:rsid w:val="004C37AE"/>
    <w:rsid w:val="004C4462"/>
    <w:rsid w:val="004C4857"/>
    <w:rsid w:val="004C6451"/>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0B27"/>
    <w:rsid w:val="00502AAF"/>
    <w:rsid w:val="0050773F"/>
    <w:rsid w:val="00510FD4"/>
    <w:rsid w:val="00511ABA"/>
    <w:rsid w:val="00511AC9"/>
    <w:rsid w:val="0051575A"/>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2B99"/>
    <w:rsid w:val="0056371B"/>
    <w:rsid w:val="0056469F"/>
    <w:rsid w:val="00564924"/>
    <w:rsid w:val="0056585B"/>
    <w:rsid w:val="00566413"/>
    <w:rsid w:val="00566A69"/>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BEC"/>
    <w:rsid w:val="005A636E"/>
    <w:rsid w:val="005A655A"/>
    <w:rsid w:val="005A6E9C"/>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AB8"/>
    <w:rsid w:val="005F6CCE"/>
    <w:rsid w:val="0060019C"/>
    <w:rsid w:val="006014B3"/>
    <w:rsid w:val="00602ADA"/>
    <w:rsid w:val="0060329D"/>
    <w:rsid w:val="00603ED6"/>
    <w:rsid w:val="00606928"/>
    <w:rsid w:val="00607020"/>
    <w:rsid w:val="00607FA1"/>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4231"/>
    <w:rsid w:val="0064607E"/>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2F1D"/>
    <w:rsid w:val="006B447C"/>
    <w:rsid w:val="006B4EBE"/>
    <w:rsid w:val="006B5AF8"/>
    <w:rsid w:val="006B670E"/>
    <w:rsid w:val="006B7045"/>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AD2"/>
    <w:rsid w:val="006F2EBC"/>
    <w:rsid w:val="006F3DFA"/>
    <w:rsid w:val="006F44EC"/>
    <w:rsid w:val="00701818"/>
    <w:rsid w:val="00702C2E"/>
    <w:rsid w:val="0070429A"/>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493"/>
    <w:rsid w:val="007645F8"/>
    <w:rsid w:val="00764EFD"/>
    <w:rsid w:val="007745B9"/>
    <w:rsid w:val="007759E0"/>
    <w:rsid w:val="00775DAF"/>
    <w:rsid w:val="00776AAF"/>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62E5"/>
    <w:rsid w:val="007B6614"/>
    <w:rsid w:val="007B6901"/>
    <w:rsid w:val="007B6C69"/>
    <w:rsid w:val="007C0CCA"/>
    <w:rsid w:val="007C2CA4"/>
    <w:rsid w:val="007C3BD6"/>
    <w:rsid w:val="007C5FDA"/>
    <w:rsid w:val="007D1A8E"/>
    <w:rsid w:val="007D264E"/>
    <w:rsid w:val="007D650E"/>
    <w:rsid w:val="007D6CC8"/>
    <w:rsid w:val="007E0D3C"/>
    <w:rsid w:val="007E1C3F"/>
    <w:rsid w:val="007E2C94"/>
    <w:rsid w:val="007E3441"/>
    <w:rsid w:val="007E351A"/>
    <w:rsid w:val="007E3BA8"/>
    <w:rsid w:val="007E3EBE"/>
    <w:rsid w:val="007E539D"/>
    <w:rsid w:val="007E68C8"/>
    <w:rsid w:val="007F107F"/>
    <w:rsid w:val="007F3FE6"/>
    <w:rsid w:val="007F4830"/>
    <w:rsid w:val="007F4ACA"/>
    <w:rsid w:val="007F63D9"/>
    <w:rsid w:val="007F754C"/>
    <w:rsid w:val="00800057"/>
    <w:rsid w:val="00800CCE"/>
    <w:rsid w:val="00801F3D"/>
    <w:rsid w:val="008021A8"/>
    <w:rsid w:val="00803410"/>
    <w:rsid w:val="008045AB"/>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DAE"/>
    <w:rsid w:val="00840AEC"/>
    <w:rsid w:val="008413FD"/>
    <w:rsid w:val="008415EC"/>
    <w:rsid w:val="008431BD"/>
    <w:rsid w:val="0084582C"/>
    <w:rsid w:val="008459EA"/>
    <w:rsid w:val="008523DA"/>
    <w:rsid w:val="008535F1"/>
    <w:rsid w:val="0085437F"/>
    <w:rsid w:val="008547D6"/>
    <w:rsid w:val="0085488D"/>
    <w:rsid w:val="00854E1F"/>
    <w:rsid w:val="00855513"/>
    <w:rsid w:val="00856782"/>
    <w:rsid w:val="00856A00"/>
    <w:rsid w:val="00857901"/>
    <w:rsid w:val="00857F33"/>
    <w:rsid w:val="008600F9"/>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6C48"/>
    <w:rsid w:val="00882E88"/>
    <w:rsid w:val="0088313F"/>
    <w:rsid w:val="00883C4B"/>
    <w:rsid w:val="00884F9B"/>
    <w:rsid w:val="008879D6"/>
    <w:rsid w:val="00892C4B"/>
    <w:rsid w:val="00892D2F"/>
    <w:rsid w:val="0089359A"/>
    <w:rsid w:val="00895919"/>
    <w:rsid w:val="0089615E"/>
    <w:rsid w:val="00896262"/>
    <w:rsid w:val="008A0A47"/>
    <w:rsid w:val="008A1431"/>
    <w:rsid w:val="008A224C"/>
    <w:rsid w:val="008A2395"/>
    <w:rsid w:val="008A2B43"/>
    <w:rsid w:val="008A3764"/>
    <w:rsid w:val="008A628B"/>
    <w:rsid w:val="008A74B5"/>
    <w:rsid w:val="008B0E8B"/>
    <w:rsid w:val="008B400E"/>
    <w:rsid w:val="008B471D"/>
    <w:rsid w:val="008B51CA"/>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7C5C"/>
    <w:rsid w:val="008F34FE"/>
    <w:rsid w:val="008F3B57"/>
    <w:rsid w:val="008F3D37"/>
    <w:rsid w:val="008F693B"/>
    <w:rsid w:val="009025FE"/>
    <w:rsid w:val="00903394"/>
    <w:rsid w:val="009036C8"/>
    <w:rsid w:val="009036F2"/>
    <w:rsid w:val="009040F2"/>
    <w:rsid w:val="0090735C"/>
    <w:rsid w:val="00907448"/>
    <w:rsid w:val="00907D51"/>
    <w:rsid w:val="009104E6"/>
    <w:rsid w:val="00910F47"/>
    <w:rsid w:val="00911189"/>
    <w:rsid w:val="00915D6D"/>
    <w:rsid w:val="00916530"/>
    <w:rsid w:val="0091713F"/>
    <w:rsid w:val="009172A8"/>
    <w:rsid w:val="00917447"/>
    <w:rsid w:val="00917574"/>
    <w:rsid w:val="00921B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4C30"/>
    <w:rsid w:val="00955D26"/>
    <w:rsid w:val="009567B4"/>
    <w:rsid w:val="00961B6F"/>
    <w:rsid w:val="00963C40"/>
    <w:rsid w:val="00964B0F"/>
    <w:rsid w:val="00964FD1"/>
    <w:rsid w:val="0096743E"/>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0AF"/>
    <w:rsid w:val="009D6757"/>
    <w:rsid w:val="009D6819"/>
    <w:rsid w:val="009D7BE4"/>
    <w:rsid w:val="009E7DB9"/>
    <w:rsid w:val="009F0890"/>
    <w:rsid w:val="009F08DE"/>
    <w:rsid w:val="009F18C4"/>
    <w:rsid w:val="009F2185"/>
    <w:rsid w:val="009F3F2D"/>
    <w:rsid w:val="009F5B64"/>
    <w:rsid w:val="009F7623"/>
    <w:rsid w:val="009F7D8F"/>
    <w:rsid w:val="00A009ED"/>
    <w:rsid w:val="00A01247"/>
    <w:rsid w:val="00A03887"/>
    <w:rsid w:val="00A06DEF"/>
    <w:rsid w:val="00A07AD9"/>
    <w:rsid w:val="00A07DD7"/>
    <w:rsid w:val="00A10E90"/>
    <w:rsid w:val="00A111E6"/>
    <w:rsid w:val="00A11369"/>
    <w:rsid w:val="00A121D8"/>
    <w:rsid w:val="00A12232"/>
    <w:rsid w:val="00A14B9C"/>
    <w:rsid w:val="00A15595"/>
    <w:rsid w:val="00A16366"/>
    <w:rsid w:val="00A202A0"/>
    <w:rsid w:val="00A207D0"/>
    <w:rsid w:val="00A20D26"/>
    <w:rsid w:val="00A20E5E"/>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B02"/>
    <w:rsid w:val="00A515B7"/>
    <w:rsid w:val="00A52056"/>
    <w:rsid w:val="00A5277F"/>
    <w:rsid w:val="00A529B1"/>
    <w:rsid w:val="00A529ED"/>
    <w:rsid w:val="00A52F58"/>
    <w:rsid w:val="00A54ACD"/>
    <w:rsid w:val="00A5555F"/>
    <w:rsid w:val="00A56994"/>
    <w:rsid w:val="00A57FFE"/>
    <w:rsid w:val="00A60EF6"/>
    <w:rsid w:val="00A61D11"/>
    <w:rsid w:val="00A62428"/>
    <w:rsid w:val="00A62992"/>
    <w:rsid w:val="00A63230"/>
    <w:rsid w:val="00A65D5E"/>
    <w:rsid w:val="00A70146"/>
    <w:rsid w:val="00A7094E"/>
    <w:rsid w:val="00A71BFE"/>
    <w:rsid w:val="00A72009"/>
    <w:rsid w:val="00A72082"/>
    <w:rsid w:val="00A731C0"/>
    <w:rsid w:val="00A739DA"/>
    <w:rsid w:val="00A7438C"/>
    <w:rsid w:val="00A750F0"/>
    <w:rsid w:val="00A8005D"/>
    <w:rsid w:val="00A80EAC"/>
    <w:rsid w:val="00A81617"/>
    <w:rsid w:val="00A83869"/>
    <w:rsid w:val="00A83F03"/>
    <w:rsid w:val="00A84160"/>
    <w:rsid w:val="00A8571F"/>
    <w:rsid w:val="00A8692A"/>
    <w:rsid w:val="00A87FD7"/>
    <w:rsid w:val="00A94D68"/>
    <w:rsid w:val="00A96191"/>
    <w:rsid w:val="00A96D90"/>
    <w:rsid w:val="00A97891"/>
    <w:rsid w:val="00AA2FB8"/>
    <w:rsid w:val="00AA3783"/>
    <w:rsid w:val="00AB05E1"/>
    <w:rsid w:val="00AB08E2"/>
    <w:rsid w:val="00AB1226"/>
    <w:rsid w:val="00AB238F"/>
    <w:rsid w:val="00AB3B32"/>
    <w:rsid w:val="00AB455E"/>
    <w:rsid w:val="00AC05DB"/>
    <w:rsid w:val="00AC1780"/>
    <w:rsid w:val="00AC2F8A"/>
    <w:rsid w:val="00AC5268"/>
    <w:rsid w:val="00AC7B54"/>
    <w:rsid w:val="00AD02CB"/>
    <w:rsid w:val="00AD03B0"/>
    <w:rsid w:val="00AD075D"/>
    <w:rsid w:val="00AD2DEC"/>
    <w:rsid w:val="00AD3F9F"/>
    <w:rsid w:val="00AD5B62"/>
    <w:rsid w:val="00AD6BE2"/>
    <w:rsid w:val="00AD7841"/>
    <w:rsid w:val="00AD7C38"/>
    <w:rsid w:val="00AE1020"/>
    <w:rsid w:val="00AE49BA"/>
    <w:rsid w:val="00AE4A66"/>
    <w:rsid w:val="00AE4B51"/>
    <w:rsid w:val="00AE4D2E"/>
    <w:rsid w:val="00AE76CD"/>
    <w:rsid w:val="00AE794B"/>
    <w:rsid w:val="00AF08C2"/>
    <w:rsid w:val="00AF0A4B"/>
    <w:rsid w:val="00AF3D96"/>
    <w:rsid w:val="00AF4A57"/>
    <w:rsid w:val="00AF784A"/>
    <w:rsid w:val="00AF7AB5"/>
    <w:rsid w:val="00AF7FC4"/>
    <w:rsid w:val="00B01B9D"/>
    <w:rsid w:val="00B026F4"/>
    <w:rsid w:val="00B03FA8"/>
    <w:rsid w:val="00B05572"/>
    <w:rsid w:val="00B06DEA"/>
    <w:rsid w:val="00B06FEE"/>
    <w:rsid w:val="00B07900"/>
    <w:rsid w:val="00B0799C"/>
    <w:rsid w:val="00B10435"/>
    <w:rsid w:val="00B147F2"/>
    <w:rsid w:val="00B1480D"/>
    <w:rsid w:val="00B16271"/>
    <w:rsid w:val="00B16E98"/>
    <w:rsid w:val="00B20552"/>
    <w:rsid w:val="00B22604"/>
    <w:rsid w:val="00B22F43"/>
    <w:rsid w:val="00B23F85"/>
    <w:rsid w:val="00B24989"/>
    <w:rsid w:val="00B24D86"/>
    <w:rsid w:val="00B255A9"/>
    <w:rsid w:val="00B25BFC"/>
    <w:rsid w:val="00B26B94"/>
    <w:rsid w:val="00B27009"/>
    <w:rsid w:val="00B270E5"/>
    <w:rsid w:val="00B32141"/>
    <w:rsid w:val="00B34D52"/>
    <w:rsid w:val="00B35FC9"/>
    <w:rsid w:val="00B3639B"/>
    <w:rsid w:val="00B36FCD"/>
    <w:rsid w:val="00B37F6D"/>
    <w:rsid w:val="00B40879"/>
    <w:rsid w:val="00B40F47"/>
    <w:rsid w:val="00B40F9C"/>
    <w:rsid w:val="00B41849"/>
    <w:rsid w:val="00B43577"/>
    <w:rsid w:val="00B43EED"/>
    <w:rsid w:val="00B4486F"/>
    <w:rsid w:val="00B44A00"/>
    <w:rsid w:val="00B47C0C"/>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600C"/>
    <w:rsid w:val="00B770FA"/>
    <w:rsid w:val="00B77F2B"/>
    <w:rsid w:val="00B80926"/>
    <w:rsid w:val="00B81C4C"/>
    <w:rsid w:val="00B81FC1"/>
    <w:rsid w:val="00B825EE"/>
    <w:rsid w:val="00B82C47"/>
    <w:rsid w:val="00B82C53"/>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5605"/>
    <w:rsid w:val="00BC643F"/>
    <w:rsid w:val="00BD08E0"/>
    <w:rsid w:val="00BD112C"/>
    <w:rsid w:val="00BD232E"/>
    <w:rsid w:val="00BD530D"/>
    <w:rsid w:val="00BD5384"/>
    <w:rsid w:val="00BD6457"/>
    <w:rsid w:val="00BD6AD6"/>
    <w:rsid w:val="00BE0220"/>
    <w:rsid w:val="00BE0727"/>
    <w:rsid w:val="00BE281A"/>
    <w:rsid w:val="00BE53CC"/>
    <w:rsid w:val="00BE565E"/>
    <w:rsid w:val="00BE5DB6"/>
    <w:rsid w:val="00BE703D"/>
    <w:rsid w:val="00BE7E33"/>
    <w:rsid w:val="00BF346F"/>
    <w:rsid w:val="00BF61A2"/>
    <w:rsid w:val="00C0038D"/>
    <w:rsid w:val="00C048B2"/>
    <w:rsid w:val="00C054DE"/>
    <w:rsid w:val="00C13FF5"/>
    <w:rsid w:val="00C14069"/>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34E"/>
    <w:rsid w:val="00C517F9"/>
    <w:rsid w:val="00C5275D"/>
    <w:rsid w:val="00C55F08"/>
    <w:rsid w:val="00C56E88"/>
    <w:rsid w:val="00C57281"/>
    <w:rsid w:val="00C60045"/>
    <w:rsid w:val="00C612A4"/>
    <w:rsid w:val="00C613F1"/>
    <w:rsid w:val="00C62695"/>
    <w:rsid w:val="00C62E2B"/>
    <w:rsid w:val="00C63634"/>
    <w:rsid w:val="00C65132"/>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54E7"/>
    <w:rsid w:val="00C96940"/>
    <w:rsid w:val="00C97309"/>
    <w:rsid w:val="00CA2CA0"/>
    <w:rsid w:val="00CA3D5E"/>
    <w:rsid w:val="00CA628F"/>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4023"/>
    <w:rsid w:val="00D152D4"/>
    <w:rsid w:val="00D1561F"/>
    <w:rsid w:val="00D15626"/>
    <w:rsid w:val="00D209F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0D97"/>
    <w:rsid w:val="00D71455"/>
    <w:rsid w:val="00D72136"/>
    <w:rsid w:val="00D735A5"/>
    <w:rsid w:val="00D75D4C"/>
    <w:rsid w:val="00D766BD"/>
    <w:rsid w:val="00D76C78"/>
    <w:rsid w:val="00D7774C"/>
    <w:rsid w:val="00D80AE1"/>
    <w:rsid w:val="00D80C4E"/>
    <w:rsid w:val="00D82121"/>
    <w:rsid w:val="00D83059"/>
    <w:rsid w:val="00D83929"/>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2CA3"/>
    <w:rsid w:val="00E470D4"/>
    <w:rsid w:val="00E472CD"/>
    <w:rsid w:val="00E505A9"/>
    <w:rsid w:val="00E5087E"/>
    <w:rsid w:val="00E5365E"/>
    <w:rsid w:val="00E53EDD"/>
    <w:rsid w:val="00E541D1"/>
    <w:rsid w:val="00E5493E"/>
    <w:rsid w:val="00E54FC6"/>
    <w:rsid w:val="00E55630"/>
    <w:rsid w:val="00E577B5"/>
    <w:rsid w:val="00E60F13"/>
    <w:rsid w:val="00E634DF"/>
    <w:rsid w:val="00E65D0A"/>
    <w:rsid w:val="00E662D5"/>
    <w:rsid w:val="00E70EDF"/>
    <w:rsid w:val="00E7197F"/>
    <w:rsid w:val="00E71C0B"/>
    <w:rsid w:val="00E733AC"/>
    <w:rsid w:val="00E737C6"/>
    <w:rsid w:val="00E75EDC"/>
    <w:rsid w:val="00E8045E"/>
    <w:rsid w:val="00E80CBF"/>
    <w:rsid w:val="00E81E5B"/>
    <w:rsid w:val="00E84E4D"/>
    <w:rsid w:val="00E85405"/>
    <w:rsid w:val="00E85C42"/>
    <w:rsid w:val="00E86871"/>
    <w:rsid w:val="00E87177"/>
    <w:rsid w:val="00E872FE"/>
    <w:rsid w:val="00E8779D"/>
    <w:rsid w:val="00E913B7"/>
    <w:rsid w:val="00E928CA"/>
    <w:rsid w:val="00E929E4"/>
    <w:rsid w:val="00E9370D"/>
    <w:rsid w:val="00E94336"/>
    <w:rsid w:val="00E94653"/>
    <w:rsid w:val="00E949B3"/>
    <w:rsid w:val="00E94C87"/>
    <w:rsid w:val="00E94E40"/>
    <w:rsid w:val="00E9509C"/>
    <w:rsid w:val="00E966EC"/>
    <w:rsid w:val="00E968A4"/>
    <w:rsid w:val="00E975EF"/>
    <w:rsid w:val="00E97802"/>
    <w:rsid w:val="00EA0576"/>
    <w:rsid w:val="00EA33B8"/>
    <w:rsid w:val="00EA3ABE"/>
    <w:rsid w:val="00EA68FC"/>
    <w:rsid w:val="00EA7644"/>
    <w:rsid w:val="00EB118E"/>
    <w:rsid w:val="00EB153D"/>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DD"/>
    <w:rsid w:val="00EF1E77"/>
    <w:rsid w:val="00EF240F"/>
    <w:rsid w:val="00EF2CD5"/>
    <w:rsid w:val="00EF395A"/>
    <w:rsid w:val="00EF4D83"/>
    <w:rsid w:val="00EF5997"/>
    <w:rsid w:val="00EF5CA4"/>
    <w:rsid w:val="00EF7082"/>
    <w:rsid w:val="00EF72E5"/>
    <w:rsid w:val="00F00025"/>
    <w:rsid w:val="00F00E6B"/>
    <w:rsid w:val="00F01139"/>
    <w:rsid w:val="00F0115D"/>
    <w:rsid w:val="00F02C65"/>
    <w:rsid w:val="00F030CE"/>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621C"/>
    <w:rsid w:val="00F169DD"/>
    <w:rsid w:val="00F16D4F"/>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453"/>
    <w:rsid w:val="00F436B6"/>
    <w:rsid w:val="00F43ABC"/>
    <w:rsid w:val="00F4546C"/>
    <w:rsid w:val="00F45873"/>
    <w:rsid w:val="00F458AF"/>
    <w:rsid w:val="00F46202"/>
    <w:rsid w:val="00F53251"/>
    <w:rsid w:val="00F53664"/>
    <w:rsid w:val="00F53C4A"/>
    <w:rsid w:val="00F56268"/>
    <w:rsid w:val="00F57A49"/>
    <w:rsid w:val="00F62E35"/>
    <w:rsid w:val="00F63242"/>
    <w:rsid w:val="00F65412"/>
    <w:rsid w:val="00F65AF4"/>
    <w:rsid w:val="00F65CBA"/>
    <w:rsid w:val="00F706AC"/>
    <w:rsid w:val="00F71055"/>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62A"/>
    <w:rsid w:val="00F92B6E"/>
    <w:rsid w:val="00F92D03"/>
    <w:rsid w:val="00F93AA3"/>
    <w:rsid w:val="00F942DA"/>
    <w:rsid w:val="00F94459"/>
    <w:rsid w:val="00F948BF"/>
    <w:rsid w:val="00F96611"/>
    <w:rsid w:val="00F97224"/>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569B"/>
    <w:rsid w:val="00FB667D"/>
    <w:rsid w:val="00FB6C07"/>
    <w:rsid w:val="00FC3D8A"/>
    <w:rsid w:val="00FC4B00"/>
    <w:rsid w:val="00FC53DA"/>
    <w:rsid w:val="00FC5754"/>
    <w:rsid w:val="00FC5BDE"/>
    <w:rsid w:val="00FD0FBF"/>
    <w:rsid w:val="00FD112D"/>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40</Pages>
  <Words>9869</Words>
  <Characters>56259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2044</cp:revision>
  <cp:lastPrinted>2022-12-04T23:09:00Z</cp:lastPrinted>
  <dcterms:created xsi:type="dcterms:W3CDTF">2021-07-20T18:26:00Z</dcterms:created>
  <dcterms:modified xsi:type="dcterms:W3CDTF">2024-08-28T03:11:00Z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