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Задания лабораторной работы дифференцирование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11.       Дифференцирование функций заданных таблично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Смоделировать таблицу значений функции.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Расчитать первую производную  по численной трехточечной схеме.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Рассчитать вторую производную по численной трехточеной схеме.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Варианты функций для лабораторной работы дифференцирование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                        x(t)=Ae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-at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sin(ωt+b)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                        x(t)=Ae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cos(ωt+b)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                         y(x)=a-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sin(bx)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                         y(x)=(a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)sin(bx)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                         x(t)=t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at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                          y(x)=x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cos(ax)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7.                         у(t)=cos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(at+b)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8.                         q(t)=(a-b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9.                         x(t)=lg(at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+b)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10.                         y(x)=(e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ax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-ax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