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before="0" w:after="120"/>
        <w:jc w:val="center"/>
      </w:pPr>
      <w:r>
        <w:rPr>
          <w:rFonts w:ascii="Times New Roman" w:cs="Times New Roman" w:eastAsia="Times New Roman" w:hAnsi="Times New Roman"/>
          <w:b/>
          <w:bCs/>
          <w:i w:val="false"/>
          <w:iCs w:val="false"/>
          <w:color w:val="000000"/>
          <w:sz w:val="28"/>
          <w:szCs w:val="28"/>
        </w:rPr>
        <w:t xml:space="preserve">Akademia Techniczno-Humanistyczna w Bielsku-Białej</w:t>
      </w:r>
    </w:p>
    <w:p>
      <w:pPr>
        <w:pBdr>
          <w:bottom w:val="single" w:color="003399" w:sz="6" w:space="4"/>
        </w:pBdr>
        <w:spacing w:before="0" w:after="600"/>
        <w:jc w:val="center"/>
      </w:pPr>
      <w:r>
        <w:rPr>
          <w:rFonts w:ascii="Times New Roman" w:cs="Times New Roman" w:eastAsia="Times New Roman" w:hAnsi="Times New Roman"/>
          <w:b/>
          <w:bCs/>
          <w:color w:val="003399"/>
          <w:sz w:val="36"/>
          <w:szCs w:val="36"/>
        </w:rPr>
        <w:t xml:space="preserve">PRACA DYPLOMOWA</w:t>
      </w:r>
    </w:p>
    <w:p>
      <w:pPr>
        <w:spacing w:line="360"/>
      </w:pPr>
      <w:r>
        <w:t xml:space="preserve"/>
      </w:r>
    </w:p>
    <w:p>
      <w:pPr>
        <w:spacing w:line="360" w:before="0" w:after="120"/>
        <w:jc w:val="center"/>
      </w:pPr>
      <w:r>
        <w:rPr>
          <w:rFonts w:ascii="Times New Roman" w:cs="Times New Roman" w:eastAsia="Times New Roman" w:hAnsi="Times New Roman"/>
          <w:b/>
          <w:bCs/>
          <w:i w:val="false"/>
          <w:iCs w:val="false"/>
          <w:color w:val="000000"/>
          <w:sz w:val="28"/>
          <w:szCs w:val="28"/>
        </w:rPr>
        <w:t xml:space="preserve">WYDZIAŁ</w:t>
      </w:r>
    </w:p>
    <w:p>
      <w:pPr>
        <w:spacing w:line="360" w:before="0" w:after="120"/>
        <w:jc w:val="center"/>
      </w:pPr>
      <w:r>
        <w:rPr>
          <w:rFonts w:ascii="Times New Roman" w:cs="Times New Roman" w:eastAsia="Times New Roman" w:hAnsi="Times New Roman"/>
          <w:b/>
          <w:bCs/>
          <w:i w:val="false"/>
          <w:iCs w:val="false"/>
          <w:color w:val="000000"/>
          <w:sz w:val="28"/>
          <w:szCs w:val="28"/>
        </w:rPr>
        <w:t xml:space="preserve">BUDOWY MASZYN I INFORMATYKI</w:t>
      </w:r>
    </w:p>
    <w:p>
      <w:pPr>
        <w:spacing w:before="0" w:after="80"/>
        <w:jc w:val="center"/>
      </w:pPr>
      <w:r>
        <w:rPr>
          <w:rFonts w:ascii="Times New Roman" w:cs="Times New Roman" w:eastAsia="Times New Roman" w:hAnsi="Times New Roman"/>
          <w:sz w:val="24"/>
          <w:szCs w:val="24"/>
        </w:rPr>
        <w:t xml:space="preserve">KIERUNEK: </w:t>
      </w:r>
      <w:r>
        <w:rPr>
          <w:rFonts w:ascii="Times New Roman" w:cs="Times New Roman" w:eastAsia="Times New Roman" w:hAnsi="Times New Roman"/>
          <w:b/>
          <w:bCs/>
          <w:sz w:val="24"/>
          <w:szCs w:val="24"/>
        </w:rPr>
        <w:t xml:space="preserve">Informatyka</w:t>
      </w:r>
    </w:p>
    <w:p>
      <w:pPr>
        <w:spacing w:before="0" w:after="600"/>
        <w:jc w:val="center"/>
      </w:pPr>
      <w:r>
        <w:rPr>
          <w:rFonts w:ascii="Times New Roman" w:cs="Times New Roman" w:eastAsia="Times New Roman" w:hAnsi="Times New Roman"/>
          <w:sz w:val="24"/>
          <w:szCs w:val="24"/>
        </w:rPr>
        <w:t xml:space="preserve">SPECJALNOŚĆ: </w:t>
      </w:r>
      <w:r>
        <w:rPr>
          <w:rFonts w:ascii="Times New Roman" w:cs="Times New Roman" w:eastAsia="Times New Roman" w:hAnsi="Times New Roman"/>
          <w:b/>
          <w:bCs/>
          <w:sz w:val="24"/>
          <w:szCs w:val="24"/>
        </w:rPr>
        <w:t xml:space="preserve">Techniki tworzenia oprogramowania</w:t>
      </w:r>
    </w:p>
    <w:p>
      <w:pPr>
        <w:spacing w:line="360" w:before="400" w:after="120"/>
        <w:jc w:val="center"/>
      </w:pPr>
      <w:r>
        <w:rPr>
          <w:rFonts w:ascii="Times New Roman" w:cs="Times New Roman" w:eastAsia="Times New Roman" w:hAnsi="Times New Roman"/>
          <w:b/>
          <w:bCs/>
          <w:i w:val="false"/>
          <w:iCs w:val="false"/>
          <w:color w:val="000000"/>
          <w:sz w:val="28"/>
          <w:szCs w:val="28"/>
        </w:rPr>
        <w:t xml:space="preserve">MATEUSZ KOWALSKI</w:t>
      </w:r>
    </w:p>
    <w:p>
      <w:pPr>
        <w:spacing w:line="360" w:before="0" w:after="120"/>
        <w:jc w:val="center"/>
      </w:pPr>
      <w:r>
        <w:rPr>
          <w:rFonts w:ascii="Times New Roman" w:cs="Times New Roman" w:eastAsia="Times New Roman" w:hAnsi="Times New Roman"/>
          <w:b w:val="false"/>
          <w:bCs w:val="false"/>
          <w:i w:val="false"/>
          <w:iCs w:val="false"/>
          <w:color w:val="000000"/>
          <w:sz w:val="24"/>
          <w:szCs w:val="24"/>
        </w:rPr>
        <w:t xml:space="preserve">nr albumu: 55120</w:t>
      </w:r>
    </w:p>
    <w:p>
      <w:pPr>
        <w:spacing w:line="360" w:before="0" w:after="600"/>
        <w:jc w:val="center"/>
      </w:pPr>
      <w:r>
        <w:rPr>
          <w:rFonts w:ascii="Times New Roman" w:cs="Times New Roman" w:eastAsia="Times New Roman" w:hAnsi="Times New Roman"/>
          <w:b w:val="false"/>
          <w:bCs w:val="false"/>
          <w:i w:val="false"/>
          <w:iCs w:val="false"/>
          <w:color w:val="000000"/>
          <w:sz w:val="24"/>
          <w:szCs w:val="24"/>
        </w:rPr>
        <w:t xml:space="preserve">Praca magisterska</w:t>
      </w:r>
    </w:p>
    <w:p>
      <w:pPr>
        <w:spacing w:line="360" w:before="400" w:after="120"/>
        <w:jc w:val="center"/>
      </w:pPr>
      <w:r>
        <w:rPr>
          <w:rFonts w:ascii="Times New Roman" w:cs="Times New Roman" w:eastAsia="Times New Roman" w:hAnsi="Times New Roman"/>
          <w:b/>
          <w:bCs/>
          <w:i w:val="false"/>
          <w:iCs w:val="false"/>
          <w:color w:val="000000"/>
          <w:sz w:val="28"/>
          <w:szCs w:val="28"/>
        </w:rPr>
        <w:t xml:space="preserve">SYSTEM DO ANALIZY ZDJĘĆ DERMATOLOGICZNYCH</w:t>
      </w:r>
    </w:p>
    <w:p>
      <w:pPr>
        <w:spacing w:line="360" w:before="0" w:after="120"/>
        <w:jc w:val="center"/>
      </w:pPr>
      <w:r>
        <w:rPr>
          <w:rFonts w:ascii="Times New Roman" w:cs="Times New Roman" w:eastAsia="Times New Roman" w:hAnsi="Times New Roman"/>
          <w:b/>
          <w:bCs/>
          <w:i w:val="false"/>
          <w:iCs w:val="false"/>
          <w:color w:val="000000"/>
          <w:sz w:val="28"/>
          <w:szCs w:val="28"/>
        </w:rPr>
        <w:t xml:space="preserve">Z UŻYCIEM MODELI CNN I TRANSFORMERA</w:t>
      </w:r>
    </w:p>
    <w:p>
      <w:pPr>
        <w:spacing w:line="360"/>
      </w:pPr>
      <w:r>
        <w:t xml:space="preserve"/>
      </w:r>
    </w:p>
    <w:p>
      <w:pPr>
        <w:spacing w:line="360"/>
      </w:pPr>
      <w:r>
        <w:t xml:space="preserve"/>
      </w:r>
    </w:p>
    <w:p>
      <w:pPr>
        <w:spacing w:line="360"/>
      </w:pPr>
      <w:r>
        <w:t xml:space="preserve"/>
      </w:r>
    </w:p>
    <w:p>
      <w:pPr>
        <w:spacing w:line="360" w:before="600" w:after="120"/>
        <w:jc w:val="center"/>
      </w:pPr>
      <w:r>
        <w:rPr>
          <w:rFonts w:ascii="Times New Roman" w:cs="Times New Roman" w:eastAsia="Times New Roman" w:hAnsi="Times New Roman"/>
          <w:b w:val="false"/>
          <w:bCs w:val="false"/>
          <w:i w:val="false"/>
          <w:iCs w:val="false"/>
          <w:color w:val="000000"/>
          <w:sz w:val="24"/>
          <w:szCs w:val="24"/>
        </w:rPr>
        <w:t xml:space="preserve">kategoria pracy: praca konstrukcyjna</w:t>
      </w:r>
    </w:p>
    <w:p>
      <w:pPr>
        <w:spacing w:line="360" w:before="0" w:after="120"/>
        <w:jc w:val="center"/>
      </w:pPr>
      <w:r>
        <w:rPr>
          <w:rFonts w:ascii="Times New Roman" w:cs="Times New Roman" w:eastAsia="Times New Roman" w:hAnsi="Times New Roman"/>
          <w:b w:val="false"/>
          <w:bCs w:val="false"/>
          <w:i w:val="false"/>
          <w:iCs w:val="false"/>
          <w:color w:val="000000"/>
          <w:sz w:val="24"/>
          <w:szCs w:val="24"/>
        </w:rPr>
        <w:t xml:space="preserve">Promotor: dr hab. inż. ANNA NOWAK, prof. ATH</w:t>
      </w:r>
    </w:p>
    <w:p>
      <w:pPr>
        <w:spacing w:line="360" w:before="200" w:after="120"/>
        <w:jc w:val="center"/>
      </w:pPr>
      <w:r>
        <w:rPr>
          <w:rFonts w:ascii="Times New Roman" w:cs="Times New Roman" w:eastAsia="Times New Roman" w:hAnsi="Times New Roman"/>
          <w:b w:val="false"/>
          <w:bCs w:val="false"/>
          <w:i w:val="false"/>
          <w:iCs w:val="false"/>
          <w:color w:val="000000"/>
          <w:sz w:val="24"/>
          <w:szCs w:val="24"/>
        </w:rPr>
        <w:t xml:space="preserve">Bielsko-Biała, rok akademicki 2024/2025</w:t>
      </w:r>
    </w:p>
    <w:p>
      <w:pPr>
        <w:sectPr>
          <w:pgSz w:w="11906" w:h="16838" w:orient="portrait"/>
          <w:pgMar w:top="1417" w:right="1417" w:bottom="1417" w:left="1701" w:header="708" w:footer="708" w:gutter="0"/>
          <w:pgNumType/>
          <w:docGrid w:linePitch="360"/>
        </w:sectPr>
      </w:pPr>
    </w:p>
    <w:p>
      <w:pPr>
        <w:spacing w:line="360" w:before="0" w:after="480"/>
        <w:jc w:val="center"/>
      </w:pPr>
      <w:r>
        <w:rPr>
          <w:rFonts w:ascii="Times New Roman" w:cs="Times New Roman" w:eastAsia="Times New Roman" w:hAnsi="Times New Roman"/>
          <w:b/>
          <w:bCs/>
          <w:i w:val="false"/>
          <w:iCs w:val="false"/>
          <w:color w:val="000000"/>
          <w:sz w:val="28"/>
          <w:szCs w:val="28"/>
        </w:rPr>
        <w:t xml:space="preserve">Spis treści</w:t>
      </w:r>
    </w:p>
    <w:sdt>
      <w:sdtPr>
        <w:alias w:val="Spis treści"/>
      </w:sdtPr>
      <w:sdtContent>
        <w:p>
          <w:r>
            <w:fldChar w:fldCharType="begin" w:dirty="true"/>
            <w:instrText xml:space="preserve">TOC \h \o "1-3" \t "Heading1,1,Heading2,2,Heading3,3"</w:instrText>
            <w:fldChar w:fldCharType="separate"/>
          </w:r>
        </w:p>
        <w:p>
          <w:r>
            <w:fldChar w:fldCharType="end"/>
          </w:r>
        </w:p>
      </w:sdtContent>
    </w:sdt>
    <w:p>
      <w:r>
        <w:br w:type="page"/>
      </w:r>
    </w:p>
    <w:p>
      <w:pPr>
        <w:spacing w:line="360" w:before="0" w:after="480"/>
        <w:jc w:val="center"/>
      </w:pPr>
      <w:r>
        <w:rPr>
          <w:rFonts w:ascii="Times New Roman" w:cs="Times New Roman" w:eastAsia="Times New Roman" w:hAnsi="Times New Roman"/>
          <w:b/>
          <w:bCs/>
          <w:i w:val="false"/>
          <w:iCs w:val="false"/>
          <w:color w:val="000000"/>
          <w:sz w:val="28"/>
          <w:szCs w:val="28"/>
        </w:rPr>
        <w:t xml:space="preserve">Wykaz skrótów i oznaczeń</w:t>
      </w:r>
    </w:p>
    <w:p>
      <w:pPr>
        <w:pStyle w:val="ListParagraph"/>
        <w:numPr>
          <w:ilvl w:val="0"/>
          <w:numId w:val="2"/>
        </w:numPr>
        <w:spacing w:line="360" w:before="40" w:after="40"/>
      </w:pPr>
      <w:r>
        <w:rPr>
          <w:rFonts w:ascii="Times New Roman" w:cs="Times New Roman" w:eastAsia="Times New Roman" w:hAnsi="Times New Roman"/>
          <w:sz w:val="24"/>
          <w:szCs w:val="24"/>
        </w:rPr>
        <w:t xml:space="preserve">AI (Artificial Intelligence) – sztuczna inteligencja; ogólna dziedzina informatyki obejmująca systemy symulujące ludzką inteligencję.</w:t>
      </w:r>
    </w:p>
    <w:p>
      <w:pPr>
        <w:pStyle w:val="ListParagraph"/>
        <w:numPr>
          <w:ilvl w:val="0"/>
          <w:numId w:val="2"/>
        </w:numPr>
        <w:spacing w:line="360" w:before="40" w:after="40"/>
      </w:pPr>
      <w:r>
        <w:rPr>
          <w:rFonts w:ascii="Times New Roman" w:cs="Times New Roman" w:eastAsia="Times New Roman" w:hAnsi="Times New Roman"/>
          <w:sz w:val="24"/>
          <w:szCs w:val="24"/>
        </w:rPr>
        <w:t xml:space="preserve">CNN (Convolutional Neural Network) – konwolucyjna sieć neuronowa; klasa sieci głębokiego uczenia specjalizowana do analizy obrazów.</w:t>
      </w:r>
    </w:p>
    <w:p>
      <w:pPr>
        <w:pStyle w:val="ListParagraph"/>
        <w:numPr>
          <w:ilvl w:val="0"/>
          <w:numId w:val="2"/>
        </w:numPr>
        <w:spacing w:line="360" w:before="40" w:after="40"/>
      </w:pPr>
      <w:r>
        <w:rPr>
          <w:rFonts w:ascii="Times New Roman" w:cs="Times New Roman" w:eastAsia="Times New Roman" w:hAnsi="Times New Roman"/>
          <w:sz w:val="24"/>
          <w:szCs w:val="24"/>
        </w:rPr>
        <w:t xml:space="preserve">ViT (Vision Transformer) – transformerowa architektura sieci neuronowej adaptowana do analizy obrazów.</w:t>
      </w:r>
    </w:p>
    <w:p>
      <w:pPr>
        <w:pStyle w:val="ListParagraph"/>
        <w:numPr>
          <w:ilvl w:val="0"/>
          <w:numId w:val="2"/>
        </w:numPr>
        <w:spacing w:line="360" w:before="40" w:after="40"/>
      </w:pPr>
      <w:r>
        <w:rPr>
          <w:rFonts w:ascii="Times New Roman" w:cs="Times New Roman" w:eastAsia="Times New Roman" w:hAnsi="Times New Roman"/>
          <w:sz w:val="24"/>
          <w:szCs w:val="24"/>
        </w:rPr>
        <w:t xml:space="preserve">MobileNetV3 – lekka architektura CNN zoptymalizowana pod urządzenia mobilne.</w:t>
      </w:r>
    </w:p>
    <w:p>
      <w:pPr>
        <w:pStyle w:val="ListParagraph"/>
        <w:numPr>
          <w:ilvl w:val="0"/>
          <w:numId w:val="2"/>
        </w:numPr>
        <w:spacing w:line="360" w:before="40" w:after="40"/>
      </w:pPr>
      <w:r>
        <w:rPr>
          <w:rFonts w:ascii="Times New Roman" w:cs="Times New Roman" w:eastAsia="Times New Roman" w:hAnsi="Times New Roman"/>
          <w:sz w:val="24"/>
          <w:szCs w:val="24"/>
        </w:rPr>
        <w:t xml:space="preserve">ResNet-50 – sieć rezydualna o 50 warstwach, bazująca na połączeniach skip connections.</w:t>
      </w:r>
    </w:p>
    <w:p>
      <w:pPr>
        <w:pStyle w:val="ListParagraph"/>
        <w:numPr>
          <w:ilvl w:val="0"/>
          <w:numId w:val="2"/>
        </w:numPr>
        <w:spacing w:line="360" w:before="40" w:after="40"/>
      </w:pPr>
      <w:r>
        <w:rPr>
          <w:rFonts w:ascii="Times New Roman" w:cs="Times New Roman" w:eastAsia="Times New Roman" w:hAnsi="Times New Roman"/>
          <w:sz w:val="24"/>
          <w:szCs w:val="24"/>
        </w:rPr>
        <w:t xml:space="preserve">EfficientNet-B0 – architektura CNN ze złożonym skalowaniem głębokości, szerokości i rozdzielczości.</w:t>
      </w:r>
    </w:p>
    <w:p>
      <w:pPr>
        <w:pStyle w:val="ListParagraph"/>
        <w:numPr>
          <w:ilvl w:val="0"/>
          <w:numId w:val="2"/>
        </w:numPr>
        <w:spacing w:line="360" w:before="40" w:after="40"/>
      </w:pPr>
      <w:r>
        <w:rPr>
          <w:rFonts w:ascii="Times New Roman" w:cs="Times New Roman" w:eastAsia="Times New Roman" w:hAnsi="Times New Roman"/>
          <w:sz w:val="24"/>
          <w:szCs w:val="24"/>
        </w:rPr>
        <w:t xml:space="preserve">Grad-CAM (Gradient-weighted Class Activation Mapping) – metoda wizualizacji obszarów decyzyjnych sieci CNN.</w:t>
      </w:r>
    </w:p>
    <w:p>
      <w:pPr>
        <w:pStyle w:val="ListParagraph"/>
        <w:numPr>
          <w:ilvl w:val="0"/>
          <w:numId w:val="2"/>
        </w:numPr>
        <w:spacing w:line="360" w:before="40" w:after="40"/>
      </w:pPr>
      <w:r>
        <w:rPr>
          <w:rFonts w:ascii="Times New Roman" w:cs="Times New Roman" w:eastAsia="Times New Roman" w:hAnsi="Times New Roman"/>
          <w:sz w:val="24"/>
          <w:szCs w:val="24"/>
        </w:rPr>
        <w:t xml:space="preserve">GPU (Graphics Processing Unit) – procesor graficzny; używany do akceleracji obliczeń macierzowych w głębokim uczeniu.</w:t>
      </w:r>
    </w:p>
    <w:p>
      <w:pPr>
        <w:pStyle w:val="ListParagraph"/>
        <w:numPr>
          <w:ilvl w:val="0"/>
          <w:numId w:val="2"/>
        </w:numPr>
        <w:spacing w:line="360" w:before="40" w:after="40"/>
      </w:pPr>
      <w:r>
        <w:rPr>
          <w:rFonts w:ascii="Times New Roman" w:cs="Times New Roman" w:eastAsia="Times New Roman" w:hAnsi="Times New Roman"/>
          <w:sz w:val="24"/>
          <w:szCs w:val="24"/>
        </w:rPr>
        <w:t xml:space="preserve">CUDA (Compute Unified Device Architecture) – platforma programowania równoległego firmy NVIDIA; umożliwia wykonywanie obliczeń AI na kartach graficznych.</w:t>
      </w:r>
    </w:p>
    <w:p>
      <w:pPr>
        <w:pStyle w:val="ListParagraph"/>
        <w:numPr>
          <w:ilvl w:val="0"/>
          <w:numId w:val="2"/>
        </w:numPr>
        <w:spacing w:line="360" w:before="40" w:after="40"/>
      </w:pPr>
      <w:r>
        <w:rPr>
          <w:rFonts w:ascii="Times New Roman" w:cs="Times New Roman" w:eastAsia="Times New Roman" w:hAnsi="Times New Roman"/>
          <w:sz w:val="24"/>
          <w:szCs w:val="24"/>
        </w:rPr>
        <w:t xml:space="preserve">CPU (Central Processing Unit) – procesor centralny; używany do inferencji w przypadku braku obsługiwanej karty graficznej.</w:t>
      </w:r>
    </w:p>
    <w:p>
      <w:pPr>
        <w:pStyle w:val="ListParagraph"/>
        <w:numPr>
          <w:ilvl w:val="0"/>
          <w:numId w:val="2"/>
        </w:numPr>
        <w:spacing w:line="360" w:before="40" w:after="40"/>
      </w:pPr>
      <w:r>
        <w:rPr>
          <w:rFonts w:ascii="Times New Roman" w:cs="Times New Roman" w:eastAsia="Times New Roman" w:hAnsi="Times New Roman"/>
          <w:sz w:val="24"/>
          <w:szCs w:val="24"/>
        </w:rPr>
        <w:t xml:space="preserve">HAM10000 – Human Against Machine with 10 000 training images; duży zbiór zdjęć dermoskopowych.</w:t>
      </w:r>
    </w:p>
    <w:p>
      <w:pPr>
        <w:pStyle w:val="ListParagraph"/>
        <w:numPr>
          <w:ilvl w:val="0"/>
          <w:numId w:val="2"/>
        </w:numPr>
        <w:spacing w:line="360" w:before="40" w:after="40"/>
      </w:pPr>
      <w:r>
        <w:rPr>
          <w:rFonts w:ascii="Times New Roman" w:cs="Times New Roman" w:eastAsia="Times New Roman" w:hAnsi="Times New Roman"/>
          <w:sz w:val="24"/>
          <w:szCs w:val="24"/>
        </w:rPr>
        <w:t xml:space="preserve">MSLDv2.0 – Monkeypox Skin Lesion Dataset v2.0; zbiór zdjęć zmian skórnych chorób zakaźnych.</w:t>
      </w:r>
    </w:p>
    <w:p>
      <w:pPr>
        <w:pStyle w:val="ListParagraph"/>
        <w:numPr>
          <w:ilvl w:val="0"/>
          <w:numId w:val="2"/>
        </w:numPr>
        <w:spacing w:line="360" w:before="40" w:after="40"/>
      </w:pPr>
      <w:r>
        <w:rPr>
          <w:rFonts w:ascii="Times New Roman" w:cs="Times New Roman" w:eastAsia="Times New Roman" w:hAnsi="Times New Roman"/>
          <w:sz w:val="24"/>
          <w:szCs w:val="24"/>
        </w:rPr>
        <w:t xml:space="preserve">API (Application Programming Interface) – interfejs programowania aplikacji; zbiór protokołów komunikacji między komponentami oprogramowania.</w:t>
      </w:r>
    </w:p>
    <w:p>
      <w:pPr>
        <w:pStyle w:val="ListParagraph"/>
        <w:numPr>
          <w:ilvl w:val="0"/>
          <w:numId w:val="2"/>
        </w:numPr>
        <w:spacing w:line="360" w:before="40" w:after="40"/>
      </w:pPr>
      <w:r>
        <w:rPr>
          <w:rFonts w:ascii="Times New Roman" w:cs="Times New Roman" w:eastAsia="Times New Roman" w:hAnsi="Times New Roman"/>
          <w:sz w:val="24"/>
          <w:szCs w:val="24"/>
        </w:rPr>
        <w:t xml:space="preserve">REST (Representational State Transfer) – styl architektury oprogramowania dla usług sieciowych.</w:t>
      </w:r>
    </w:p>
    <w:p>
      <w:pPr>
        <w:pStyle w:val="ListParagraph"/>
        <w:numPr>
          <w:ilvl w:val="0"/>
          <w:numId w:val="2"/>
        </w:numPr>
        <w:spacing w:line="360" w:before="40" w:after="40"/>
      </w:pPr>
      <w:r>
        <w:rPr>
          <w:rFonts w:ascii="Times New Roman" w:cs="Times New Roman" w:eastAsia="Times New Roman" w:hAnsi="Times New Roman"/>
          <w:sz w:val="24"/>
          <w:szCs w:val="24"/>
        </w:rPr>
        <w:t xml:space="preserve">MVVM (Model-View-ViewModel) – wzorzec projektowy stosowany w interfejsach użytkownika.</w:t>
      </w:r>
    </w:p>
    <w:p>
      <w:pPr>
        <w:pStyle w:val="ListParagraph"/>
        <w:numPr>
          <w:ilvl w:val="0"/>
          <w:numId w:val="2"/>
        </w:numPr>
        <w:spacing w:line="360" w:before="40" w:after="40"/>
      </w:pPr>
      <w:r>
        <w:rPr>
          <w:rFonts w:ascii="Times New Roman" w:cs="Times New Roman" w:eastAsia="Times New Roman" w:hAnsi="Times New Roman"/>
          <w:sz w:val="24"/>
          <w:szCs w:val="24"/>
        </w:rPr>
        <w:t xml:space="preserve">F1-score – miara jakości modelu klasyfikacyjnego będąca średnią harmoniczną precyzji i czułości.</w:t>
      </w:r>
    </w:p>
    <w:p>
      <w:pPr>
        <w:pStyle w:val="ListParagraph"/>
        <w:numPr>
          <w:ilvl w:val="0"/>
          <w:numId w:val="2"/>
        </w:numPr>
        <w:spacing w:line="360" w:before="40" w:after="40"/>
      </w:pPr>
      <w:r>
        <w:rPr>
          <w:rFonts w:ascii="Times New Roman" w:cs="Times New Roman" w:eastAsia="Times New Roman" w:hAnsi="Times New Roman"/>
          <w:sz w:val="24"/>
          <w:szCs w:val="24"/>
        </w:rPr>
        <w:t xml:space="preserve">Transfer learning – uczenie transferowe; technika ponownego wykorzystania wag modelu wytrenowanego na dużym zbiorze danych do nowego zadania.</w:t>
      </w:r>
    </w:p>
    <w:p>
      <w:pPr>
        <w:pStyle w:val="ListParagraph"/>
        <w:numPr>
          <w:ilvl w:val="0"/>
          <w:numId w:val="2"/>
        </w:numPr>
        <w:spacing w:line="360" w:before="40" w:after="40"/>
      </w:pPr>
      <w:r>
        <w:rPr>
          <w:rFonts w:ascii="Times New Roman" w:cs="Times New Roman" w:eastAsia="Times New Roman" w:hAnsi="Times New Roman"/>
          <w:sz w:val="24"/>
          <w:szCs w:val="24"/>
        </w:rPr>
        <w:t xml:space="preserve">Early stopping – mechanizm przerywania treningu po wykryciu braku poprawy na zbiorze walidacyjnym.</w:t>
      </w:r>
    </w:p>
    <w:p>
      <w:pPr>
        <w:pStyle w:val="ListParagraph"/>
        <w:numPr>
          <w:ilvl w:val="0"/>
          <w:numId w:val="2"/>
        </w:numPr>
        <w:spacing w:line="360" w:before="40" w:after="40"/>
      </w:pPr>
      <w:r>
        <w:rPr>
          <w:rFonts w:ascii="Times New Roman" w:cs="Times New Roman" w:eastAsia="Times New Roman" w:hAnsi="Times New Roman"/>
          <w:sz w:val="24"/>
          <w:szCs w:val="24"/>
        </w:rPr>
        <w:t xml:space="preserve">Overfitting – przeuczenie; sytuacja gdy model osiąga wysoką dokładność treningową lecz słabą generalizację.</w:t>
      </w:r>
    </w:p>
    <w:p>
      <w:pPr>
        <w:pStyle w:val="ListParagraph"/>
        <w:numPr>
          <w:ilvl w:val="0"/>
          <w:numId w:val="2"/>
        </w:numPr>
        <w:spacing w:line="360" w:before="40" w:after="40"/>
      </w:pPr>
      <w:r>
        <w:rPr>
          <w:rFonts w:ascii="Times New Roman" w:cs="Times New Roman" w:eastAsia="Times New Roman" w:hAnsi="Times New Roman"/>
          <w:sz w:val="24"/>
          <w:szCs w:val="24"/>
        </w:rPr>
        <w:t xml:space="preserve">WeightedRandomSampler – technika próbkowania ważonego używana do wyrównywania nierównowagi klas w mini-batch.</w:t>
      </w:r>
    </w:p>
    <w:p>
      <w:r>
        <w:br w:type="page"/>
      </w:r>
    </w:p>
    <w:p>
      <w:pPr>
        <w:spacing w:line="360" w:before="0" w:after="360"/>
        <w:jc w:val="center"/>
      </w:pPr>
      <w:r>
        <w:rPr>
          <w:rFonts w:ascii="Times New Roman" w:cs="Times New Roman" w:eastAsia="Times New Roman" w:hAnsi="Times New Roman"/>
          <w:b/>
          <w:bCs/>
          <w:i w:val="false"/>
          <w:iCs w:val="false"/>
          <w:color w:val="000000"/>
          <w:sz w:val="28"/>
          <w:szCs w:val="28"/>
        </w:rPr>
        <w:t xml:space="preserve">Wstęp</w:t>
      </w:r>
    </w:p>
    <w:p>
      <w:pPr>
        <w:spacing w:line="360" w:before="0" w:after="120"/>
        <w:ind w:firstLine="720"/>
        <w:jc w:val="both"/>
      </w:pPr>
      <w:r>
        <w:rPr>
          <w:rFonts w:ascii="Times New Roman" w:cs="Times New Roman" w:eastAsia="Times New Roman" w:hAnsi="Times New Roman"/>
          <w:b w:val="false"/>
          <w:bCs w:val="false"/>
          <w:i w:val="false"/>
          <w:iCs w:val="false"/>
          <w:color w:val="000000"/>
          <w:sz w:val="24"/>
          <w:szCs w:val="24"/>
        </w:rPr>
        <w:t xml:space="preserve">Choroby skóry stanowią jeden z najczęstszych problemów zdrowotnych na świecie. Szacuje się, że ponad 900 milionów ludzi zmaga się z dermatozami w jakimkolwiek momencie swojego życia, a koszty ich leczenia sięgają setek miliardów dolarów rocznie. Czerniak złośliwy, będący najgroźniejszą formą raka skóry, rocznie diagnozowany jest u ponad 300 000 nowych pacjentów na całym świecie i odpowiada za około 60 000 zgonów. Kluczowym czynnikiem wpływającym na rokowanie jest czas wykrycia – pięcioletnie przeżycie przy lokalizowanym czerniaku (stadium I) przekracza 98%, natomiast w przypadku przerzutów odległych (stadium IV) spada poniżej 30%.</w:t>
      </w:r>
    </w:p>
    <w:p>
      <w:pPr>
        <w:spacing w:line="360" w:before="0" w:after="120"/>
        <w:ind w:firstLine="720"/>
        <w:jc w:val="both"/>
      </w:pPr>
      <w:r>
        <w:rPr>
          <w:rFonts w:ascii="Times New Roman" w:cs="Times New Roman" w:eastAsia="Times New Roman" w:hAnsi="Times New Roman"/>
          <w:b w:val="false"/>
          <w:bCs w:val="false"/>
          <w:i w:val="false"/>
          <w:iCs w:val="false"/>
          <w:color w:val="000000"/>
          <w:sz w:val="24"/>
          <w:szCs w:val="24"/>
        </w:rPr>
        <w:t xml:space="preserve">Tradycyjna diagnostyka dermatologiczna opiera się na ocenie wizualnej zmian skórnych przez lekarza specjalistę, często wspomaganej dermoskopem. Dermoskopia, zwana też dermatoskopią lub epiluminescencyjną mikroskopią powierzchniową, pozwala na analizę struktur niewidocznych gołym okiem: wzorców naczyniowych, rozkładu pigmentu i cech siatki melanocytarnej. Pomimo wysokiej czułości w rękach doświadczonego dermatologa, metoda ta jest subiektywna i uzależniona od umiejętności badającego. Problem dostępności specjalistów pogłębia się – w wielu krajach Europy i Azji czas oczekiwania na wizytę dermatologa przekracza kilka miesięcy.</w:t>
      </w:r>
    </w:p>
    <w:p>
      <w:pPr>
        <w:spacing w:line="360" w:before="0" w:after="120"/>
        <w:ind w:firstLine="720"/>
        <w:jc w:val="both"/>
      </w:pPr>
      <w:r>
        <w:rPr>
          <w:rFonts w:ascii="Times New Roman" w:cs="Times New Roman" w:eastAsia="Times New Roman" w:hAnsi="Times New Roman"/>
          <w:b w:val="false"/>
          <w:bCs w:val="false"/>
          <w:i w:val="false"/>
          <w:iCs w:val="false"/>
          <w:color w:val="000000"/>
          <w:sz w:val="24"/>
          <w:szCs w:val="24"/>
        </w:rPr>
        <w:t xml:space="preserve">Głębokie uczenie maszynowe (ang. deep learning) zrewolucjonizowało podejście do automatycznej analizy obrazów medycznych. Przełomowa praca Esteva i in. z 2017 roku wykazała, że konwolucyjna sieć neuronowa wytrenowana na 129 450 zdjęciach zmian skórnych klasyfikuje czerniaki i raki podstawnokomórkowe z dokładnością porównywalną lub przewyższającą 21 certyfikowanych dermatologów [2]. Od tego czasu liczba publikacji poświęconych AI w dermatologii wzrosła wykładniczo, a modele osiągają coraz wyższe wyniki na standardowych benchmarkach.</w:t>
      </w:r>
    </w:p>
    <w:p>
      <w:pPr>
        <w:spacing w:line="360" w:before="0" w:after="120"/>
        <w:ind w:firstLine="720"/>
        <w:jc w:val="both"/>
      </w:pPr>
      <w:r>
        <w:rPr>
          <w:rFonts w:ascii="Times New Roman" w:cs="Times New Roman" w:eastAsia="Times New Roman" w:hAnsi="Times New Roman"/>
          <w:b w:val="false"/>
          <w:bCs w:val="false"/>
          <w:i w:val="false"/>
          <w:iCs w:val="false"/>
          <w:color w:val="000000"/>
          <w:sz w:val="24"/>
          <w:szCs w:val="24"/>
        </w:rPr>
        <w:t xml:space="preserve">Niniejsza praca magisterska opisuje projekt i implementację kompleksowego systemu komputerowego do analizy zdjęć dermatologicznych. System łączy pięć modeli głębokiego uczenia – cztery architektury CNN (MobileNetV3, ResNet-50, EfficientNet-B0 i własna sieć Custom CNN) oraz transformerową architekturę ViT-B/16 – pracujących w trybie komitetu decyzyjnego (ensemble). Wszystkie modele zostały wytrenowane na połączonym zbiorze danych obejmującym 14 klas zmian skórnych i chorób zakaźnych. System wyposażono w mechanizm generowania map Grad-CAM, moduł historii badań pacjenta z mapą ciała, obsługę języka polskiego oraz interfejs webowy zrealizowany w technologii React i TypeScript.</w:t>
      </w:r>
    </w:p>
    <w:p>
      <w:pPr>
        <w:spacing w:line="360" w:before="0" w:after="120"/>
        <w:ind w:firstLine="720"/>
        <w:jc w:val="both"/>
      </w:pPr>
      <w:r>
        <w:rPr>
          <w:rFonts w:ascii="Times New Roman" w:cs="Times New Roman" w:eastAsia="Times New Roman" w:hAnsi="Times New Roman"/>
          <w:b w:val="false"/>
          <w:bCs w:val="false"/>
          <w:i w:val="false"/>
          <w:iCs w:val="false"/>
          <w:color w:val="000000"/>
          <w:sz w:val="24"/>
          <w:szCs w:val="24"/>
        </w:rPr>
        <w:t xml:space="preserve">Trening wszystkich modeli przeprowadzono na platformie Kaggle z wykorzystaniem akceleracji GPU (NVIDIA CUDA). Łączny czas treningu pięciu modeli wyniósł ponad 8 godzin, z czego model ViT-B/16 wymagał największych zasobów obliczeniowych – 182 minuty – ze względu na ogromną liczbę parametrów i koszt obliczania mechanizmu wielogłowicowej uwagi.</w:t>
      </w:r>
    </w:p>
    <w:p>
      <w:r>
        <w:br w:type="page"/>
      </w:r>
    </w:p>
    <w:p>
      <w:pPr>
        <w:spacing w:line="360" w:before="0" w:after="360"/>
        <w:jc w:val="center"/>
      </w:pPr>
      <w:r>
        <w:rPr>
          <w:rFonts w:ascii="Times New Roman" w:cs="Times New Roman" w:eastAsia="Times New Roman" w:hAnsi="Times New Roman"/>
          <w:b/>
          <w:bCs/>
          <w:i w:val="false"/>
          <w:iCs w:val="false"/>
          <w:color w:val="000000"/>
          <w:sz w:val="28"/>
          <w:szCs w:val="28"/>
        </w:rPr>
        <w:t xml:space="preserve">Cel pracy</w:t>
      </w:r>
    </w:p>
    <w:p>
      <w:pPr>
        <w:spacing w:line="360" w:before="0" w:after="120"/>
        <w:ind w:firstLine="720"/>
        <w:jc w:val="both"/>
      </w:pPr>
      <w:r>
        <w:rPr>
          <w:rFonts w:ascii="Times New Roman" w:cs="Times New Roman" w:eastAsia="Times New Roman" w:hAnsi="Times New Roman"/>
          <w:b w:val="false"/>
          <w:bCs w:val="false"/>
          <w:i w:val="false"/>
          <w:iCs w:val="false"/>
          <w:color w:val="000000"/>
          <w:sz w:val="24"/>
          <w:szCs w:val="24"/>
        </w:rPr>
        <w:t xml:space="preserve">Celem pracy jest zaprojektowanie, implementacja i ewaluacja systemu komputerowego do automatycznej klasyfikacji zmian skórnych i chorób zakaźnych manifestujących się zmianami dermatologicznymi, z zastosowaniem modeli głębokiego uczenia. Szczegółowe cele pracy obejmują:</w:t>
      </w:r>
    </w:p>
    <w:p>
      <w:pPr>
        <w:pStyle w:val="ListParagraph"/>
        <w:numPr>
          <w:ilvl w:val="0"/>
          <w:numId w:val="2"/>
        </w:numPr>
        <w:spacing w:line="360" w:before="40" w:after="40"/>
      </w:pPr>
      <w:r>
        <w:rPr>
          <w:rFonts w:ascii="Times New Roman" w:cs="Times New Roman" w:eastAsia="Times New Roman" w:hAnsi="Times New Roman"/>
          <w:sz w:val="24"/>
          <w:szCs w:val="24"/>
        </w:rPr>
        <w:t xml:space="preserve">porównanie efektywności pięciu architektur sieci neuronowych: MobileNetV3, ResNet-50, EfficientNet-B0, Custom CNN i ViT-B/16 na identycznym zbiorze danych testowych,</w:t>
      </w:r>
    </w:p>
    <w:p>
      <w:pPr>
        <w:pStyle w:val="ListParagraph"/>
        <w:numPr>
          <w:ilvl w:val="0"/>
          <w:numId w:val="2"/>
        </w:numPr>
        <w:spacing w:line="360" w:before="40" w:after="40"/>
      </w:pPr>
      <w:r>
        <w:rPr>
          <w:rFonts w:ascii="Times New Roman" w:cs="Times New Roman" w:eastAsia="Times New Roman" w:hAnsi="Times New Roman"/>
          <w:sz w:val="24"/>
          <w:szCs w:val="24"/>
        </w:rPr>
        <w:t xml:space="preserve">zbadanie wpływu wybranej architektury na czas treningu i odporność na zakłócenia (szum i rozmycie obrazu),</w:t>
      </w:r>
    </w:p>
    <w:p>
      <w:pPr>
        <w:pStyle w:val="ListParagraph"/>
        <w:numPr>
          <w:ilvl w:val="0"/>
          <w:numId w:val="2"/>
        </w:numPr>
        <w:spacing w:line="360" w:before="40" w:after="40"/>
      </w:pPr>
      <w:r>
        <w:rPr>
          <w:rFonts w:ascii="Times New Roman" w:cs="Times New Roman" w:eastAsia="Times New Roman" w:hAnsi="Times New Roman"/>
          <w:sz w:val="24"/>
          <w:szCs w:val="24"/>
        </w:rPr>
        <w:t xml:space="preserve">implementację metody Grad-CAM jako narzędzia objaśnialnej AI w kontekście medycznym,</w:t>
      </w:r>
    </w:p>
    <w:p>
      <w:pPr>
        <w:pStyle w:val="ListParagraph"/>
        <w:numPr>
          <w:ilvl w:val="0"/>
          <w:numId w:val="2"/>
        </w:numPr>
        <w:spacing w:line="360" w:before="40" w:after="40"/>
      </w:pPr>
      <w:r>
        <w:rPr>
          <w:rFonts w:ascii="Times New Roman" w:cs="Times New Roman" w:eastAsia="Times New Roman" w:hAnsi="Times New Roman"/>
          <w:sz w:val="24"/>
          <w:szCs w:val="24"/>
        </w:rPr>
        <w:t xml:space="preserve">budowę kompletnej aplikacji webowej umożliwiającej analizę zdjęć z poziomu przeglądarki internetowej, w tym obsługę kamery mobilnej,</w:t>
      </w:r>
    </w:p>
    <w:p>
      <w:pPr>
        <w:pStyle w:val="ListParagraph"/>
        <w:numPr>
          <w:ilvl w:val="0"/>
          <w:numId w:val="2"/>
        </w:numPr>
        <w:spacing w:line="360" w:before="40" w:after="40"/>
      </w:pPr>
      <w:r>
        <w:rPr>
          <w:rFonts w:ascii="Times New Roman" w:cs="Times New Roman" w:eastAsia="Times New Roman" w:hAnsi="Times New Roman"/>
          <w:sz w:val="24"/>
          <w:szCs w:val="24"/>
        </w:rPr>
        <w:t xml:space="preserve">zapewnienie możliwości działania systemu zarówno na GPU (akceleracja NVIDIA CUDA), jak i na CPU w przypadku braku kompatybilnej karty graficznej.</w:t>
      </w:r>
    </w:p>
    <w:p>
      <w:r>
        <w:br w:type="page"/>
      </w:r>
    </w:p>
    <w:p>
      <w:pPr>
        <w:spacing w:line="360" w:before="0" w:after="360"/>
        <w:jc w:val="center"/>
      </w:pPr>
      <w:r>
        <w:rPr>
          <w:rFonts w:ascii="Times New Roman" w:cs="Times New Roman" w:eastAsia="Times New Roman" w:hAnsi="Times New Roman"/>
          <w:b/>
          <w:bCs/>
          <w:i w:val="false"/>
          <w:iCs w:val="false"/>
          <w:color w:val="000000"/>
          <w:sz w:val="28"/>
          <w:szCs w:val="28"/>
        </w:rPr>
        <w:t xml:space="preserve">Zakres pracy</w:t>
      </w:r>
    </w:p>
    <w:p>
      <w:pPr>
        <w:spacing w:line="360" w:before="80" w:after="120"/>
        <w:jc w:val="both"/>
      </w:pPr>
      <w:r>
        <w:rPr>
          <w:rFonts w:ascii="Times New Roman" w:cs="Times New Roman" w:eastAsia="Times New Roman" w:hAnsi="Times New Roman"/>
          <w:b w:val="false"/>
          <w:bCs w:val="false"/>
          <w:i w:val="false"/>
          <w:iCs w:val="false"/>
          <w:color w:val="000000"/>
          <w:sz w:val="24"/>
          <w:szCs w:val="24"/>
        </w:rPr>
        <w:t xml:space="preserve">1. Przeprowadzenie analizy literaturowej dotyczącej: dermatologii klinicznej i nowotworów skóry, głębokiego uczenia w klasyfikacji obrazów medycznych, architektur CNN i ViT.</w:t>
      </w:r>
    </w:p>
    <w:p>
      <w:pPr>
        <w:spacing w:line="360" w:before="80" w:after="120"/>
        <w:jc w:val="both"/>
      </w:pPr>
      <w:r>
        <w:rPr>
          <w:rFonts w:ascii="Times New Roman" w:cs="Times New Roman" w:eastAsia="Times New Roman" w:hAnsi="Times New Roman"/>
          <w:b w:val="false"/>
          <w:bCs w:val="false"/>
          <w:i w:val="false"/>
          <w:iCs w:val="false"/>
          <w:color w:val="000000"/>
          <w:sz w:val="24"/>
          <w:szCs w:val="24"/>
        </w:rPr>
        <w:t xml:space="preserve">2. Wybór i przygotowanie zbioru danych (Skin Lesions Dataset – HAM10000 + MSLDv2.0).</w:t>
      </w:r>
    </w:p>
    <w:p>
      <w:pPr>
        <w:spacing w:line="360" w:before="80" w:after="120"/>
        <w:jc w:val="both"/>
      </w:pPr>
      <w:r>
        <w:rPr>
          <w:rFonts w:ascii="Times New Roman" w:cs="Times New Roman" w:eastAsia="Times New Roman" w:hAnsi="Times New Roman"/>
          <w:b w:val="false"/>
          <w:bCs w:val="false"/>
          <w:i w:val="false"/>
          <w:iCs w:val="false"/>
          <w:color w:val="000000"/>
          <w:sz w:val="24"/>
          <w:szCs w:val="24"/>
        </w:rPr>
        <w:t xml:space="preserve">3. Implementacja notatnika Jupyter do treningu i ewaluacji pięciu modeli klasyfikacyjnych na platformie Kaggle.</w:t>
      </w:r>
    </w:p>
    <w:p>
      <w:pPr>
        <w:spacing w:line="360" w:before="80" w:after="120"/>
        <w:jc w:val="both"/>
      </w:pPr>
      <w:r>
        <w:rPr>
          <w:rFonts w:ascii="Times New Roman" w:cs="Times New Roman" w:eastAsia="Times New Roman" w:hAnsi="Times New Roman"/>
          <w:b w:val="false"/>
          <w:bCs w:val="false"/>
          <w:i w:val="false"/>
          <w:iCs w:val="false"/>
          <w:color w:val="000000"/>
          <w:sz w:val="24"/>
          <w:szCs w:val="24"/>
        </w:rPr>
        <w:t xml:space="preserve">4. Implementacja mechanizmu Grad-CAM i testu odporności modeli (szum Gaussowski, rozmycie).</w:t>
      </w:r>
    </w:p>
    <w:p>
      <w:pPr>
        <w:spacing w:line="360" w:before="80" w:after="120"/>
        <w:jc w:val="both"/>
      </w:pPr>
      <w:r>
        <w:rPr>
          <w:rFonts w:ascii="Times New Roman" w:cs="Times New Roman" w:eastAsia="Times New Roman" w:hAnsi="Times New Roman"/>
          <w:b w:val="false"/>
          <w:bCs w:val="false"/>
          <w:i w:val="false"/>
          <w:iCs w:val="false"/>
          <w:color w:val="000000"/>
          <w:sz w:val="24"/>
          <w:szCs w:val="24"/>
        </w:rPr>
        <w:t xml:space="preserve">5. Projekt i implementacja back-endu w Python/Streamlit oraz REST API.</w:t>
      </w:r>
    </w:p>
    <w:p>
      <w:pPr>
        <w:spacing w:line="360" w:before="80" w:after="120"/>
        <w:jc w:val="both"/>
      </w:pPr>
      <w:r>
        <w:rPr>
          <w:rFonts w:ascii="Times New Roman" w:cs="Times New Roman" w:eastAsia="Times New Roman" w:hAnsi="Times New Roman"/>
          <w:b w:val="false"/>
          <w:bCs w:val="false"/>
          <w:i w:val="false"/>
          <w:iCs w:val="false"/>
          <w:color w:val="000000"/>
          <w:sz w:val="24"/>
          <w:szCs w:val="24"/>
        </w:rPr>
        <w:t xml:space="preserve">6. Projekt i implementacja front-endu w React/TypeScript/Tailwind CSS/shadcn-ui.</w:t>
      </w:r>
    </w:p>
    <w:p>
      <w:pPr>
        <w:spacing w:line="360" w:before="80" w:after="120"/>
        <w:jc w:val="both"/>
      </w:pPr>
      <w:r>
        <w:rPr>
          <w:rFonts w:ascii="Times New Roman" w:cs="Times New Roman" w:eastAsia="Times New Roman" w:hAnsi="Times New Roman"/>
          <w:b w:val="false"/>
          <w:bCs w:val="false"/>
          <w:i w:val="false"/>
          <w:iCs w:val="false"/>
          <w:color w:val="000000"/>
          <w:sz w:val="24"/>
          <w:szCs w:val="24"/>
        </w:rPr>
        <w:t xml:space="preserve">7. Integracja funkcjonalności: mapa ciała, historia badań, panel kamery.</w:t>
      </w:r>
    </w:p>
    <w:p>
      <w:pPr>
        <w:spacing w:line="360" w:before="80" w:after="120"/>
        <w:jc w:val="both"/>
      </w:pPr>
      <w:r>
        <w:rPr>
          <w:rFonts w:ascii="Times New Roman" w:cs="Times New Roman" w:eastAsia="Times New Roman" w:hAnsi="Times New Roman"/>
          <w:b w:val="false"/>
          <w:bCs w:val="false"/>
          <w:i w:val="false"/>
          <w:iCs w:val="false"/>
          <w:color w:val="000000"/>
          <w:sz w:val="24"/>
          <w:szCs w:val="24"/>
        </w:rPr>
        <w:t xml:space="preserve">8. Analiza wyników, dyskusja i wnioski końcowe.</w:t>
      </w:r>
    </w:p>
    <w:p>
      <w:r>
        <w:br w:type="page"/>
      </w:r>
    </w:p>
    <w:p>
      <w:pPr>
        <w:pStyle w:val="Heading1"/>
        <w:spacing w:before="480" w:after="240" w:line="360"/>
      </w:pPr>
      <w:r>
        <w:rPr>
          <w:rFonts w:ascii="Times New Roman" w:cs="Times New Roman" w:eastAsia="Times New Roman" w:hAnsi="Times New Roman"/>
          <w:b/>
          <w:bCs/>
          <w:color w:val="000000"/>
          <w:sz w:val="28"/>
          <w:szCs w:val="28"/>
        </w:rPr>
        <w:t xml:space="preserve">1 Dermatologia i automatyczna diagnostyka skórna – przegląd literaturowy</w:t>
      </w:r>
    </w:p>
    <w:p>
      <w:pPr>
        <w:pStyle w:val="Heading2"/>
        <w:spacing w:before="360" w:after="180" w:line="360"/>
      </w:pPr>
      <w:r>
        <w:rPr>
          <w:rFonts w:ascii="Times New Roman" w:cs="Times New Roman" w:eastAsia="Times New Roman" w:hAnsi="Times New Roman"/>
          <w:b/>
          <w:bCs/>
          <w:color w:val="000000"/>
          <w:sz w:val="24"/>
          <w:szCs w:val="24"/>
        </w:rPr>
        <w:t xml:space="preserve">1.1 Skóra jako narząd i jej choroby</w:t>
      </w:r>
    </w:p>
    <w:p>
      <w:pPr>
        <w:spacing w:line="360" w:before="0" w:after="120"/>
        <w:ind w:firstLine="720"/>
        <w:jc w:val="both"/>
      </w:pPr>
      <w:r>
        <w:rPr>
          <w:rFonts w:ascii="Times New Roman" w:cs="Times New Roman" w:eastAsia="Times New Roman" w:hAnsi="Times New Roman"/>
          <w:b w:val="false"/>
          <w:bCs w:val="false"/>
          <w:i w:val="false"/>
          <w:iCs w:val="false"/>
          <w:color w:val="000000"/>
          <w:sz w:val="24"/>
          <w:szCs w:val="24"/>
        </w:rPr>
        <w:t xml:space="preserve">Skóra jest największym narządem ciała człowieka, o powierzchni 1,5–2 m² i masie stanowiącej ok. 15% całkowitej masy ciała. Pełni ona funkcje ochronne (bariera mechaniczna, immunologiczna i chemiczna), termoregulacyjne, zmysłowe i metaboliczne (synteza witaminy D3). Zbudowana jest z trzech warstw: naskórka (epidermis), skóry właściwej (dermis) i tkanki podskórnej (hypodermis). W obrębie naskórka zlokalizowane są melanocyty – komórki produkujące melaninę, odpowiedzialne za ubarwienie skóry i ochronę przed promieniowaniem UV.</w:t>
      </w:r>
    </w:p>
    <w:p>
      <w:pPr>
        <w:spacing w:line="360" w:before="0" w:after="120"/>
        <w:ind w:firstLine="720"/>
        <w:jc w:val="both"/>
      </w:pPr>
      <w:r>
        <w:rPr>
          <w:rFonts w:ascii="Times New Roman" w:cs="Times New Roman" w:eastAsia="Times New Roman" w:hAnsi="Times New Roman"/>
          <w:b w:val="false"/>
          <w:bCs w:val="false"/>
          <w:i w:val="false"/>
          <w:iCs w:val="false"/>
          <w:color w:val="000000"/>
          <w:sz w:val="24"/>
          <w:szCs w:val="24"/>
        </w:rPr>
        <w:t xml:space="preserve">Choroby skóry można klasyfikować ze względu na przyczynę (zakaźne, nowotworowe, autoimmunologiczne, alergiczne) lub na morfologię zmian. Z punktu widzenia niniejszej pracy najistotniejsze są: nowotwory złośliwe i łagodne wywodzące się z melanocytów i keratynocytów oraz choroby zakaźne z charakterystycznym obrazem skórnym. Diagnostyka dermatologiczna bazuje na ocenie zmian pierwotnych (plama, grudka, pęcherzyk, krosta, guzek) i wtórnych (nadżerka, owrzodzenie, blizna, łuska), a jej jakość zależy od doświadczenia klinicznego badającego.</w:t>
      </w:r>
    </w:p>
    <w:p>
      <w:pPr>
        <w:spacing w:line="360" w:before="0" w:after="120"/>
        <w:ind w:firstLine="720"/>
        <w:jc w:val="both"/>
      </w:pPr>
      <w:r>
        <w:rPr>
          <w:rFonts w:ascii="Times New Roman" w:cs="Times New Roman" w:eastAsia="Times New Roman" w:hAnsi="Times New Roman"/>
          <w:b w:val="false"/>
          <w:bCs w:val="false"/>
          <w:i w:val="false"/>
          <w:iCs w:val="false"/>
          <w:color w:val="000000"/>
          <w:sz w:val="24"/>
          <w:szCs w:val="24"/>
        </w:rPr>
        <w:t xml:space="preserve">Kliniczne rozpoznanie zmian melanocytarnych opiera się na regule ABCDE: asymetria kształtu (Asymmetry), nieregularne brzegi (Border), niejednorodne zabarwienie (Color), średnica &gt; 6 mm (Diameter) i ewolucja (Evolution) – zmiana rozmiaru, kształtu lub barwy w czasie. Reguła ta, choć powszechnie stosowana w praktyce lekarza pierwszego kontaktu, ma ograniczoną czułość i swoistość, szczególnie w odniesieniu do czerniakopodobnych zmian łagodnych oraz wczesnych czerniaków. Stąd potrzeba narzędzi wspomagających diagnostykę.</w:t>
      </w:r>
    </w:p>
    <w:p>
      <w:pPr>
        <w:pStyle w:val="Heading2"/>
        <w:spacing w:before="360" w:after="180" w:line="360"/>
      </w:pPr>
      <w:r>
        <w:rPr>
          <w:rFonts w:ascii="Times New Roman" w:cs="Times New Roman" w:eastAsia="Times New Roman" w:hAnsi="Times New Roman"/>
          <w:b/>
          <w:bCs/>
          <w:color w:val="000000"/>
          <w:sz w:val="24"/>
          <w:szCs w:val="24"/>
        </w:rPr>
        <w:t xml:space="preserve">1.2 Klasyfikacja nowotworów skóry w zbiorze danych</w:t>
      </w:r>
    </w:p>
    <w:p>
      <w:pPr>
        <w:spacing w:line="360" w:before="0" w:after="120"/>
        <w:ind w:firstLine="720"/>
        <w:jc w:val="both"/>
      </w:pPr>
      <w:r>
        <w:rPr>
          <w:rFonts w:ascii="Times New Roman" w:cs="Times New Roman" w:eastAsia="Times New Roman" w:hAnsi="Times New Roman"/>
          <w:b w:val="false"/>
          <w:bCs w:val="false"/>
          <w:i w:val="false"/>
          <w:iCs w:val="false"/>
          <w:color w:val="000000"/>
          <w:sz w:val="24"/>
          <w:szCs w:val="24"/>
        </w:rPr>
        <w:t xml:space="preserve">Spośród 14 klas obecnych w zbiorze danych niniejszej pracy, cztery dotyczą zmian o charakterze nowotworowym lub przedrakowym:</w:t>
      </w:r>
    </w:p>
    <w:p>
      <w:pPr>
        <w:spacing w:line="360" w:before="0" w:after="120"/>
        <w:ind w:firstLine="720"/>
        <w:jc w:val="both"/>
      </w:pPr>
      <w:r>
        <w:rPr>
          <w:rFonts w:ascii="Times New Roman" w:cs="Times New Roman" w:eastAsia="Times New Roman" w:hAnsi="Times New Roman"/>
          <w:b w:val="false"/>
          <w:bCs w:val="false"/>
          <w:i w:val="false"/>
          <w:iCs w:val="false"/>
          <w:color w:val="000000"/>
          <w:sz w:val="24"/>
          <w:szCs w:val="24"/>
        </w:rPr>
        <w:t xml:space="preserve">Melanoma (czerniak złośliwy) jest nowotworem wywodzącym się z melanocytów. Stanowi jedynie ok. 4% wszystkich nowotworów skóry, lecz odpowiada za ponad 80% zgonów z ich powodu. Agresywny wzrost i wczesna zdolność do tworzenia przerzutów drogą krwionośną i chłonną sprawiają, że wczesna diagnoza jest warunkiem skutecznego leczenia. Dermoskopowo czerniak wykazuje nieregularną sieć barwnikową, wsteczną regresję, atypowe struktury naczyniowe i nierównomierną dystrybucję pigmentu. W zbiorze testowym klasa ta liczyła 453 próbki, co czyni ją jedną z trudniejszych do klasyfikacji.</w:t>
      </w:r>
    </w:p>
    <w:p>
      <w:pPr>
        <w:spacing w:line="360" w:before="0" w:after="120"/>
        <w:ind w:firstLine="720"/>
        <w:jc w:val="both"/>
      </w:pPr>
      <w:r>
        <w:rPr>
          <w:rFonts w:ascii="Times New Roman" w:cs="Times New Roman" w:eastAsia="Times New Roman" w:hAnsi="Times New Roman"/>
          <w:b w:val="false"/>
          <w:bCs w:val="false"/>
          <w:i w:val="false"/>
          <w:iCs w:val="false"/>
          <w:color w:val="000000"/>
          <w:sz w:val="24"/>
          <w:szCs w:val="24"/>
        </w:rPr>
        <w:t xml:space="preserve">Basal cell carcinoma (rak podstawnokomórkowy, BCC) jest najczęstszym nowotworem złośliwym u człowieka – odpowiada za ok. 75% wszystkich raków skóry. Wywodzi się z komórek podstawnych naskórka. Mimo złośliwego charakteru rzadko daje przerzuty odległe; nieleczony powoduje jednak miejscowe zniszczenie tkanek. Dermoskopowo charakteryzuje się obecnością drzewkowatych naczyń, blobów barwnikowych i obszarów liściowych.</w:t>
      </w:r>
    </w:p>
    <w:p>
      <w:pPr>
        <w:spacing w:line="360" w:before="0" w:after="120"/>
        <w:ind w:firstLine="720"/>
        <w:jc w:val="both"/>
      </w:pPr>
      <w:r>
        <w:rPr>
          <w:rFonts w:ascii="Times New Roman" w:cs="Times New Roman" w:eastAsia="Times New Roman" w:hAnsi="Times New Roman"/>
          <w:b w:val="false"/>
          <w:bCs w:val="false"/>
          <w:i w:val="false"/>
          <w:iCs w:val="false"/>
          <w:color w:val="000000"/>
          <w:sz w:val="24"/>
          <w:szCs w:val="24"/>
        </w:rPr>
        <w:t xml:space="preserve">Squamous cell carcinoma (rak płaskonabłonkowy, SCC) jest drugim co do częstości nowotworem złośliwym skóry. Wywodzi się z keratynocytów warstwy kolczystej naskórka. Cechuje się wyższym potencjałem przerzutowym niż BCC. Często pojawia się na podłożu actinic keratosis (rogowacenia słonecznego), które uznawane jest za zmianę przedrakową.</w:t>
      </w:r>
    </w:p>
    <w:p>
      <w:pPr>
        <w:spacing w:line="360" w:before="0" w:after="120"/>
        <w:ind w:firstLine="720"/>
        <w:jc w:val="both"/>
      </w:pPr>
      <w:r>
        <w:rPr>
          <w:rFonts w:ascii="Times New Roman" w:cs="Times New Roman" w:eastAsia="Times New Roman" w:hAnsi="Times New Roman"/>
          <w:b w:val="false"/>
          <w:bCs w:val="false"/>
          <w:i w:val="false"/>
          <w:iCs w:val="false"/>
          <w:color w:val="000000"/>
          <w:sz w:val="24"/>
          <w:szCs w:val="24"/>
        </w:rPr>
        <w:t xml:space="preserve">Actinic keratoses (rogowacenie słoneczne, AK) to zmiana przednowotworowa, klasyczna sekwencja UV-uszkodzenie DNA-mutacja w genie TP53. Nieleczone AK może przekształcić się w SCC w ok. 5–10% przypadków. Klinicznie objawia się jako szorstka, łuszcząca się zmiana na skórze przewlekle eksponowanej na słońce.</w:t>
      </w:r>
    </w:p>
    <w:p>
      <w:pPr>
        <w:pStyle w:val="Heading2"/>
        <w:spacing w:before="360" w:after="180" w:line="360"/>
      </w:pPr>
      <w:r>
        <w:rPr>
          <w:rFonts w:ascii="Times New Roman" w:cs="Times New Roman" w:eastAsia="Times New Roman" w:hAnsi="Times New Roman"/>
          <w:b/>
          <w:bCs/>
          <w:color w:val="000000"/>
          <w:sz w:val="24"/>
          <w:szCs w:val="24"/>
        </w:rPr>
        <w:t xml:space="preserve">1.3 Wirusowe choroby zakaźne z manifestacją skórną</w:t>
      </w:r>
    </w:p>
    <w:p>
      <w:pPr>
        <w:spacing w:line="360" w:before="0" w:after="120"/>
        <w:ind w:firstLine="720"/>
        <w:jc w:val="both"/>
      </w:pPr>
      <w:r>
        <w:rPr>
          <w:rFonts w:ascii="Times New Roman" w:cs="Times New Roman" w:eastAsia="Times New Roman" w:hAnsi="Times New Roman"/>
          <w:b w:val="false"/>
          <w:bCs w:val="false"/>
          <w:i w:val="false"/>
          <w:iCs w:val="false"/>
          <w:color w:val="000000"/>
          <w:sz w:val="24"/>
          <w:szCs w:val="24"/>
        </w:rPr>
        <w:t xml:space="preserve">Zbiór MSLDv2.0 wprowadził do zestawu danych klasy chorób zakaźnych, których wspólną cechą jest charakterystyczny obraz skórny. Jest to szczególnie aktualne w kontekście globalnego zagrożenia epidemicznego.</w:t>
      </w:r>
    </w:p>
    <w:p>
      <w:pPr>
        <w:spacing w:line="360" w:before="0" w:after="120"/>
        <w:ind w:firstLine="720"/>
        <w:jc w:val="both"/>
      </w:pPr>
      <w:r>
        <w:rPr>
          <w:rFonts w:ascii="Times New Roman" w:cs="Times New Roman" w:eastAsia="Times New Roman" w:hAnsi="Times New Roman"/>
          <w:b w:val="false"/>
          <w:bCs w:val="false"/>
          <w:i w:val="false"/>
          <w:iCs w:val="false"/>
          <w:color w:val="000000"/>
          <w:sz w:val="24"/>
          <w:szCs w:val="24"/>
        </w:rPr>
        <w:t xml:space="preserve">Monkeypox (małpia ospa) – choroba zoonotyczna wywoływana przez wirusa z rodziny Poxviridae, wywołała globalną epidemię w 2022 roku, kiedy Światowa Organizacja Zdrowia (WHO) ogłosiła stan zagrożenia zdrowia publicznego o zasięgu międzynarodowym. Charakterystycznym objawem skórnym są głęboko osadzone pęcherzyki i krosty, często z pępkowym wgłobieniem, przechodzące przez różne stadia (plama, grudka, pęcherzyk, krosta, strup). Zmiany w małpiej ospie są trudne do odróżnienia od ospy wietrznej bez badania PCR.</w:t>
      </w:r>
    </w:p>
    <w:p>
      <w:pPr>
        <w:spacing w:line="360" w:before="0" w:after="120"/>
        <w:ind w:firstLine="720"/>
        <w:jc w:val="both"/>
      </w:pPr>
      <w:r>
        <w:rPr>
          <w:rFonts w:ascii="Times New Roman" w:cs="Times New Roman" w:eastAsia="Times New Roman" w:hAnsi="Times New Roman"/>
          <w:b w:val="false"/>
          <w:bCs w:val="false"/>
          <w:i w:val="false"/>
          <w:iCs w:val="false"/>
          <w:color w:val="000000"/>
          <w:sz w:val="24"/>
          <w:szCs w:val="24"/>
        </w:rPr>
        <w:t xml:space="preserve">Chickenpox (ospa wietrzna) – choroba wywoływana przez wirus Varicella-Zoster (VZV), przenoszona drogą kropelkową. Charakteryzuje się polimorfizmem wykwitów skórnych – na tym samym obszarze ciała obecne są jednocześnie plamy, grudki, pęcherzyki i strupy (tzw. "rozgwieżdżone niebo"). Zmiany pojawiają się kolejnymi "rzutami" przez 3–5 dni.</w:t>
      </w:r>
    </w:p>
    <w:p>
      <w:pPr>
        <w:spacing w:line="360" w:before="0" w:after="120"/>
        <w:ind w:firstLine="720"/>
        <w:jc w:val="both"/>
      </w:pPr>
      <w:r>
        <w:rPr>
          <w:rFonts w:ascii="Times New Roman" w:cs="Times New Roman" w:eastAsia="Times New Roman" w:hAnsi="Times New Roman"/>
          <w:b w:val="false"/>
          <w:bCs w:val="false"/>
          <w:i w:val="false"/>
          <w:iCs w:val="false"/>
          <w:color w:val="000000"/>
          <w:sz w:val="24"/>
          <w:szCs w:val="24"/>
        </w:rPr>
        <w:t xml:space="preserve">Measles (odra) – choroba wirusowa (wirus RNA z rodziny Paramyxoviridae) przenoszona drogą kropelkową, o podstawowej liczbie reprodukcji R0 = 12–18. Charakterystyczną zmianą są plamisto-grudkowe wykwity rozpoczynające się za uszami i obejmujące stopniowo całe ciało, poprzedzone objawem Koplika (białe plamki na błonie śluzowej policzków).</w:t>
      </w:r>
    </w:p>
    <w:p>
      <w:pPr>
        <w:spacing w:line="360" w:before="0" w:after="120"/>
        <w:ind w:firstLine="720"/>
        <w:jc w:val="both"/>
      </w:pPr>
      <w:r>
        <w:rPr>
          <w:rFonts w:ascii="Times New Roman" w:cs="Times New Roman" w:eastAsia="Times New Roman" w:hAnsi="Times New Roman"/>
          <w:b w:val="false"/>
          <w:bCs w:val="false"/>
          <w:i w:val="false"/>
          <w:iCs w:val="false"/>
          <w:color w:val="000000"/>
          <w:sz w:val="24"/>
          <w:szCs w:val="24"/>
        </w:rPr>
        <w:t xml:space="preserve">Cowpox i HFMD (choroba dłoni, stóp i jamy ustnej) to kolejne choroby zakaźne z wyraźnymi zmianami skórnymi: cowpox charakteryzuje się owrzodzeniami z krwotoczno-ropną zawartością, a HFMD – drobnymi pęcherzykami na dłoniach, stopach i w jamie ustnej, wywoływanymi przez Enterovirus 71 lub Coxsackievirus A16.</w:t>
      </w:r>
    </w:p>
    <w:p>
      <w:pPr>
        <w:pStyle w:val="Heading2"/>
        <w:spacing w:before="360" w:after="180" w:line="360"/>
      </w:pPr>
      <w:r>
        <w:rPr>
          <w:rFonts w:ascii="Times New Roman" w:cs="Times New Roman" w:eastAsia="Times New Roman" w:hAnsi="Times New Roman"/>
          <w:b/>
          <w:bCs/>
          <w:color w:val="000000"/>
          <w:sz w:val="24"/>
          <w:szCs w:val="24"/>
        </w:rPr>
        <w:t xml:space="preserve">1.4 Zmiany łagodne i inne klasy diagnostyczne</w:t>
      </w:r>
    </w:p>
    <w:p>
      <w:pPr>
        <w:spacing w:line="360" w:before="0" w:after="120"/>
        <w:ind w:firstLine="720"/>
        <w:jc w:val="both"/>
      </w:pPr>
      <w:r>
        <w:rPr>
          <w:rFonts w:ascii="Times New Roman" w:cs="Times New Roman" w:eastAsia="Times New Roman" w:hAnsi="Times New Roman"/>
          <w:b w:val="false"/>
          <w:bCs w:val="false"/>
          <w:i w:val="false"/>
          <w:iCs w:val="false"/>
          <w:color w:val="000000"/>
          <w:sz w:val="24"/>
          <w:szCs w:val="24"/>
        </w:rPr>
        <w:t xml:space="preserve">Melanocytic nevi (znamiona melanocytarne) to łagodne proliferacje melanocytów, potocznie zwane "pieprzykami". Stanowią najliczniejszą klasę w zbiorze danych (1288 próbek testowych), co odzwierciedla ich częstość w populacji. Klinicznie i dermoskopowo mogą być trudne do odróżnienia od wczesnego czerniaka – błąd melanoma ↔ nevi jest najczęstszym błędem klasyfikacyjnym we wszystkich badanych modelach.</w:t>
      </w:r>
    </w:p>
    <w:p>
      <w:pPr>
        <w:spacing w:line="360" w:before="0" w:after="120"/>
        <w:ind w:firstLine="720"/>
        <w:jc w:val="both"/>
      </w:pPr>
      <w:r>
        <w:rPr>
          <w:rFonts w:ascii="Times New Roman" w:cs="Times New Roman" w:eastAsia="Times New Roman" w:hAnsi="Times New Roman"/>
          <w:b w:val="false"/>
          <w:bCs w:val="false"/>
          <w:i w:val="false"/>
          <w:iCs w:val="false"/>
          <w:color w:val="000000"/>
          <w:sz w:val="24"/>
          <w:szCs w:val="24"/>
        </w:rPr>
        <w:t xml:space="preserve">Benign keratosis-like lesions (łagodne zmiany keratozopodobne) to heterogenna kategoria obejmująca zmiany z proliferacją keratynocytów o łagodnym charakterze. Dermatofibroma (włókniak skóry) to łagodny guz fibroblastyczny podskórnej tkanki łącznej, charakteryzujący się objawem "dołeczkowania" i specyficzną strukturą w dermoskopii. Vascular lesions (zmiany naczyniowe) to zróżnicowana grupa zmian o podłożu naczyniowym, w tym naczyniaki i pajączki naczyniowe.</w:t>
      </w:r>
    </w:p>
    <w:p>
      <w:pPr>
        <w:pStyle w:val="Heading2"/>
        <w:spacing w:before="360" w:after="180" w:line="360"/>
      </w:pPr>
      <w:r>
        <w:rPr>
          <w:rFonts w:ascii="Times New Roman" w:cs="Times New Roman" w:eastAsia="Times New Roman" w:hAnsi="Times New Roman"/>
          <w:b/>
          <w:bCs/>
          <w:color w:val="000000"/>
          <w:sz w:val="24"/>
          <w:szCs w:val="24"/>
        </w:rPr>
        <w:t xml:space="preserve">1.5 Rola sztucznej inteligencji we wspomaganiu diagnostyki dermatologicznej</w:t>
      </w:r>
    </w:p>
    <w:p>
      <w:pPr>
        <w:spacing w:line="360" w:before="0" w:after="120"/>
        <w:ind w:firstLine="720"/>
        <w:jc w:val="both"/>
      </w:pPr>
      <w:r>
        <w:rPr>
          <w:rFonts w:ascii="Times New Roman" w:cs="Times New Roman" w:eastAsia="Times New Roman" w:hAnsi="Times New Roman"/>
          <w:b w:val="false"/>
          <w:bCs w:val="false"/>
          <w:i w:val="false"/>
          <w:iCs w:val="false"/>
          <w:color w:val="000000"/>
          <w:sz w:val="24"/>
          <w:szCs w:val="24"/>
        </w:rPr>
        <w:t xml:space="preserve">Przełomowa praca Esteva i in. z 2017 roku [2] wykazała, że sieć InceptionV3 wytrenowana na 129 450 zdjęciach zmian skórnych w 2032 klasach diagnostycznych osiąga czułość i swoistość na poziomie dermatologów-specjalistów w rozróżnianiu czerniaka od znamion melanocytarnych. Wyniki te zapoczątkowały erę systematycznych badań nad zastosowaniem AI w dermatologii, co znalazło odzwierciedlenie w lawinowym wzroście liczby publikacji i konkursów klasyfikacyjnych (m.in. coroczne challenge ISIC – International Skin Imaging Collaboration).</w:t>
      </w:r>
    </w:p>
    <w:p>
      <w:pPr>
        <w:spacing w:line="360" w:before="0" w:after="120"/>
        <w:ind w:firstLine="720"/>
        <w:jc w:val="both"/>
      </w:pPr>
      <w:r>
        <w:rPr>
          <w:rFonts w:ascii="Times New Roman" w:cs="Times New Roman" w:eastAsia="Times New Roman" w:hAnsi="Times New Roman"/>
          <w:b w:val="false"/>
          <w:bCs w:val="false"/>
          <w:i w:val="false"/>
          <w:iCs w:val="false"/>
          <w:color w:val="000000"/>
          <w:sz w:val="24"/>
          <w:szCs w:val="24"/>
        </w:rPr>
        <w:t xml:space="preserve">Kluczowymi wyzwaniami w tym obszarze pozostają: (1) interpretowalnność decyzji modelu – w kontekście medycznym niezbędne jest uzasadnienie predykcji, co adresują metody XAI takie jak Grad-CAM; (2) nierównowaga klas – w zbiorach dermatologicznych klasy złośliwe są z reguły mniej liczne niż łagodne, co wymaga specjalnych technik próbkowania i warunków oceny; (3) różnorodność aparatury – jakość zdjęć dermoskopowych zależy od sprzętu i warunków wykonania, co obniża generalizację modeli.</w:t>
      </w:r>
    </w:p>
    <w:p>
      <w:pPr>
        <w:spacing w:line="360" w:before="0" w:after="120"/>
        <w:ind w:firstLine="720"/>
        <w:jc w:val="both"/>
      </w:pPr>
      <w:r>
        <w:rPr>
          <w:rFonts w:ascii="Times New Roman" w:cs="Times New Roman" w:eastAsia="Times New Roman" w:hAnsi="Times New Roman"/>
          <w:b w:val="false"/>
          <w:bCs w:val="false"/>
          <w:i w:val="false"/>
          <w:iCs w:val="false"/>
          <w:color w:val="000000"/>
          <w:sz w:val="24"/>
          <w:szCs w:val="24"/>
        </w:rPr>
        <w:t xml:space="preserve">Dostępność wielomodalnych zbiorów danych, takich jak ISIC 2020 Challenge Dataset (33 000 zdjęć) czy HAM10000 [1], umożliwiła trening modeli na skalę wcześniej nieosiągalną. Równoległy rozwój architektur sieci neuronowych, od AlexNet przez VGG, ResNet, EfficientNet po Vision Transformer, systematycznie podnosiło poprzeczkę klasyfikacyjną w obrazowaniu medycznym.</w:t>
      </w:r>
    </w:p>
    <w:p>
      <w:r>
        <w:br w:type="page"/>
      </w:r>
    </w:p>
    <w:p>
      <w:pPr>
        <w:pStyle w:val="Heading1"/>
        <w:spacing w:before="480" w:after="240" w:line="360"/>
      </w:pPr>
      <w:r>
        <w:rPr>
          <w:rFonts w:ascii="Times New Roman" w:cs="Times New Roman" w:eastAsia="Times New Roman" w:hAnsi="Times New Roman"/>
          <w:b/>
          <w:bCs/>
          <w:color w:val="000000"/>
          <w:sz w:val="28"/>
          <w:szCs w:val="28"/>
        </w:rPr>
        <w:t xml:space="preserve">2 Architektury sieci neuronowych zastosowane w pracy</w:t>
      </w:r>
    </w:p>
    <w:p>
      <w:pPr>
        <w:pStyle w:val="Heading2"/>
        <w:spacing w:before="360" w:after="180" w:line="360"/>
      </w:pPr>
      <w:r>
        <w:rPr>
          <w:rFonts w:ascii="Times New Roman" w:cs="Times New Roman" w:eastAsia="Times New Roman" w:hAnsi="Times New Roman"/>
          <w:b/>
          <w:bCs/>
          <w:color w:val="000000"/>
          <w:sz w:val="24"/>
          <w:szCs w:val="24"/>
        </w:rPr>
        <w:t xml:space="preserve">2.1 Konwolucyjne sieci neuronowe – podstawy teoretyczne</w:t>
      </w:r>
    </w:p>
    <w:p>
      <w:pPr>
        <w:spacing w:line="360" w:before="0" w:after="120"/>
        <w:ind w:firstLine="720"/>
        <w:jc w:val="both"/>
      </w:pPr>
      <w:r>
        <w:rPr>
          <w:rFonts w:ascii="Times New Roman" w:cs="Times New Roman" w:eastAsia="Times New Roman" w:hAnsi="Times New Roman"/>
          <w:b w:val="false"/>
          <w:bCs w:val="false"/>
          <w:i w:val="false"/>
          <w:iCs w:val="false"/>
          <w:color w:val="000000"/>
          <w:sz w:val="24"/>
          <w:szCs w:val="24"/>
        </w:rPr>
        <w:t xml:space="preserve">Konwolucyjna sieć neuronowa (CNN) to klasa sieci głębokiego uczenia inspirowana organizacją kory wzrokowej ssaków. Zaproponowana przez LeCuna i in. w 1989 roku, zyskała powszechne uznanie po sukcesie AlexNet w konkursie ImageNet Large Scale Visual Recognition Challenge (ILSVRC) w 2012 roku, gdzie obniżyła wskaźnik błędu top-5 z 26% do 15%.</w:t>
      </w:r>
    </w:p>
    <w:p>
      <w:pPr>
        <w:spacing w:line="360" w:before="0" w:after="120"/>
        <w:ind w:firstLine="720"/>
        <w:jc w:val="both"/>
      </w:pPr>
      <w:r>
        <w:rPr>
          <w:rFonts w:ascii="Times New Roman" w:cs="Times New Roman" w:eastAsia="Times New Roman" w:hAnsi="Times New Roman"/>
          <w:b w:val="false"/>
          <w:bCs w:val="false"/>
          <w:i w:val="false"/>
          <w:iCs w:val="false"/>
          <w:color w:val="000000"/>
          <w:sz w:val="24"/>
          <w:szCs w:val="24"/>
        </w:rPr>
        <w:t xml:space="preserve">Podstawowym budulcem CNN jest warstwa konwolucyjna. Składa się ona z zestawu konfigurowalnych filtrów (jąder konwolucji), które przesuwa się po wejściowej mapie cech, obliczając lokalne iloczyny skalarne. Każdy filtr uczy się wykrywać określony wzorzec – na niskich warstwach są to proste cechy (krawędzie, naroża, barwy), na wyższych – struktury złożone (tekstury, wzorce, obiekty). Kluczową właściwością CNN jest dzielenie wag (ang. weight sharing) – identyczny filtr stosowany jest w każdej pozycji obrazu, co drastycznie redukuje liczbę parametrów w stosunku do w pełni połączonej sieci.</w:t>
      </w:r>
    </w:p>
    <w:p>
      <w:pPr>
        <w:spacing w:line="360" w:before="0" w:after="120"/>
        <w:ind w:firstLine="720"/>
        <w:jc w:val="both"/>
      </w:pPr>
      <w:r>
        <w:rPr>
          <w:rFonts w:ascii="Times New Roman" w:cs="Times New Roman" w:eastAsia="Times New Roman" w:hAnsi="Times New Roman"/>
          <w:b w:val="false"/>
          <w:bCs w:val="false"/>
          <w:i w:val="false"/>
          <w:iCs w:val="false"/>
          <w:color w:val="000000"/>
          <w:sz w:val="24"/>
          <w:szCs w:val="24"/>
        </w:rPr>
        <w:t xml:space="preserve">Warstwy łączące (ang. pooling) redukują przestrzenny rozmiar map cech: MaxPool wybiera maksymalną wartość w oknie, AveragePool oblicza średnią. Global Average Pooling (GAP) zastępuje tradycyjne spłaszczenie mapy cech przed klasyfikatorem, uśredniając każdą mapę cech do jednej liczby – redukuje liczbę parametrów i zmniejsza ryzyko przeuczenia. Normalizacja wsadowa (Batch Normalization) stabilizuje rozkład aktywacji i przyspiesza trenowanie. Funkcja aktywacji ReLU (Rectified Linear Unit), f(x) = max(0, x), wprowadza nieliniowość i jest obliczeniowo wydajna. Dropout losowo zeruje wybrane neurony podczas treningu, wymuszając budowanie nadmiarowych reprezentacji.</w:t>
      </w:r>
    </w:p>
    <w:p>
      <w:pPr>
        <w:pStyle w:val="Heading2"/>
        <w:spacing w:before="360" w:after="180" w:line="360"/>
      </w:pPr>
      <w:r>
        <w:rPr>
          <w:rFonts w:ascii="Times New Roman" w:cs="Times New Roman" w:eastAsia="Times New Roman" w:hAnsi="Times New Roman"/>
          <w:b/>
          <w:bCs/>
          <w:color w:val="000000"/>
          <w:sz w:val="24"/>
          <w:szCs w:val="24"/>
        </w:rPr>
        <w:t xml:space="preserve">2.2 ResNet-50 i połączenia rezydualne</w:t>
      </w:r>
    </w:p>
    <w:p>
      <w:pPr>
        <w:spacing w:line="360" w:before="0" w:after="120"/>
        <w:ind w:firstLine="720"/>
        <w:jc w:val="both"/>
      </w:pPr>
      <w:r>
        <w:rPr>
          <w:rFonts w:ascii="Times New Roman" w:cs="Times New Roman" w:eastAsia="Times New Roman" w:hAnsi="Times New Roman"/>
          <w:b w:val="false"/>
          <w:bCs w:val="false"/>
          <w:i w:val="false"/>
          <w:iCs w:val="false"/>
          <w:color w:val="000000"/>
          <w:sz w:val="24"/>
          <w:szCs w:val="24"/>
        </w:rPr>
        <w:t xml:space="preserve">Model ResNet (Residual Network), zaproponowany przez He i in. w 2016 roku [4], rozwiązuje fundamentalny problem zanikającego gradientu w bardzo głębokich sieciach neuronowych poprzez wprowadzenie tzw. połączeń rezydualnych (ang. skip connections lub shortcut connections). Zamiast uczyć się bezpośredniego odwzorowania H(x), blok rezydualny uczy się residuum F(x) = H(x) − x, co sprawia, że propagacja gradientu odbywa się bezpośrednio przez połączenie skrótowe: ∂L/∂x = ∂L/∂H · (1 + ∂F/∂x).</w:t>
      </w:r>
    </w:p>
    <w:p>
      <w:pPr>
        <w:spacing w:line="360" w:before="0" w:after="120"/>
        <w:ind w:firstLine="720"/>
        <w:jc w:val="both"/>
      </w:pPr>
      <w:r>
        <w:rPr>
          <w:rFonts w:ascii="Times New Roman" w:cs="Times New Roman" w:eastAsia="Times New Roman" w:hAnsi="Times New Roman"/>
          <w:b w:val="false"/>
          <w:bCs w:val="false"/>
          <w:i w:val="false"/>
          <w:iCs w:val="false"/>
          <w:color w:val="000000"/>
          <w:sz w:val="24"/>
          <w:szCs w:val="24"/>
        </w:rPr>
        <w:t xml:space="preserve">ResNet-50 składa się z czterech grup bloków konwolucyjnych (tzw. stage’ów), każdy zawierający trzy bloki bottleneck. Blok bottleneck redukuje wymiarowość za pomocą konwolucji 1×1 przed kosztowną konwolucją 3×3 i odtwarza ją konwolucją 1×1 po jej zakończeniu, co trzykrotnie obniża liczbę parametrów w porównaniu z prostym blokiem konwolucyjnym. Model zawiera łącznie ok. 25,6 miliona parametrów i był pretrainowany na zbiorze ImageNet (1,28 mln zdjęć, 1000 klas). W eksperymentach niniejszej pracy ResNet-50 ukończył trening po wszystkich 25 epokach (czas 99m 53s, najlepsza dokładność walidacyjna 0.8372).</w:t>
      </w:r>
    </w:p>
    <w:p>
      <w:pPr>
        <w:pStyle w:val="Heading2"/>
        <w:spacing w:before="360" w:after="180" w:line="360"/>
      </w:pPr>
      <w:r>
        <w:rPr>
          <w:rFonts w:ascii="Times New Roman" w:cs="Times New Roman" w:eastAsia="Times New Roman" w:hAnsi="Times New Roman"/>
          <w:b/>
          <w:bCs/>
          <w:color w:val="000000"/>
          <w:sz w:val="24"/>
          <w:szCs w:val="24"/>
        </w:rPr>
        <w:t xml:space="preserve">2.3 MobileNetV3 – architektura mobilna</w:t>
      </w:r>
    </w:p>
    <w:p>
      <w:pPr>
        <w:spacing w:line="360" w:before="0" w:after="120"/>
        <w:ind w:firstLine="720"/>
        <w:jc w:val="both"/>
      </w:pPr>
      <w:r>
        <w:rPr>
          <w:rFonts w:ascii="Times New Roman" w:cs="Times New Roman" w:eastAsia="Times New Roman" w:hAnsi="Times New Roman"/>
          <w:b w:val="false"/>
          <w:bCs w:val="false"/>
          <w:i w:val="false"/>
          <w:iCs w:val="false"/>
          <w:color w:val="000000"/>
          <w:sz w:val="24"/>
          <w:szCs w:val="24"/>
        </w:rPr>
        <w:t xml:space="preserve">MobileNetV3, opisany przez Howard i in. w 2019 roku [5], jest wynikiem połączenia ręcznie zaprojektowanych struktur (odwrócona warstwa rezydualna z liniowym botleneckiem z MobileNetV2) z blokami uwagi SE (Squeeze-and-Excitation) oraz architekturą wyszukaną automatycznie za pomocą Neural Architecture Search. Wyróżniającymi elementami są: konwolucje depthwise separable (konwolucja depthwise 3×3 + konwolucja pointwise 1×1), które redukują liczbę operacji FLOPs 8–9-krotnie w stosunku do konwolucji klasycznej, mechanizm SE (uwaga kanałowa, ucząca się ważenia kanałów mapy cech), oraz aktywacja h-swish: x · ReLU6(x+3)/6, obliczeniowo tańsza niż oryginalna funkcja swish.</w:t>
      </w:r>
    </w:p>
    <w:p>
      <w:pPr>
        <w:spacing w:line="360" w:before="0" w:after="120"/>
        <w:ind w:firstLine="720"/>
        <w:jc w:val="both"/>
      </w:pPr>
      <w:r>
        <w:rPr>
          <w:rFonts w:ascii="Times New Roman" w:cs="Times New Roman" w:eastAsia="Times New Roman" w:hAnsi="Times New Roman"/>
          <w:b w:val="false"/>
          <w:bCs w:val="false"/>
          <w:i w:val="false"/>
          <w:iCs w:val="false"/>
          <w:color w:val="000000"/>
          <w:sz w:val="24"/>
          <w:szCs w:val="24"/>
        </w:rPr>
        <w:t xml:space="preserve">Wersja Large MobileNetV3 zawiera 5,4M parametrów, a jej pretrainowana (ImageNet) wersja jest domyślnie wczytywana przez PyTorch. W eksperymentach MobileNetV3 zakończył trening po 22 epokach z early stopping (78m 9s, najlepsza dokładność walidacyjna 0.8478).</w:t>
      </w:r>
    </w:p>
    <w:p>
      <w:pPr>
        <w:pStyle w:val="Heading2"/>
        <w:spacing w:before="360" w:after="180" w:line="360"/>
      </w:pPr>
      <w:r>
        <w:rPr>
          <w:rFonts w:ascii="Times New Roman" w:cs="Times New Roman" w:eastAsia="Times New Roman" w:hAnsi="Times New Roman"/>
          <w:b/>
          <w:bCs/>
          <w:color w:val="000000"/>
          <w:sz w:val="24"/>
          <w:szCs w:val="24"/>
        </w:rPr>
        <w:t xml:space="preserve">2.4 EfficientNet-B0 – złożone skalowanie</w:t>
      </w:r>
    </w:p>
    <w:p>
      <w:pPr>
        <w:spacing w:line="360" w:before="0" w:after="120"/>
        <w:ind w:firstLine="720"/>
        <w:jc w:val="both"/>
      </w:pPr>
      <w:r>
        <w:rPr>
          <w:rFonts w:ascii="Times New Roman" w:cs="Times New Roman" w:eastAsia="Times New Roman" w:hAnsi="Times New Roman"/>
          <w:b w:val="false"/>
          <w:bCs w:val="false"/>
          <w:i w:val="false"/>
          <w:iCs w:val="false"/>
          <w:color w:val="000000"/>
          <w:sz w:val="24"/>
          <w:szCs w:val="24"/>
        </w:rPr>
        <w:t xml:space="preserve">EfficientNet, zaproponowany przez Tan i Le w 2019 roku [6], wprowadza metodę złożonego skalowania (ang. compound scaling), polegającą na jednoczesnym i proporcjonalnym skalowaniu trzech wymiarów sieci: głębokości (liczba warstw), szerokości (liczba kanałów) i rozdzielczości (rozmiar obrazu wejściowego). Wyznaczony empirycznie współczynnik skalowania φ umożliwia tworzenie różnych wariantów modelu (B0–B7) o rosnącej złożoności.</w:t>
      </w:r>
    </w:p>
    <w:p>
      <w:pPr>
        <w:spacing w:line="360" w:before="0" w:after="120"/>
        <w:ind w:firstLine="720"/>
        <w:jc w:val="both"/>
      </w:pPr>
      <w:r>
        <w:rPr>
          <w:rFonts w:ascii="Times New Roman" w:cs="Times New Roman" w:eastAsia="Times New Roman" w:hAnsi="Times New Roman"/>
          <w:b w:val="false"/>
          <w:bCs w:val="false"/>
          <w:i w:val="false"/>
          <w:iCs w:val="false"/>
          <w:color w:val="000000"/>
          <w:sz w:val="24"/>
          <w:szCs w:val="24"/>
        </w:rPr>
        <w:t xml:space="preserve">Bazowy model B0 zbudowany jest z sekwencji siedmiu bloków MBConv z różnymi parametrami ekspansji i rozmiarami jąder konwolucji. Liczba parametrów EfficientNet-B0 wynosi 5,3M – jest zbliżona do MobileNetV3, lecz model osiąga wyższą dokładność dzięki efektywniejszemu skalowaniu. W niniejszej pracy EfficientNet-B0 uzyskał najwyższą dokładność testową spośród wszystkich modeli (88%), ukończając trening po 21 epokach z early stopping (77m 52s, najlepsza dokładność walidacyjna 0.8809).</w:t>
      </w:r>
    </w:p>
    <w:p>
      <w:pPr>
        <w:pStyle w:val="Heading2"/>
        <w:spacing w:before="360" w:after="180" w:line="360"/>
      </w:pPr>
      <w:r>
        <w:rPr>
          <w:rFonts w:ascii="Times New Roman" w:cs="Times New Roman" w:eastAsia="Times New Roman" w:hAnsi="Times New Roman"/>
          <w:b/>
          <w:bCs/>
          <w:color w:val="000000"/>
          <w:sz w:val="24"/>
          <w:szCs w:val="24"/>
        </w:rPr>
        <w:t xml:space="preserve">2.5 Vision Transformer (ViT-B/16)</w:t>
      </w:r>
    </w:p>
    <w:p>
      <w:pPr>
        <w:spacing w:line="360" w:before="0" w:after="120"/>
        <w:ind w:firstLine="720"/>
        <w:jc w:val="both"/>
      </w:pPr>
      <w:r>
        <w:rPr>
          <w:rFonts w:ascii="Times New Roman" w:cs="Times New Roman" w:eastAsia="Times New Roman" w:hAnsi="Times New Roman"/>
          <w:b w:val="false"/>
          <w:bCs w:val="false"/>
          <w:i w:val="false"/>
          <w:iCs w:val="false"/>
          <w:color w:val="000000"/>
          <w:sz w:val="24"/>
          <w:szCs w:val="24"/>
        </w:rPr>
        <w:t xml:space="preserve">Vision Transformer, opisany przez Dosovitskiy i in. w 2020 roku [3], przenosi architekturę Transformer – pierwotnie opracowaną dla sekwencji języka naturalnego – do domeny wizji komputerowej. Kluczową ideą jest traktowanie obrazu jako sekwencji nieoverlapping fragmentów (ang. patches): obraz o rozmiarze 224×224 pikseli dzielony jest na 196 patches o rozmiarze 16×16. Każdy patch spłaszczany jest do wektora i mapowany liniowo na embedding, do którego dodawane jest pozycyjne kodowanie uczące się (learnable positional embedding). Specjalny token [CLS] agreguje globalne informacje i służy do klasyfikacji.</w:t>
      </w:r>
    </w:p>
    <w:p>
      <w:pPr>
        <w:spacing w:line="360" w:before="0" w:after="120"/>
        <w:ind w:firstLine="720"/>
        <w:jc w:val="both"/>
      </w:pPr>
      <w:r>
        <w:rPr>
          <w:rFonts w:ascii="Times New Roman" w:cs="Times New Roman" w:eastAsia="Times New Roman" w:hAnsi="Times New Roman"/>
          <w:b w:val="false"/>
          <w:bCs w:val="false"/>
          <w:i w:val="false"/>
          <w:iCs w:val="false"/>
          <w:color w:val="000000"/>
          <w:sz w:val="24"/>
          <w:szCs w:val="24"/>
        </w:rPr>
        <w:t xml:space="preserve">Serce modelu ViT stanowi mechanizm wielogłowicowej uwagi własnej (ang. Multi-Head Self-Attention, MHSA). Każda głowica uwagi oblicza macierz uwagi A = softmax(QKᵀ/√d_k)V, gdzie Q, K, V to rzuty liniowe embeddingow: klucze, zapytania i wartości. Mechanizm ten pozwala modelowi na globalne modelowanie zależności – każdy patch może "zwrócić uwagę" na dowolny inny patch obrazu, niezależnie od odległości przestrzennej. Jest to fundamentalna różnica w stosunku do CNN, gdzie receptive field jest lokalny i rośnie stopniowo wraz z głębokością sieci.</w:t>
      </w:r>
    </w:p>
    <w:p>
      <w:pPr>
        <w:spacing w:line="360" w:before="0" w:after="120"/>
        <w:ind w:firstLine="720"/>
        <w:jc w:val="both"/>
      </w:pPr>
      <w:r>
        <w:rPr>
          <w:rFonts w:ascii="Times New Roman" w:cs="Times New Roman" w:eastAsia="Times New Roman" w:hAnsi="Times New Roman"/>
          <w:b w:val="false"/>
          <w:bCs w:val="false"/>
          <w:i w:val="false"/>
          <w:iCs w:val="false"/>
          <w:color w:val="000000"/>
          <w:sz w:val="24"/>
          <w:szCs w:val="24"/>
        </w:rPr>
        <w:t xml:space="preserve">ViT-B/16 zawiera 86,6M parametrów i był pretrainowany na zbiorze ImageNet-21k (14,2 milionów zdjęć, 21 841 klas). Ogromna liczba parametrów oraz koszt obliczania macierzy uwagi (złożoność kwadratowa względem liczby patches) sprawia, że model wymaga znacznie dłuższego czasu treningu: w niniejszej pracy ViT ukończył trening po 18 epokach z early stopping, ale czas wyniósł 182 minuty 43 sekundy – niemal dwukrotnie więcej niż ResNet-50 i ponad trzykrotnie więcej niż MobileNetV3 czy EfficientNet.</w:t>
      </w:r>
    </w:p>
    <w:p>
      <w:pPr>
        <w:spacing w:line="360" w:before="0" w:after="120"/>
        <w:ind w:firstLine="720"/>
        <w:jc w:val="both"/>
      </w:pPr>
      <w:r>
        <w:rPr>
          <w:rFonts w:ascii="Times New Roman" w:cs="Times New Roman" w:eastAsia="Times New Roman" w:hAnsi="Times New Roman"/>
          <w:b w:val="false"/>
          <w:bCs w:val="false"/>
          <w:i w:val="false"/>
          <w:iCs w:val="false"/>
          <w:color w:val="000000"/>
          <w:sz w:val="24"/>
          <w:szCs w:val="24"/>
        </w:rPr>
        <w:t xml:space="preserve">ViT wykazał jednak wyjątkową właściwość w teście odporności na zakłócenia obrazu. Po dodaniu szumu Gaussowskiego dokładność ViT wzrosła (!) z 0.8243 do 0.8680, podczas gdy wszystkie modele CNN odnotowały spadki. Efekt ten jest zgodny z obserwacjami w literaturze – ViT, w odróżnieniu od CNN, uczy się globalnych, semantycznych reprezentacji obrazu, które są bardziej odporne na lokalne szumy niskopoziomowe.</w:t>
      </w:r>
    </w:p>
    <w:p>
      <w:pPr>
        <w:pStyle w:val="Heading2"/>
        <w:spacing w:before="360" w:after="180" w:line="360"/>
      </w:pPr>
      <w:r>
        <w:rPr>
          <w:rFonts w:ascii="Times New Roman" w:cs="Times New Roman" w:eastAsia="Times New Roman" w:hAnsi="Times New Roman"/>
          <w:b/>
          <w:bCs/>
          <w:color w:val="000000"/>
          <w:sz w:val="24"/>
          <w:szCs w:val="24"/>
        </w:rPr>
        <w:t xml:space="preserve">2.6 Custom CNN – własna architektura</w:t>
      </w:r>
    </w:p>
    <w:p>
      <w:pPr>
        <w:spacing w:line="360" w:before="0" w:after="120"/>
        <w:ind w:firstLine="720"/>
        <w:jc w:val="both"/>
      </w:pPr>
      <w:r>
        <w:rPr>
          <w:rFonts w:ascii="Times New Roman" w:cs="Times New Roman" w:eastAsia="Times New Roman" w:hAnsi="Times New Roman"/>
          <w:b w:val="false"/>
          <w:bCs w:val="false"/>
          <w:i w:val="false"/>
          <w:iCs w:val="false"/>
          <w:color w:val="000000"/>
          <w:sz w:val="24"/>
          <w:szCs w:val="24"/>
        </w:rPr>
        <w:t xml:space="preserve">Custom CNN to oryginalna sieć konwolucyjna zaprojektowana na potrzeby niniejszej pracy. Celem było stworzenie modelu trenowanego od zera (ang. from scratch), który służy jako punkt odniesienia (baseline) dla modeli opartych na transferze wiedzy. Architektura składa się z czterech bloków konwolucyjnych, każdy zawierający: warstwę Conv2d → BatchNorm2d → ReLU → MaxPool2d(2×2). Liczba filtrów rośnie geometrycznie: 32 → 64 → 128 → 256. Po Global Average Pooling następują dwie warstwy w pełni połączone (FC(256→512) z Dropout(0.5) i FC(512→14)). Model posiada 1,8M parametrów.</w:t>
      </w:r>
    </w:p>
    <w:p>
      <w:pPr>
        <w:spacing w:line="360" w:before="0" w:after="120"/>
        <w:ind w:firstLine="720"/>
        <w:jc w:val="both"/>
      </w:pPr>
      <w:r>
        <w:rPr>
          <w:rFonts w:ascii="Times New Roman" w:cs="Times New Roman" w:eastAsia="Times New Roman" w:hAnsi="Times New Roman"/>
          <w:b w:val="false"/>
          <w:bCs w:val="false"/>
          <w:i w:val="false"/>
          <w:iCs w:val="false"/>
          <w:color w:val="000000"/>
          <w:sz w:val="24"/>
          <w:szCs w:val="24"/>
        </w:rPr>
        <w:t xml:space="preserve">Trenowanie od zera bez pretrainingu jest znacznie trudniejsze – model musi wyuczyć się wszystkich cech hierarchicznych z relatywnie małego zbioru dermatologicznego. Stąd wynikają wyraźnie gorsze wyniki (dokładność testowa 62%) w porównaniu z modelami pretrainowanymi na ImageNet. Mimo to model wykazuje zdolność do nauki – po 25 epokach osiąga funkcję klasyfikacyjną znacznie lepszą od losowej (walidacja ~62,5% vs. 100/14 ≈ 7,1% dla losowej odpowiedzi).</w:t>
      </w:r>
    </w:p>
    <w:p>
      <w:pPr>
        <w:pStyle w:val="Heading2"/>
        <w:spacing w:before="360" w:after="180" w:line="360"/>
      </w:pPr>
      <w:r>
        <w:rPr>
          <w:rFonts w:ascii="Times New Roman" w:cs="Times New Roman" w:eastAsia="Times New Roman" w:hAnsi="Times New Roman"/>
          <w:b/>
          <w:bCs/>
          <w:color w:val="000000"/>
          <w:sz w:val="24"/>
          <w:szCs w:val="24"/>
        </w:rPr>
        <w:t xml:space="preserve">2.7 Grad-CAM – wizualizacja decyzji modelu</w:t>
      </w:r>
    </w:p>
    <w:p>
      <w:pPr>
        <w:spacing w:line="360" w:before="0" w:after="120"/>
        <w:ind w:firstLine="720"/>
        <w:jc w:val="both"/>
      </w:pPr>
      <w:r>
        <w:rPr>
          <w:rFonts w:ascii="Times New Roman" w:cs="Times New Roman" w:eastAsia="Times New Roman" w:hAnsi="Times New Roman"/>
          <w:b w:val="false"/>
          <w:bCs w:val="false"/>
          <w:i w:val="false"/>
          <w:iCs w:val="false"/>
          <w:color w:val="000000"/>
          <w:sz w:val="24"/>
          <w:szCs w:val="24"/>
        </w:rPr>
        <w:t xml:space="preserve">Gradient-weighted Class Activation Mapping (Grad-CAM), opracowany przez Selvaraju i in. [7], jest metodą generowania map cieplnych wskazujących, na które regiony obrazu zwraca uwagę model podczas podejmowania decyzji klasyfikacyjnej. Metoda oblicza globalne uśrednienie gradientów klasy docelowej względem aktywacji ostatniej warstwy konwolucyjnej, tworząc współczynniki wagi α_k = (1/Z) Σ_ij ∂y^c/∂A^k_ij. Mapa Grad-CAM to sumacja ważona aktywacji z zastosowaniem ReLU: L^c_GradCAM = ReLU(Σ_k α_k A^k).</w:t>
      </w:r>
    </w:p>
    <w:p>
      <w:pPr>
        <w:spacing w:line="360" w:before="0" w:after="120"/>
        <w:ind w:firstLine="720"/>
        <w:jc w:val="both"/>
      </w:pPr>
      <w:r>
        <w:rPr>
          <w:rFonts w:ascii="Times New Roman" w:cs="Times New Roman" w:eastAsia="Times New Roman" w:hAnsi="Times New Roman"/>
          <w:b w:val="false"/>
          <w:bCs w:val="false"/>
          <w:i w:val="false"/>
          <w:iCs w:val="false"/>
          <w:color w:val="000000"/>
          <w:sz w:val="24"/>
          <w:szCs w:val="24"/>
        </w:rPr>
        <w:t xml:space="preserve">W kontekście medycznym Grad-CAM pozwala weryfikować, czy model skupia się na diagnostycznie istotnych obszarach zmiany (np. asymetryczna granica czerniaka, nieregularne naczynia w BCC), a nie na artefaktach tła (linijka, włosy, odblask dermatoskopu). Jest to szczególnie ważne przy ocenie wiarygodności modelu w środowisku klinicznym – map cieplna jest "dowodem" dla lekarza, że model interpretuje obraz w sposób medycznie uzasadniony.</w:t>
      </w:r>
    </w:p>
    <w:p>
      <w:r>
        <w:br w:type="page"/>
      </w:r>
    </w:p>
    <w:p>
      <w:pPr>
        <w:pStyle w:val="Heading1"/>
        <w:spacing w:before="480" w:after="240" w:line="360"/>
      </w:pPr>
      <w:r>
        <w:rPr>
          <w:rFonts w:ascii="Times New Roman" w:cs="Times New Roman" w:eastAsia="Times New Roman" w:hAnsi="Times New Roman"/>
          <w:b/>
          <w:bCs/>
          <w:color w:val="000000"/>
          <w:sz w:val="28"/>
          <w:szCs w:val="28"/>
        </w:rPr>
        <w:t xml:space="preserve">3 Zbiór danych</w:t>
      </w:r>
    </w:p>
    <w:p>
      <w:pPr>
        <w:pStyle w:val="Heading2"/>
        <w:spacing w:before="360" w:after="180" w:line="360"/>
      </w:pPr>
      <w:r>
        <w:rPr>
          <w:rFonts w:ascii="Times New Roman" w:cs="Times New Roman" w:eastAsia="Times New Roman" w:hAnsi="Times New Roman"/>
          <w:b/>
          <w:bCs/>
          <w:color w:val="000000"/>
          <w:sz w:val="24"/>
          <w:szCs w:val="24"/>
        </w:rPr>
        <w:t xml:space="preserve">3.1 Opis i źródła zbioru danych</w:t>
      </w:r>
    </w:p>
    <w:p>
      <w:pPr>
        <w:spacing w:line="360" w:before="0" w:after="120"/>
        <w:ind w:firstLine="720"/>
        <w:jc w:val="both"/>
      </w:pPr>
      <w:r>
        <w:rPr>
          <w:rFonts w:ascii="Times New Roman" w:cs="Times New Roman" w:eastAsia="Times New Roman" w:hAnsi="Times New Roman"/>
          <w:b w:val="false"/>
          <w:bCs w:val="false"/>
          <w:i w:val="false"/>
          <w:iCs w:val="false"/>
          <w:color w:val="000000"/>
          <w:sz w:val="24"/>
          <w:szCs w:val="24"/>
        </w:rPr>
        <w:t xml:space="preserve">W pracy wykorzystano publicznie dostępny zbiór Skin Lesions Dataset, będący wynikiem fuzji dwóch odrębnych baz: HAM10000 (Human Against Machine with 10 000 training images) [1] oraz MSLDv2.0 (Monkeypox Skin Lesion Dataset) [8]. Zbiór HAM10000 został opisany przez Tschandl i in. w 2018 roku i jest szeroko stosowany w badaniach dermatologicznych. Zebrano go z trzech ośrodków klinicznych: Department of Dermatology, Medical University of Vienna (Austria), Hospital Clínic de Barcelona (Hiszpania) oraz anonimowe kliniki (projekt MSK). Zawiera zdjęcia dermoskopowe z siedmiu kategorii zmian skórnych. MSLDv2.0 uzupełnił zestaw o zdjęcia chorób zakaźnych z manifestacją skórną, uwzględniając różnorodność rasową pacjentów.</w:t>
      </w:r>
    </w:p>
    <w:p>
      <w:pPr>
        <w:spacing w:line="360" w:before="0" w:after="120"/>
        <w:ind w:firstLine="720"/>
        <w:jc w:val="both"/>
      </w:pPr>
      <w:r>
        <w:rPr>
          <w:rFonts w:ascii="Times New Roman" w:cs="Times New Roman" w:eastAsia="Times New Roman" w:hAnsi="Times New Roman"/>
          <w:b w:val="false"/>
          <w:bCs w:val="false"/>
          <w:i w:val="false"/>
          <w:iCs w:val="false"/>
          <w:color w:val="000000"/>
          <w:sz w:val="24"/>
          <w:szCs w:val="24"/>
        </w:rPr>
        <w:t xml:space="preserve">Połączony zbiór obejmuje 14 klas zmian skórnych. Łączna liczba próbek wynosi ok. 18 370, z których 3 674 (ok. 20%) zostało wydzielone jako zbiór testowy. Szczegółowy rozkład klas w zbiorze testowym (3 674 próbki) widoczny jest w raportach klasyfikacyjnych prezentowanych w rozdziale 5. Zbiór pobierano z platformy Kaggle poleceniem: kaggle datasets download -d ahmedxc4/skin-ds.</w:t>
      </w:r>
    </w:p>
    <w:p>
      <w:pPr>
        <w:pStyle w:val="Heading2"/>
        <w:spacing w:before="360" w:after="180" w:line="360"/>
      </w:pPr>
      <w:r>
        <w:rPr>
          <w:rFonts w:ascii="Times New Roman" w:cs="Times New Roman" w:eastAsia="Times New Roman" w:hAnsi="Times New Roman"/>
          <w:b/>
          <w:bCs/>
          <w:color w:val="000000"/>
          <w:sz w:val="24"/>
          <w:szCs w:val="24"/>
        </w:rPr>
        <w:t xml:space="preserve">3.2 Konfiguracja środowiska i obsługa GPU/CPU</w:t>
      </w:r>
    </w:p>
    <w:p>
      <w:pPr>
        <w:spacing w:line="360" w:before="0" w:after="120"/>
        <w:ind w:firstLine="720"/>
        <w:jc w:val="both"/>
      </w:pPr>
      <w:r>
        <w:rPr>
          <w:rFonts w:ascii="Times New Roman" w:cs="Times New Roman" w:eastAsia="Times New Roman" w:hAnsi="Times New Roman"/>
          <w:b w:val="false"/>
          <w:bCs w:val="false"/>
          <w:i w:val="false"/>
          <w:iCs w:val="false"/>
          <w:color w:val="000000"/>
          <w:sz w:val="24"/>
          <w:szCs w:val="24"/>
        </w:rPr>
        <w:t xml:space="preserve">Trening modeli przeprowadzono na platformie Kaggle Notebooks z dwiema kartami graficznymi NVIDIA Tesla T4. Platforma ta zapewnia bezpłatny dostęp do akceleratorów GPU dla społeczności badaczy. Kod środowiska wykrywał dostępność GPU automatycznie za pomocą torch.cuda.is_available() i przypisywał urządzenie: device = torch.device("cuda" if torch.cuda.is_available() else "cpu"). Notebook wydrukował: "Dostępne urządzenie: cuda, Liczba GPU: 2".</w:t>
      </w:r>
    </w:p>
    <w:p>
      <w:pPr>
        <w:spacing w:line="360" w:before="0" w:after="120"/>
        <w:ind w:firstLine="720"/>
        <w:jc w:val="both"/>
      </w:pPr>
      <w:r>
        <w:rPr>
          <w:rFonts w:ascii="Times New Roman" w:cs="Times New Roman" w:eastAsia="Times New Roman" w:hAnsi="Times New Roman"/>
          <w:b w:val="false"/>
          <w:bCs w:val="false"/>
          <w:i w:val="false"/>
          <w:iCs w:val="false"/>
          <w:color w:val="000000"/>
          <w:sz w:val="24"/>
          <w:szCs w:val="24"/>
        </w:rPr>
        <w:t xml:space="preserve">W przypadku uruchomienia systemu bez karty graficznej NVIDIA (np. na laptopie z procesorową grafiką Intel/AMD) kod automatycznie przełącza się na CPU. Inferencja na CPU jest wolniejsza (dla modeli CNN ok. 3–5 sekund na obraz, dla ViT ok. 8–12 sekund), lecz w pełni funkcjonalna. Dla użytkowników z kartami AMD lub Apple Silicon możliwe jest skonfigurowanie backendu ROCm (AMD) lub MPS (Apple) przez odpowiednie ustawienie zmiennej urządzenia. W dokumentacji systemu zamieszczono instrukcję dotyczącą konfiguracji na różnych platformach sprzętowych.</w:t>
      </w:r>
    </w:p>
    <w:p>
      <w:pPr>
        <w:pStyle w:val="Heading2"/>
        <w:spacing w:before="360" w:after="180" w:line="360"/>
      </w:pPr>
      <w:r>
        <w:rPr>
          <w:rFonts w:ascii="Times New Roman" w:cs="Times New Roman" w:eastAsia="Times New Roman" w:hAnsi="Times New Roman"/>
          <w:b/>
          <w:bCs/>
          <w:color w:val="000000"/>
          <w:sz w:val="24"/>
          <w:szCs w:val="24"/>
        </w:rPr>
        <w:t xml:space="preserve">3.3 Podział danych i sampler ważony</w:t>
      </w:r>
    </w:p>
    <w:p>
      <w:pPr>
        <w:spacing w:line="360" w:before="0" w:after="120"/>
        <w:ind w:firstLine="720"/>
        <w:jc w:val="both"/>
      </w:pPr>
      <w:r>
        <w:rPr>
          <w:rFonts w:ascii="Times New Roman" w:cs="Times New Roman" w:eastAsia="Times New Roman" w:hAnsi="Times New Roman"/>
          <w:b w:val="false"/>
          <w:bCs w:val="false"/>
          <w:i w:val="false"/>
          <w:iCs w:val="false"/>
          <w:color w:val="000000"/>
          <w:sz w:val="24"/>
          <w:szCs w:val="24"/>
        </w:rPr>
        <w:t xml:space="preserve">Zbiór podzielono na podzbiory: treningowy, walidacyjny i testowy. Aby przeciwdziałać nierównowadze klas (klasa Melanocytic nevi liczy ~6-krotnie więcej próbek niż klasa Dermatofibroma), zastosowano WeightedRandomSampler z biblioteki PyTorch. Sampler przypisuje każdej próbce wagę odwrotnie proporcjonalną do liczności jej klasy, co gwarantuje, że każdy mini-batch podczas treningu zawiera zrównoważoną reprezentację wszystkich klas. W outputach notebooka potwierdza to komunikat: "Sampler utworzony pomyślnie. Czy użyto samplera: TAK".</w:t>
      </w:r>
    </w:p>
    <w:p>
      <w:pPr>
        <w:spacing w:line="360" w:before="0" w:after="120"/>
        <w:ind w:firstLine="720"/>
        <w:jc w:val="both"/>
      </w:pPr>
      <w:r>
        <w:rPr>
          <w:rFonts w:ascii="Times New Roman" w:cs="Times New Roman" w:eastAsia="Times New Roman" w:hAnsi="Times New Roman"/>
          <w:b w:val="false"/>
          <w:bCs w:val="false"/>
          <w:i w:val="false"/>
          <w:iCs w:val="false"/>
          <w:color w:val="000000"/>
          <w:sz w:val="24"/>
          <w:szCs w:val="24"/>
        </w:rPr>
        <w:t xml:space="preserve">Preprocesssing danych obejmował zmianę rozmiaru obrazów do 224×224 pikseli oraz normalizację z użyciem statystyk zbioru ImageNet: mean=[0.485, 0.456, 0.406], std=[0.229, 0.224, 0.225]. Augmentacja danych treningowych obejmowała: losowe obroty, odbicia lustrzane, zmiany jasności/kontrastu/nasycenia i losowe przycięcia.</w:t>
      </w:r>
    </w:p>
    <w:p>
      <w:pPr>
        <w:spacing w:before="60" w:after="180" w:line="320"/>
        <w:jc w:val="center"/>
      </w:pPr>
      <w:r>
        <w:rPr>
          <w:rFonts w:ascii="Times New Roman" w:cs="Times New Roman" w:eastAsia="Times New Roman" w:hAnsi="Times New Roman"/>
          <w:i/>
          <w:iCs/>
          <w:sz w:val="22"/>
          <w:szCs w:val="22"/>
        </w:rPr>
        <w:t xml:space="preserve">Tabela 3.1. Liczba próbek w zbiorze testowym dla poszczególnych klas</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4833"/>
        <w:gridCol w:w="1977"/>
        <w:gridCol w:w="1977"/>
      </w:tblGrid>
      <w:tr>
        <w:tc>
          <w:tcPr>
            <w:tcW w:type="dxa" w:w="4833"/>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Klasa</w:t>
            </w:r>
          </w:p>
        </w:tc>
        <w:tc>
          <w:tcPr>
            <w:tcW w:type="dxa" w:w="1977"/>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Próbki testowe</w:t>
            </w:r>
          </w:p>
        </w:tc>
        <w:tc>
          <w:tcPr>
            <w:tcW w:type="dxa" w:w="1977"/>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 zbioru testowego</w:t>
            </w:r>
          </w:p>
        </w:tc>
      </w:tr>
      <w:tr>
        <w:tc>
          <w:tcPr>
            <w:tcW w:type="dxa" w:w="4833"/>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Actinic keratoses</w:t>
            </w:r>
          </w:p>
        </w:tc>
        <w:tc>
          <w:tcPr>
            <w:tcW w:type="dxa" w:w="1977"/>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88</w:t>
            </w:r>
          </w:p>
        </w:tc>
        <w:tc>
          <w:tcPr>
            <w:tcW w:type="dxa" w:w="1977"/>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2.4%</w:t>
            </w:r>
          </w:p>
        </w:tc>
      </w:tr>
      <w:tr>
        <w:tc>
          <w:tcPr>
            <w:tcW w:type="dxa" w:w="4833"/>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Basal cell carcinoma</w:t>
            </w:r>
          </w:p>
        </w:tc>
        <w:tc>
          <w:tcPr>
            <w:tcW w:type="dxa" w:w="1977"/>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333</w:t>
            </w:r>
          </w:p>
        </w:tc>
        <w:tc>
          <w:tcPr>
            <w:tcW w:type="dxa" w:w="1977"/>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9.1%</w:t>
            </w:r>
          </w:p>
        </w:tc>
      </w:tr>
      <w:tr>
        <w:tc>
          <w:tcPr>
            <w:tcW w:type="dxa" w:w="4833"/>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Benign keratosis-like lesions</w:t>
            </w:r>
          </w:p>
        </w:tc>
        <w:tc>
          <w:tcPr>
            <w:tcW w:type="dxa" w:w="1977"/>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263</w:t>
            </w:r>
          </w:p>
        </w:tc>
        <w:tc>
          <w:tcPr>
            <w:tcW w:type="dxa" w:w="1977"/>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7.2%</w:t>
            </w:r>
          </w:p>
        </w:tc>
      </w:tr>
      <w:tr>
        <w:tc>
          <w:tcPr>
            <w:tcW w:type="dxa" w:w="4833"/>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Chickenpox</w:t>
            </w:r>
          </w:p>
        </w:tc>
        <w:tc>
          <w:tcPr>
            <w:tcW w:type="dxa" w:w="1977"/>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113</w:t>
            </w:r>
          </w:p>
        </w:tc>
        <w:tc>
          <w:tcPr>
            <w:tcW w:type="dxa" w:w="1977"/>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3.1%</w:t>
            </w:r>
          </w:p>
        </w:tc>
      </w:tr>
      <w:tr>
        <w:tc>
          <w:tcPr>
            <w:tcW w:type="dxa" w:w="4833"/>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Cowpox</w:t>
            </w:r>
          </w:p>
        </w:tc>
        <w:tc>
          <w:tcPr>
            <w:tcW w:type="dxa" w:w="1977"/>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99</w:t>
            </w:r>
          </w:p>
        </w:tc>
        <w:tc>
          <w:tcPr>
            <w:tcW w:type="dxa" w:w="1977"/>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2.7%</w:t>
            </w:r>
          </w:p>
        </w:tc>
      </w:tr>
      <w:tr>
        <w:tc>
          <w:tcPr>
            <w:tcW w:type="dxa" w:w="4833"/>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Dermatofibroma</w:t>
            </w:r>
          </w:p>
        </w:tc>
        <w:tc>
          <w:tcPr>
            <w:tcW w:type="dxa" w:w="1977"/>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25</w:t>
            </w:r>
          </w:p>
        </w:tc>
        <w:tc>
          <w:tcPr>
            <w:tcW w:type="dxa" w:w="1977"/>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0.7%</w:t>
            </w:r>
          </w:p>
        </w:tc>
      </w:tr>
      <w:tr>
        <w:tc>
          <w:tcPr>
            <w:tcW w:type="dxa" w:w="4833"/>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HFMD</w:t>
            </w:r>
          </w:p>
        </w:tc>
        <w:tc>
          <w:tcPr>
            <w:tcW w:type="dxa" w:w="1977"/>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242</w:t>
            </w:r>
          </w:p>
        </w:tc>
        <w:tc>
          <w:tcPr>
            <w:tcW w:type="dxa" w:w="1977"/>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6.6%</w:t>
            </w:r>
          </w:p>
        </w:tc>
      </w:tr>
      <w:tr>
        <w:tc>
          <w:tcPr>
            <w:tcW w:type="dxa" w:w="4833"/>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Healthy</w:t>
            </w:r>
          </w:p>
        </w:tc>
        <w:tc>
          <w:tcPr>
            <w:tcW w:type="dxa" w:w="1977"/>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171</w:t>
            </w:r>
          </w:p>
        </w:tc>
        <w:tc>
          <w:tcPr>
            <w:tcW w:type="dxa" w:w="1977"/>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4.7%</w:t>
            </w:r>
          </w:p>
        </w:tc>
      </w:tr>
      <w:tr>
        <w:tc>
          <w:tcPr>
            <w:tcW w:type="dxa" w:w="4833"/>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Measles</w:t>
            </w:r>
          </w:p>
        </w:tc>
        <w:tc>
          <w:tcPr>
            <w:tcW w:type="dxa" w:w="1977"/>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83</w:t>
            </w:r>
          </w:p>
        </w:tc>
        <w:tc>
          <w:tcPr>
            <w:tcW w:type="dxa" w:w="1977"/>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2.3%</w:t>
            </w:r>
          </w:p>
        </w:tc>
      </w:tr>
      <w:tr>
        <w:tc>
          <w:tcPr>
            <w:tcW w:type="dxa" w:w="4833"/>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Melanocytic nevi</w:t>
            </w:r>
          </w:p>
        </w:tc>
        <w:tc>
          <w:tcPr>
            <w:tcW w:type="dxa" w:w="1977"/>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1288</w:t>
            </w:r>
          </w:p>
        </w:tc>
        <w:tc>
          <w:tcPr>
            <w:tcW w:type="dxa" w:w="1977"/>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35.1%</w:t>
            </w:r>
          </w:p>
        </w:tc>
      </w:tr>
      <w:tr>
        <w:tc>
          <w:tcPr>
            <w:tcW w:type="dxa" w:w="4833"/>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Melanoma</w:t>
            </w:r>
          </w:p>
        </w:tc>
        <w:tc>
          <w:tcPr>
            <w:tcW w:type="dxa" w:w="1977"/>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453</w:t>
            </w:r>
          </w:p>
        </w:tc>
        <w:tc>
          <w:tcPr>
            <w:tcW w:type="dxa" w:w="1977"/>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12.3%</w:t>
            </w:r>
          </w:p>
        </w:tc>
      </w:tr>
      <w:tr>
        <w:tc>
          <w:tcPr>
            <w:tcW w:type="dxa" w:w="4833"/>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Monkeypox</w:t>
            </w:r>
          </w:p>
        </w:tc>
        <w:tc>
          <w:tcPr>
            <w:tcW w:type="dxa" w:w="1977"/>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426</w:t>
            </w:r>
          </w:p>
        </w:tc>
        <w:tc>
          <w:tcPr>
            <w:tcW w:type="dxa" w:w="1977"/>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11.6%</w:t>
            </w:r>
          </w:p>
        </w:tc>
      </w:tr>
      <w:tr>
        <w:tc>
          <w:tcPr>
            <w:tcW w:type="dxa" w:w="4833"/>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Squamous cell carcinoma</w:t>
            </w:r>
          </w:p>
        </w:tc>
        <w:tc>
          <w:tcPr>
            <w:tcW w:type="dxa" w:w="1977"/>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64</w:t>
            </w:r>
          </w:p>
        </w:tc>
        <w:tc>
          <w:tcPr>
            <w:tcW w:type="dxa" w:w="1977"/>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1.7%</w:t>
            </w:r>
          </w:p>
        </w:tc>
      </w:tr>
      <w:tr>
        <w:tc>
          <w:tcPr>
            <w:tcW w:type="dxa" w:w="4833"/>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Vascular lesions</w:t>
            </w:r>
          </w:p>
        </w:tc>
        <w:tc>
          <w:tcPr>
            <w:tcW w:type="dxa" w:w="1977"/>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26</w:t>
            </w:r>
          </w:p>
        </w:tc>
        <w:tc>
          <w:tcPr>
            <w:tcW w:type="dxa" w:w="1977"/>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0.7%</w:t>
            </w:r>
          </w:p>
        </w:tc>
      </w:tr>
      <w:tr>
        <w:tc>
          <w:tcPr>
            <w:tcW w:type="dxa" w:w="4833"/>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RAZEM</w:t>
            </w:r>
          </w:p>
        </w:tc>
        <w:tc>
          <w:tcPr>
            <w:tcW w:type="dxa" w:w="1977"/>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3 674</w:t>
            </w:r>
          </w:p>
        </w:tc>
        <w:tc>
          <w:tcPr>
            <w:tcW w:type="dxa" w:w="1977"/>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100%</w:t>
            </w:r>
          </w:p>
        </w:tc>
      </w:tr>
    </w:tbl>
    <w:p>
      <w:pPr>
        <w:spacing w:line="360"/>
      </w:pPr>
      <w:r>
        <w:t xml:space="preserve"/>
      </w:r>
    </w:p>
    <w:p>
      <w:r>
        <w:br w:type="page"/>
      </w:r>
    </w:p>
    <w:p>
      <w:pPr>
        <w:pStyle w:val="Heading1"/>
        <w:spacing w:before="480" w:after="240" w:line="360"/>
      </w:pPr>
      <w:r>
        <w:rPr>
          <w:rFonts w:ascii="Times New Roman" w:cs="Times New Roman" w:eastAsia="Times New Roman" w:hAnsi="Times New Roman"/>
          <w:b/>
          <w:bCs/>
          <w:color w:val="000000"/>
          <w:sz w:val="28"/>
          <w:szCs w:val="28"/>
        </w:rPr>
        <w:t xml:space="preserve">4 Środowisko treningowe i proces uczenia modeli</w:t>
      </w:r>
    </w:p>
    <w:p>
      <w:pPr>
        <w:pStyle w:val="Heading2"/>
        <w:spacing w:before="360" w:after="180" w:line="360"/>
      </w:pPr>
      <w:r>
        <w:rPr>
          <w:rFonts w:ascii="Times New Roman" w:cs="Times New Roman" w:eastAsia="Times New Roman" w:hAnsi="Times New Roman"/>
          <w:b/>
          <w:bCs/>
          <w:color w:val="000000"/>
          <w:sz w:val="24"/>
          <w:szCs w:val="24"/>
        </w:rPr>
        <w:t xml:space="preserve">4.1 Parametry treningu i mechanizm wczesnego zatrzymania</w:t>
      </w:r>
    </w:p>
    <w:p>
      <w:pPr>
        <w:spacing w:line="360" w:before="0" w:after="120"/>
        <w:ind w:firstLine="720"/>
        <w:jc w:val="both"/>
      </w:pPr>
      <w:r>
        <w:rPr>
          <w:rFonts w:ascii="Times New Roman" w:cs="Times New Roman" w:eastAsia="Times New Roman" w:hAnsi="Times New Roman"/>
          <w:b w:val="false"/>
          <w:bCs w:val="false"/>
          <w:i w:val="false"/>
          <w:iCs w:val="false"/>
          <w:color w:val="000000"/>
          <w:sz w:val="24"/>
          <w:szCs w:val="24"/>
        </w:rPr>
        <w:t xml:space="preserve">Wszystkie modele trenowano przez maksymalnie 25 epok z użyciem mechanizmu wczesnego zatrzymania (early stopping) z cierpliwością (patience) wynoszącą 5 epok – algorytm kończył trening, jeśli przez 5 kolejnych epok nie odnotowano poprawy dokładności walidacyjnej. Jako optymalizator stosowano Adam z lr=1e-4, a jako funkcję kosztu CrossEntropyLoss z ważeniem klas proporcjonalnym do samplowania. Rozmiar mini-batcha wynosił 32. Dla modeli opartych na pretrainowanych wagach (wszystkich poza Custom CNN) stosowano bezpośredni fine-tuning pełnej sieci – bez zamrażania warstw – ze względu na stosunkowo małą liczbę epok.</w:t>
      </w:r>
    </w:p>
    <w:p>
      <w:pPr>
        <w:spacing w:before="60" w:after="180" w:line="320"/>
        <w:jc w:val="center"/>
      </w:pPr>
      <w:r>
        <w:rPr>
          <w:rFonts w:ascii="Times New Roman" w:cs="Times New Roman" w:eastAsia="Times New Roman" w:hAnsi="Times New Roman"/>
          <w:i/>
          <w:iCs/>
          <w:sz w:val="22"/>
          <w:szCs w:val="22"/>
        </w:rPr>
        <w:t xml:space="preserve">Tabela 4.1. Podsumowanie parametrów i wyników procesu treningu dla wszystkich modeli</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1933"/>
        <w:gridCol w:w="1230"/>
        <w:gridCol w:w="1581"/>
        <w:gridCol w:w="1142"/>
        <w:gridCol w:w="1581"/>
        <w:gridCol w:w="1318"/>
      </w:tblGrid>
      <w:tr>
        <w:tc>
          <w:tcPr>
            <w:tcW w:type="dxa" w:w="1933"/>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Model</w:t>
            </w:r>
          </w:p>
        </w:tc>
        <w:tc>
          <w:tcPr>
            <w:tcW w:type="dxa" w:w="1230"/>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Epoki</w:t>
            </w:r>
          </w:p>
        </w:tc>
        <w:tc>
          <w:tcPr>
            <w:tcW w:type="dxa" w:w="1581"/>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Czas treningu</w:t>
            </w:r>
          </w:p>
        </w:tc>
        <w:tc>
          <w:tcPr>
            <w:tcW w:type="dxa" w:w="1142"/>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Early stop</w:t>
            </w:r>
          </w:p>
        </w:tc>
        <w:tc>
          <w:tcPr>
            <w:tcW w:type="dxa" w:w="1581"/>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Best Val Acc</w:t>
            </w:r>
          </w:p>
        </w:tc>
        <w:tc>
          <w:tcPr>
            <w:tcW w:type="dxa" w:w="1318"/>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Pretraining</w:t>
            </w:r>
          </w:p>
        </w:tc>
      </w:tr>
      <w:tr>
        <w:tc>
          <w:tcPr>
            <w:tcW w:type="dxa" w:w="1933"/>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CustomCNN</w:t>
            </w:r>
          </w:p>
        </w:tc>
        <w:tc>
          <w:tcPr>
            <w:tcW w:type="dxa" w:w="123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21</w:t>
            </w:r>
          </w:p>
        </w:tc>
        <w:tc>
          <w:tcPr>
            <w:tcW w:type="dxa" w:w="158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73m 21s</w:t>
            </w:r>
          </w:p>
        </w:tc>
        <w:tc>
          <w:tcPr>
            <w:tcW w:type="dxa" w:w="114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TAK</w:t>
            </w:r>
          </w:p>
        </w:tc>
        <w:tc>
          <w:tcPr>
            <w:tcW w:type="dxa" w:w="158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0.6254</w:t>
            </w:r>
          </w:p>
        </w:tc>
        <w:tc>
          <w:tcPr>
            <w:tcW w:type="dxa" w:w="1318"/>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Brak</w:t>
            </w:r>
          </w:p>
        </w:tc>
      </w:tr>
      <w:tr>
        <w:tc>
          <w:tcPr>
            <w:tcW w:type="dxa" w:w="1933"/>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MobileNetV3</w:t>
            </w:r>
          </w:p>
        </w:tc>
        <w:tc>
          <w:tcPr>
            <w:tcW w:type="dxa" w:w="123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22</w:t>
            </w:r>
          </w:p>
        </w:tc>
        <w:tc>
          <w:tcPr>
            <w:tcW w:type="dxa" w:w="158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78m 9s</w:t>
            </w:r>
          </w:p>
        </w:tc>
        <w:tc>
          <w:tcPr>
            <w:tcW w:type="dxa" w:w="114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TAK</w:t>
            </w:r>
          </w:p>
        </w:tc>
        <w:tc>
          <w:tcPr>
            <w:tcW w:type="dxa" w:w="158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0.8478</w:t>
            </w:r>
          </w:p>
        </w:tc>
        <w:tc>
          <w:tcPr>
            <w:tcW w:type="dxa" w:w="1318"/>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ImageNet</w:t>
            </w:r>
          </w:p>
        </w:tc>
      </w:tr>
      <w:tr>
        <w:tc>
          <w:tcPr>
            <w:tcW w:type="dxa" w:w="1933"/>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ResNet-50</w:t>
            </w:r>
          </w:p>
        </w:tc>
        <w:tc>
          <w:tcPr>
            <w:tcW w:type="dxa" w:w="123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25</w:t>
            </w:r>
          </w:p>
        </w:tc>
        <w:tc>
          <w:tcPr>
            <w:tcW w:type="dxa" w:w="158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99m 53s</w:t>
            </w:r>
          </w:p>
        </w:tc>
        <w:tc>
          <w:tcPr>
            <w:tcW w:type="dxa" w:w="114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NIE</w:t>
            </w:r>
          </w:p>
        </w:tc>
        <w:tc>
          <w:tcPr>
            <w:tcW w:type="dxa" w:w="158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0.8372</w:t>
            </w:r>
          </w:p>
        </w:tc>
        <w:tc>
          <w:tcPr>
            <w:tcW w:type="dxa" w:w="1318"/>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ImageNet</w:t>
            </w:r>
          </w:p>
        </w:tc>
      </w:tr>
      <w:tr>
        <w:tc>
          <w:tcPr>
            <w:tcW w:type="dxa" w:w="1933"/>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ViT-B/16</w:t>
            </w:r>
          </w:p>
        </w:tc>
        <w:tc>
          <w:tcPr>
            <w:tcW w:type="dxa" w:w="123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18</w:t>
            </w:r>
          </w:p>
        </w:tc>
        <w:tc>
          <w:tcPr>
            <w:tcW w:type="dxa" w:w="158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182m 43s</w:t>
            </w:r>
          </w:p>
        </w:tc>
        <w:tc>
          <w:tcPr>
            <w:tcW w:type="dxa" w:w="114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TAK</w:t>
            </w:r>
          </w:p>
        </w:tc>
        <w:tc>
          <w:tcPr>
            <w:tcW w:type="dxa" w:w="158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0.8689</w:t>
            </w:r>
          </w:p>
        </w:tc>
        <w:tc>
          <w:tcPr>
            <w:tcW w:type="dxa" w:w="1318"/>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ImageNet-21k</w:t>
            </w:r>
          </w:p>
        </w:tc>
      </w:tr>
      <w:tr>
        <w:tc>
          <w:tcPr>
            <w:tcW w:type="dxa" w:w="1933"/>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EfficientNet</w:t>
            </w:r>
          </w:p>
        </w:tc>
        <w:tc>
          <w:tcPr>
            <w:tcW w:type="dxa" w:w="123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21</w:t>
            </w:r>
          </w:p>
        </w:tc>
        <w:tc>
          <w:tcPr>
            <w:tcW w:type="dxa" w:w="158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77m 52s</w:t>
            </w:r>
          </w:p>
        </w:tc>
        <w:tc>
          <w:tcPr>
            <w:tcW w:type="dxa" w:w="114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TAK</w:t>
            </w:r>
          </w:p>
        </w:tc>
        <w:tc>
          <w:tcPr>
            <w:tcW w:type="dxa" w:w="158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0.8809</w:t>
            </w:r>
          </w:p>
        </w:tc>
        <w:tc>
          <w:tcPr>
            <w:tcW w:type="dxa" w:w="1318"/>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ImageNet</w:t>
            </w:r>
          </w:p>
        </w:tc>
      </w:tr>
    </w:tbl>
    <w:p>
      <w:pPr>
        <w:spacing w:line="360"/>
      </w:pPr>
      <w:r>
        <w:t xml:space="preserve"/>
      </w:r>
    </w:p>
    <w:p>
      <w:pPr>
        <w:pStyle w:val="Heading2"/>
        <w:spacing w:before="360" w:after="180" w:line="360"/>
      </w:pPr>
      <w:r>
        <w:rPr>
          <w:rFonts w:ascii="Times New Roman" w:cs="Times New Roman" w:eastAsia="Times New Roman" w:hAnsi="Times New Roman"/>
          <w:b/>
          <w:bCs/>
          <w:color w:val="000000"/>
          <w:sz w:val="24"/>
          <w:szCs w:val="24"/>
        </w:rPr>
        <w:t xml:space="preserve">4.2 Analiza procesu treningu – krzywe uczenia</w:t>
      </w:r>
    </w:p>
    <w:p>
      <w:pPr>
        <w:spacing w:line="360" w:before="0" w:after="120"/>
        <w:ind w:firstLine="720"/>
        <w:jc w:val="both"/>
      </w:pPr>
      <w:r>
        <w:rPr>
          <w:rFonts w:ascii="Times New Roman" w:cs="Times New Roman" w:eastAsia="Times New Roman" w:hAnsi="Times New Roman"/>
          <w:b w:val="false"/>
          <w:bCs w:val="false"/>
          <w:i w:val="false"/>
          <w:iCs w:val="false"/>
          <w:color w:val="000000"/>
          <w:sz w:val="24"/>
          <w:szCs w:val="24"/>
        </w:rPr>
        <w:t xml:space="preserve">Rysunek 4.1 (zamieszczony w pracy) przedstawia krzywe dokładności walidacyjnej w kolejnych epokach dla wszystkich pięciu modeli. Analizując wykres, można wyciągnąć następujące wnioski:</w:t>
      </w:r>
    </w:p>
    <w:p>
      <w:pPr>
        <w:spacing w:line="360" w:before="0" w:after="120"/>
        <w:ind w:firstLine="720"/>
        <w:jc w:val="both"/>
      </w:pPr>
      <w:r>
        <w:rPr>
          <w:rFonts w:ascii="Times New Roman" w:cs="Times New Roman" w:eastAsia="Times New Roman" w:hAnsi="Times New Roman"/>
          <w:b w:val="false"/>
          <w:bCs w:val="false"/>
          <w:i w:val="false"/>
          <w:iCs w:val="false"/>
          <w:color w:val="000000"/>
          <w:sz w:val="24"/>
          <w:szCs w:val="24"/>
        </w:rPr>
        <w:t xml:space="preserve">Custom CNN startuje z bardzo niskiej dokładności (0.28 w epoce 0) i wykazuje monotoniczny wzrost przez wszystkie 21 epok, jednak nie osiąga poziomu modeli pretrainowanych. Wolne uczenie się wynika z konieczności wyuczenia się podstawowych cech hierarchicznych od podstaw.</w:t>
      </w:r>
    </w:p>
    <w:p>
      <w:pPr>
        <w:spacing w:line="360" w:before="0" w:after="120"/>
        <w:ind w:firstLine="720"/>
        <w:jc w:val="both"/>
      </w:pPr>
      <w:r>
        <w:rPr>
          <w:rFonts w:ascii="Times New Roman" w:cs="Times New Roman" w:eastAsia="Times New Roman" w:hAnsi="Times New Roman"/>
          <w:b w:val="false"/>
          <w:bCs w:val="false"/>
          <w:i w:val="false"/>
          <w:iCs w:val="false"/>
          <w:color w:val="000000"/>
          <w:sz w:val="24"/>
          <w:szCs w:val="24"/>
        </w:rPr>
        <w:t xml:space="preserve">MobileNetV3 i EfficientNet demonstrują podobny przebieg: gwałtowny wzrost dokładności w pierwszych 5 epokach (efekt fine-tuning pretrainowanych wag) i oscylacje na wysokim poziomie (0.78–0.88) w kolejnych epokach. MobileNetV3 wykazuje nieco większą wariancję, co może wynikać z agresywniejszego harmonogramu uczenia.</w:t>
      </w:r>
    </w:p>
    <w:p>
      <w:pPr>
        <w:spacing w:line="360" w:before="0" w:after="120"/>
        <w:ind w:firstLine="720"/>
        <w:jc w:val="both"/>
      </w:pPr>
      <w:r>
        <w:rPr>
          <w:rFonts w:ascii="Times New Roman" w:cs="Times New Roman" w:eastAsia="Times New Roman" w:hAnsi="Times New Roman"/>
          <w:b w:val="false"/>
          <w:bCs w:val="false"/>
          <w:i w:val="false"/>
          <w:iCs w:val="false"/>
          <w:color w:val="000000"/>
          <w:sz w:val="24"/>
          <w:szCs w:val="24"/>
        </w:rPr>
        <w:t xml:space="preserve">ResNet-50 charakteryzuje się wolniejszą konwergencją niż MobileNetV3 – mimo znacznie większej liczby parametrów (25,6M vs 5,4M) osiąga nieco niższą dokładność walidacyjną (0.8372). Wskazuje to, że większa sieć niekoniecznie uczy się skuteczniej przy tym samym protokole treningu i zbiorze danych.</w:t>
      </w:r>
    </w:p>
    <w:p>
      <w:pPr>
        <w:spacing w:line="360" w:before="0" w:after="120"/>
        <w:ind w:firstLine="720"/>
        <w:jc w:val="both"/>
      </w:pPr>
      <w:r>
        <w:rPr>
          <w:rFonts w:ascii="Times New Roman" w:cs="Times New Roman" w:eastAsia="Times New Roman" w:hAnsi="Times New Roman"/>
          <w:b w:val="false"/>
          <w:bCs w:val="false"/>
          <w:i w:val="false"/>
          <w:iCs w:val="false"/>
          <w:color w:val="000000"/>
          <w:sz w:val="24"/>
          <w:szCs w:val="24"/>
        </w:rPr>
        <w:t xml:space="preserve">ViT-B/16 wykazuje wyraźną fluktuację dokładności walidacyjnej, co jest charakterystyczne dla transformerów ze względu na złożony mechanizm uwagi. Mimo że early stopping zakończył trening po 18 epokach (best val acc 0.8689), model osiąga najwyższą dokładność testową spośród CNN-based modeli. EfficientNet osiąga najwyższą dokładność walidacyjną (0.8809) spośród wszystkich modeli.</w:t>
      </w:r>
    </w:p>
    <w:p>
      <w:pPr>
        <w:pStyle w:val="Heading2"/>
        <w:spacing w:before="360" w:after="180" w:line="360"/>
      </w:pPr>
      <w:r>
        <w:rPr>
          <w:rFonts w:ascii="Times New Roman" w:cs="Times New Roman" w:eastAsia="Times New Roman" w:hAnsi="Times New Roman"/>
          <w:b/>
          <w:bCs/>
          <w:color w:val="000000"/>
          <w:sz w:val="24"/>
          <w:szCs w:val="24"/>
        </w:rPr>
        <w:t xml:space="preserve">4.3 Czas treningu a złożoność architektury</w:t>
      </w:r>
    </w:p>
    <w:p>
      <w:pPr>
        <w:spacing w:line="360" w:before="0" w:after="120"/>
        <w:ind w:firstLine="720"/>
        <w:jc w:val="both"/>
      </w:pPr>
      <w:r>
        <w:rPr>
          <w:rFonts w:ascii="Times New Roman" w:cs="Times New Roman" w:eastAsia="Times New Roman" w:hAnsi="Times New Roman"/>
          <w:b w:val="false"/>
          <w:bCs w:val="false"/>
          <w:i w:val="false"/>
          <w:iCs w:val="false"/>
          <w:color w:val="000000"/>
          <w:sz w:val="24"/>
          <w:szCs w:val="24"/>
        </w:rPr>
        <w:t xml:space="preserve">Czas treningu jest kluczowym praktycznym parametrem przy wyborze architektury w zastosowaniach produkcyjnych. Tabela 4.1 i wykres z notebooka ujawniają dramatyczne różnice:</w:t>
      </w:r>
    </w:p>
    <w:p>
      <w:pPr>
        <w:spacing w:line="360" w:before="0" w:after="120"/>
        <w:ind w:firstLine="720"/>
        <w:jc w:val="both"/>
      </w:pPr>
      <w:r>
        <w:rPr>
          <w:rFonts w:ascii="Times New Roman" w:cs="Times New Roman" w:eastAsia="Times New Roman" w:hAnsi="Times New Roman"/>
          <w:b w:val="false"/>
          <w:bCs w:val="false"/>
          <w:i w:val="false"/>
          <w:iCs w:val="false"/>
          <w:color w:val="000000"/>
          <w:sz w:val="24"/>
          <w:szCs w:val="24"/>
        </w:rPr>
        <w:t xml:space="preserve">ViT-B/16 wymagał 10 963 sekund (ok. 183 minut), niemal dwukrotnie więcej niż ResNet-50 (5 993 s) i ponad dwukrotnie więcej niż MobileNetV3 (4 689 s), EfficientNet (4 672 s) i Custom CNN (4 401 s). Różnica ta wynika z kwadratowej złożoności obliczeniowej mechanizmu uwagi własnej względem liczby patches: dla obrazu 224×224 z patchami 16×16 mamy 196 tokenów, co daje macierz uwagi 196×196 w każdej z 12 głowic i 12 warstw encodera. Pomimo wsparcia dwóch GPU, ViT jest znacznie bardziej wymagający obliczeniowo niż architektury CNN.</w:t>
      </w:r>
    </w:p>
    <w:p>
      <w:pPr>
        <w:spacing w:line="360" w:before="0" w:after="120"/>
        <w:ind w:firstLine="720"/>
        <w:jc w:val="both"/>
      </w:pPr>
      <w:r>
        <w:rPr>
          <w:rFonts w:ascii="Times New Roman" w:cs="Times New Roman" w:eastAsia="Times New Roman" w:hAnsi="Times New Roman"/>
          <w:b w:val="false"/>
          <w:bCs w:val="false"/>
          <w:i w:val="false"/>
          <w:iCs w:val="false"/>
          <w:color w:val="000000"/>
          <w:sz w:val="24"/>
          <w:szCs w:val="24"/>
        </w:rPr>
        <w:t xml:space="preserve">Z perspektywy cost-effectiveness EfficientNet-B0 prezentuje się jako najlepsza opcja: osiąga najwyższą dokładność testową (88%) przy jednym z najkrótszych czasów treningu (77m 52s, 4 672 s). Potwierdza to teoretyczne założenia metody złożonego skalowania – efektywna alokacja parametrów prowadzi do wyższej jakości przy niższym koszcie obliczeniowym.</w:t>
      </w:r>
    </w:p>
    <w:p>
      <w:pPr>
        <w:pStyle w:val="Heading2"/>
        <w:spacing w:before="360" w:after="180" w:line="360"/>
      </w:pPr>
      <w:r>
        <w:rPr>
          <w:rFonts w:ascii="Times New Roman" w:cs="Times New Roman" w:eastAsia="Times New Roman" w:hAnsi="Times New Roman"/>
          <w:b/>
          <w:bCs/>
          <w:color w:val="000000"/>
          <w:sz w:val="24"/>
          <w:szCs w:val="24"/>
        </w:rPr>
        <w:t xml:space="preserve">4.4 Implementacja Grad-CAM</w:t>
      </w:r>
    </w:p>
    <w:p>
      <w:pPr>
        <w:spacing w:line="360" w:before="0" w:after="120"/>
        <w:ind w:firstLine="720"/>
        <w:jc w:val="both"/>
      </w:pPr>
      <w:r>
        <w:rPr>
          <w:rFonts w:ascii="Times New Roman" w:cs="Times New Roman" w:eastAsia="Times New Roman" w:hAnsi="Times New Roman"/>
          <w:b w:val="false"/>
          <w:bCs w:val="false"/>
          <w:i w:val="false"/>
          <w:iCs w:val="false"/>
          <w:color w:val="000000"/>
          <w:sz w:val="24"/>
          <w:szCs w:val="24"/>
        </w:rPr>
        <w:t xml:space="preserve">Wizualizację map aktywacji zaimplementowano z użyciem biblioteki pytorch-grad-cam. Dla modeli CNN (MobileNetV3, ResNet-50, EfficientNet-B0, Custom CNN) stosowana jest metoda GradCAM nakierowana na ostatnią warstwę konwolucyjną: model.features[-1] dla MobileNetV3 i EfficientNet, layer4[-1].conv3 dla ResNet-50, features[3] dla Custom CNN. Dla ViT-B/16 stosowana jest metoda GradCAMPlusPlus z warstwą encoder.layers[-1].</w:t>
      </w:r>
    </w:p>
    <w:p>
      <w:pPr>
        <w:spacing w:line="360" w:before="0" w:after="120"/>
        <w:ind w:firstLine="720"/>
        <w:jc w:val="both"/>
      </w:pPr>
      <w:r>
        <w:rPr>
          <w:rFonts w:ascii="Times New Roman" w:cs="Times New Roman" w:eastAsia="Times New Roman" w:hAnsi="Times New Roman"/>
          <w:b w:val="false"/>
          <w:bCs w:val="false"/>
          <w:i w:val="false"/>
          <w:iCs w:val="false"/>
          <w:color w:val="000000"/>
          <w:sz w:val="24"/>
          <w:szCs w:val="24"/>
        </w:rPr>
        <w:t xml:space="preserve">Procedura generowania mapy: (1) forward pass z zapamiętaniem aktywacji, (2) obliczenie gradientów klasy predykowanej względem wybranej warstwy, (3) globalne uśrednienie gradientów przestrzennych (GAP), (4) ważenie aktywacji i ReLU, (5) normalizacja do [0,1] i skalowanie bicubic do 224×224, (6) zastosowanie colormap JET i nałożenie na oryginalne zdjęcie z αblend = 0.4. Wynikowa heatmapa jest zwracana jako obraz PNG zakodowany w base64 i przesyłana do front-endu.</w:t>
      </w:r>
    </w:p>
    <w:p>
      <w:r>
        <w:br w:type="page"/>
      </w:r>
    </w:p>
    <w:p>
      <w:pPr>
        <w:pStyle w:val="Heading1"/>
        <w:spacing w:before="480" w:after="240" w:line="360"/>
      </w:pPr>
      <w:r>
        <w:rPr>
          <w:rFonts w:ascii="Times New Roman" w:cs="Times New Roman" w:eastAsia="Times New Roman" w:hAnsi="Times New Roman"/>
          <w:b/>
          <w:bCs/>
          <w:color w:val="000000"/>
          <w:sz w:val="28"/>
          <w:szCs w:val="28"/>
        </w:rPr>
        <w:t xml:space="preserve">5 Wyniki eksperymentów</w:t>
      </w:r>
    </w:p>
    <w:p>
      <w:pPr>
        <w:pStyle w:val="Heading2"/>
        <w:spacing w:before="360" w:after="180" w:line="360"/>
      </w:pPr>
      <w:r>
        <w:rPr>
          <w:rFonts w:ascii="Times New Roman" w:cs="Times New Roman" w:eastAsia="Times New Roman" w:hAnsi="Times New Roman"/>
          <w:b/>
          <w:bCs/>
          <w:color w:val="000000"/>
          <w:sz w:val="24"/>
          <w:szCs w:val="24"/>
        </w:rPr>
        <w:t xml:space="preserve">5.1 Zbiorcze porównanie modeli na zbiorze testowym</w:t>
      </w:r>
    </w:p>
    <w:p>
      <w:pPr>
        <w:spacing w:line="360" w:before="0" w:after="120"/>
        <w:ind w:firstLine="720"/>
        <w:jc w:val="both"/>
      </w:pPr>
      <w:r>
        <w:rPr>
          <w:rFonts w:ascii="Times New Roman" w:cs="Times New Roman" w:eastAsia="Times New Roman" w:hAnsi="Times New Roman"/>
          <w:b w:val="false"/>
          <w:bCs w:val="false"/>
          <w:i w:val="false"/>
          <w:iCs w:val="false"/>
          <w:color w:val="000000"/>
          <w:sz w:val="24"/>
          <w:szCs w:val="24"/>
        </w:rPr>
        <w:t xml:space="preserve">Tabela 5.1 zestawia wyniki wszystkich pięciu modeli na zbiorze testowym liczącym 3 674 próbki. Wyniki są w pełni oparte na danych z notebooka.</w:t>
      </w:r>
    </w:p>
    <w:p>
      <w:pPr>
        <w:spacing w:before="60" w:after="180" w:line="320"/>
        <w:jc w:val="center"/>
      </w:pPr>
      <w:r>
        <w:rPr>
          <w:rFonts w:ascii="Times New Roman" w:cs="Times New Roman" w:eastAsia="Times New Roman" w:hAnsi="Times New Roman"/>
          <w:i/>
          <w:iCs/>
          <w:sz w:val="22"/>
          <w:szCs w:val="22"/>
        </w:rPr>
        <w:t xml:space="preserve">Tabela 5.1. Wyniki zbiorcze modeli na zbiorze testowym (3 674 próbki)</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2197"/>
        <w:gridCol w:w="1318"/>
        <w:gridCol w:w="1318"/>
        <w:gridCol w:w="1318"/>
        <w:gridCol w:w="1318"/>
        <w:gridCol w:w="1318"/>
      </w:tblGrid>
      <w:tr>
        <w:tc>
          <w:tcPr>
            <w:tcW w:type="dxa" w:w="2197"/>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Model</w:t>
            </w:r>
          </w:p>
        </w:tc>
        <w:tc>
          <w:tcPr>
            <w:tcW w:type="dxa" w:w="1318"/>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Accuracy</w:t>
            </w:r>
          </w:p>
        </w:tc>
        <w:tc>
          <w:tcPr>
            <w:tcW w:type="dxa" w:w="1318"/>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Macro P</w:t>
            </w:r>
          </w:p>
        </w:tc>
        <w:tc>
          <w:tcPr>
            <w:tcW w:type="dxa" w:w="1318"/>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Macro R</w:t>
            </w:r>
          </w:p>
        </w:tc>
        <w:tc>
          <w:tcPr>
            <w:tcW w:type="dxa" w:w="1318"/>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Macro F1</w:t>
            </w:r>
          </w:p>
        </w:tc>
        <w:tc>
          <w:tcPr>
            <w:tcW w:type="dxa" w:w="1318"/>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Best Val Acc</w:t>
            </w:r>
          </w:p>
        </w:tc>
      </w:tr>
      <w:tr>
        <w:tc>
          <w:tcPr>
            <w:tcW w:type="dxa" w:w="2197"/>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CustomCNN</w:t>
            </w:r>
          </w:p>
        </w:tc>
        <w:tc>
          <w:tcPr>
            <w:tcW w:type="dxa" w:w="1318"/>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0.62</w:t>
            </w:r>
          </w:p>
        </w:tc>
        <w:tc>
          <w:tcPr>
            <w:tcW w:type="dxa" w:w="1318"/>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0.55</w:t>
            </w:r>
          </w:p>
        </w:tc>
        <w:tc>
          <w:tcPr>
            <w:tcW w:type="dxa" w:w="1318"/>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0.65</w:t>
            </w:r>
          </w:p>
        </w:tc>
        <w:tc>
          <w:tcPr>
            <w:tcW w:type="dxa" w:w="1318"/>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0.57</w:t>
            </w:r>
          </w:p>
        </w:tc>
        <w:tc>
          <w:tcPr>
            <w:tcW w:type="dxa" w:w="1318"/>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0.6254</w:t>
            </w:r>
          </w:p>
        </w:tc>
      </w:tr>
      <w:tr>
        <w:tc>
          <w:tcPr>
            <w:tcW w:type="dxa" w:w="2197"/>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MobileNetV3</w:t>
            </w:r>
          </w:p>
        </w:tc>
        <w:tc>
          <w:tcPr>
            <w:tcW w:type="dxa" w:w="1318"/>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0.84</w:t>
            </w:r>
          </w:p>
        </w:tc>
        <w:tc>
          <w:tcPr>
            <w:tcW w:type="dxa" w:w="1318"/>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0.81</w:t>
            </w:r>
          </w:p>
        </w:tc>
        <w:tc>
          <w:tcPr>
            <w:tcW w:type="dxa" w:w="1318"/>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0.85</w:t>
            </w:r>
          </w:p>
        </w:tc>
        <w:tc>
          <w:tcPr>
            <w:tcW w:type="dxa" w:w="1318"/>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0.82</w:t>
            </w:r>
          </w:p>
        </w:tc>
        <w:tc>
          <w:tcPr>
            <w:tcW w:type="dxa" w:w="1318"/>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0.8478</w:t>
            </w:r>
          </w:p>
        </w:tc>
      </w:tr>
      <w:tr>
        <w:tc>
          <w:tcPr>
            <w:tcW w:type="dxa" w:w="2197"/>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ResNet50</w:t>
            </w:r>
          </w:p>
        </w:tc>
        <w:tc>
          <w:tcPr>
            <w:tcW w:type="dxa" w:w="1318"/>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0.84</w:t>
            </w:r>
          </w:p>
        </w:tc>
        <w:tc>
          <w:tcPr>
            <w:tcW w:type="dxa" w:w="1318"/>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0.84</w:t>
            </w:r>
          </w:p>
        </w:tc>
        <w:tc>
          <w:tcPr>
            <w:tcW w:type="dxa" w:w="1318"/>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0.85</w:t>
            </w:r>
          </w:p>
        </w:tc>
        <w:tc>
          <w:tcPr>
            <w:tcW w:type="dxa" w:w="1318"/>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0.84</w:t>
            </w:r>
          </w:p>
        </w:tc>
        <w:tc>
          <w:tcPr>
            <w:tcW w:type="dxa" w:w="1318"/>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0.8372</w:t>
            </w:r>
          </w:p>
        </w:tc>
      </w:tr>
      <w:tr>
        <w:tc>
          <w:tcPr>
            <w:tcW w:type="dxa" w:w="2197"/>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ViT</w:t>
            </w:r>
          </w:p>
        </w:tc>
        <w:tc>
          <w:tcPr>
            <w:tcW w:type="dxa" w:w="1318"/>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0.87</w:t>
            </w:r>
          </w:p>
        </w:tc>
        <w:tc>
          <w:tcPr>
            <w:tcW w:type="dxa" w:w="1318"/>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0.87</w:t>
            </w:r>
          </w:p>
        </w:tc>
        <w:tc>
          <w:tcPr>
            <w:tcW w:type="dxa" w:w="1318"/>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0.87</w:t>
            </w:r>
          </w:p>
        </w:tc>
        <w:tc>
          <w:tcPr>
            <w:tcW w:type="dxa" w:w="1318"/>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0.87</w:t>
            </w:r>
          </w:p>
        </w:tc>
        <w:tc>
          <w:tcPr>
            <w:tcW w:type="dxa" w:w="1318"/>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0.8689</w:t>
            </w:r>
          </w:p>
        </w:tc>
      </w:tr>
      <w:tr>
        <w:tc>
          <w:tcPr>
            <w:tcW w:type="dxa" w:w="2197"/>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EfficientNet</w:t>
            </w:r>
          </w:p>
        </w:tc>
        <w:tc>
          <w:tcPr>
            <w:tcW w:type="dxa" w:w="1318"/>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0.88</w:t>
            </w:r>
          </w:p>
        </w:tc>
        <w:tc>
          <w:tcPr>
            <w:tcW w:type="dxa" w:w="1318"/>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0.85</w:t>
            </w:r>
          </w:p>
        </w:tc>
        <w:tc>
          <w:tcPr>
            <w:tcW w:type="dxa" w:w="1318"/>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0.88</w:t>
            </w:r>
          </w:p>
        </w:tc>
        <w:tc>
          <w:tcPr>
            <w:tcW w:type="dxa" w:w="1318"/>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0.86</w:t>
            </w:r>
          </w:p>
        </w:tc>
        <w:tc>
          <w:tcPr>
            <w:tcW w:type="dxa" w:w="1318"/>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0.8809</w:t>
            </w:r>
          </w:p>
        </w:tc>
      </w:tr>
    </w:tbl>
    <w:p>
      <w:pPr>
        <w:spacing w:line="360"/>
      </w:pPr>
      <w:r>
        <w:t xml:space="preserve"/>
      </w:r>
    </w:p>
    <w:p>
      <w:pPr>
        <w:spacing w:line="360" w:before="0" w:after="120"/>
        <w:ind w:firstLine="720"/>
        <w:jc w:val="both"/>
      </w:pPr>
      <w:r>
        <w:rPr>
          <w:rFonts w:ascii="Times New Roman" w:cs="Times New Roman" w:eastAsia="Times New Roman" w:hAnsi="Times New Roman"/>
          <w:b w:val="false"/>
          <w:bCs w:val="false"/>
          <w:i w:val="false"/>
          <w:iCs w:val="false"/>
          <w:color w:val="000000"/>
          <w:sz w:val="24"/>
          <w:szCs w:val="24"/>
        </w:rPr>
        <w:t xml:space="preserve">Najwyższą dokładność testową osiągnął model EfficientNet-B0 (88%), który jednocześnie wyróżnia się najlepszym wynikiem walidacyjnym (0.8809) i jednym z najkrótszych czasów treningu. ViT-B/16 zajął drugą pozycję (87%, macro F1 = 0.87), przy czym jest to wynik uzyskany po zaledwie 18 epokach i nie jest wykluczone, że dłuższy trening (przy mniejszym lr po "rozgrzewce") przyniósłby dalszą poprawę. MobileNetV3 i ResNet-50 uzyskały identyczną ogólną dokładność 84%, choć profil błędów klasowych różni się między nimi (ResNet-50 ma wyższą precyzję i F1 macro 0.84, MobileNetV3 wyższy recall). Custom CNN, trenowany od zera, wyraźnie odstaje – dokładność 62% i macro F1 0.57.</w:t>
      </w:r>
    </w:p>
    <w:p>
      <w:pPr>
        <w:pStyle w:val="Heading2"/>
        <w:spacing w:before="360" w:after="180" w:line="360"/>
      </w:pPr>
      <w:r>
        <w:rPr>
          <w:rFonts w:ascii="Times New Roman" w:cs="Times New Roman" w:eastAsia="Times New Roman" w:hAnsi="Times New Roman"/>
          <w:b/>
          <w:bCs/>
          <w:color w:val="000000"/>
          <w:sz w:val="24"/>
          <w:szCs w:val="24"/>
        </w:rPr>
        <w:t xml:space="preserve">5.2 Szczegółowe raporty klasyfikacji – Custom CNN</w:t>
      </w:r>
    </w:p>
    <w:p>
      <w:pPr>
        <w:spacing w:before="60" w:after="180" w:line="320"/>
        <w:jc w:val="center"/>
      </w:pPr>
      <w:r>
        <w:rPr>
          <w:rFonts w:ascii="Times New Roman" w:cs="Times New Roman" w:eastAsia="Times New Roman" w:hAnsi="Times New Roman"/>
          <w:i/>
          <w:iCs/>
          <w:sz w:val="22"/>
          <w:szCs w:val="22"/>
        </w:rPr>
        <w:t xml:space="preserve">Tabela 5.2. Raport klasyfikacji – Custom CNN (dokładność: 62%)</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3339"/>
        <w:gridCol w:w="1362"/>
        <w:gridCol w:w="1362"/>
        <w:gridCol w:w="1362"/>
        <w:gridCol w:w="1362"/>
      </w:tblGrid>
      <w:tr>
        <w:tc>
          <w:tcPr>
            <w:tcW w:type="dxa" w:w="3339"/>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Klasa</w:t>
            </w:r>
          </w:p>
        </w:tc>
        <w:tc>
          <w:tcPr>
            <w:tcW w:type="dxa" w:w="1362"/>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Precyzja</w:t>
            </w:r>
          </w:p>
        </w:tc>
        <w:tc>
          <w:tcPr>
            <w:tcW w:type="dxa" w:w="1362"/>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Czułość</w:t>
            </w:r>
          </w:p>
        </w:tc>
        <w:tc>
          <w:tcPr>
            <w:tcW w:type="dxa" w:w="1362"/>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F1-score</w:t>
            </w:r>
          </w:p>
        </w:tc>
        <w:tc>
          <w:tcPr>
            <w:tcW w:type="dxa" w:w="1362"/>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Próbki</w:t>
            </w:r>
          </w:p>
        </w:tc>
      </w:tr>
      <w:tr>
        <w:tc>
          <w:tcPr>
            <w:tcW w:type="dxa" w:w="333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Actinic keratoses</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0.20</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0.53</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0.29</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88</w:t>
            </w:r>
          </w:p>
        </w:tc>
      </w:tr>
      <w:tr>
        <w:tc>
          <w:tcPr>
            <w:tcW w:type="dxa" w:w="333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Basal cell carcinoma</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0.53</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0.33</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0.41</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333</w:t>
            </w:r>
          </w:p>
        </w:tc>
      </w:tr>
      <w:tr>
        <w:tc>
          <w:tcPr>
            <w:tcW w:type="dxa" w:w="333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Benign keratosis-like lesions</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0.32</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0.36</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0.34</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263</w:t>
            </w:r>
          </w:p>
        </w:tc>
      </w:tr>
      <w:tr>
        <w:tc>
          <w:tcPr>
            <w:tcW w:type="dxa" w:w="333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Chickenpox</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0.66</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0.83</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0.73</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113</w:t>
            </w:r>
          </w:p>
        </w:tc>
      </w:tr>
      <w:tr>
        <w:tc>
          <w:tcPr>
            <w:tcW w:type="dxa" w:w="333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Cowpox</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0.69</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0.85</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0.76</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99</w:t>
            </w:r>
          </w:p>
        </w:tc>
      </w:tr>
      <w:tr>
        <w:tc>
          <w:tcPr>
            <w:tcW w:type="dxa" w:w="333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Dermatofibroma</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0.11</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0.72</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0.19</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25</w:t>
            </w:r>
          </w:p>
        </w:tc>
      </w:tr>
      <w:tr>
        <w:tc>
          <w:tcPr>
            <w:tcW w:type="dxa" w:w="333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HFMD</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0.87</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0.86</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0.87</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242</w:t>
            </w:r>
          </w:p>
        </w:tc>
      </w:tr>
      <w:tr>
        <w:tc>
          <w:tcPr>
            <w:tcW w:type="dxa" w:w="333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Healthy</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0.68</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0.91</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0.78</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171</w:t>
            </w:r>
          </w:p>
        </w:tc>
      </w:tr>
      <w:tr>
        <w:tc>
          <w:tcPr>
            <w:tcW w:type="dxa" w:w="333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Measles</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0.65</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0.82</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0.73</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83</w:t>
            </w:r>
          </w:p>
        </w:tc>
      </w:tr>
      <w:tr>
        <w:tc>
          <w:tcPr>
            <w:tcW w:type="dxa" w:w="333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Melanocytic nevi</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0.84</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0.72</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0.77</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1288</w:t>
            </w:r>
          </w:p>
        </w:tc>
      </w:tr>
      <w:tr>
        <w:tc>
          <w:tcPr>
            <w:tcW w:type="dxa" w:w="333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Melanoma</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0.51</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0.32</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0.39</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453</w:t>
            </w:r>
          </w:p>
        </w:tc>
      </w:tr>
      <w:tr>
        <w:tc>
          <w:tcPr>
            <w:tcW w:type="dxa" w:w="333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Monkeypox</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0.85</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0.65</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0.74</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426</w:t>
            </w:r>
          </w:p>
        </w:tc>
      </w:tr>
      <w:tr>
        <w:tc>
          <w:tcPr>
            <w:tcW w:type="dxa" w:w="333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Squamous cell carcinoma</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0.14</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0.45</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0.22</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64</w:t>
            </w:r>
          </w:p>
        </w:tc>
      </w:tr>
      <w:tr>
        <w:tc>
          <w:tcPr>
            <w:tcW w:type="dxa" w:w="333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Vascular lesions</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0.65</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0.77</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0.70</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26</w:t>
            </w:r>
          </w:p>
        </w:tc>
      </w:tr>
      <w:tr>
        <w:tc>
          <w:tcPr>
            <w:tcW w:type="dxa" w:w="333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Dokładność ogólna</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0.62</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3674</w:t>
            </w:r>
          </w:p>
        </w:tc>
      </w:tr>
      <w:tr>
        <w:tc>
          <w:tcPr>
            <w:tcW w:type="dxa" w:w="333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Macro avg</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0.55</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0.65</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0.57</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3674</w:t>
            </w:r>
          </w:p>
        </w:tc>
      </w:tr>
      <w:tr>
        <w:tc>
          <w:tcPr>
            <w:tcW w:type="dxa" w:w="333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Weighted avg</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0.68</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0.62</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0.64</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3674</w:t>
            </w:r>
          </w:p>
        </w:tc>
      </w:tr>
    </w:tbl>
    <w:p>
      <w:pPr>
        <w:spacing w:line="360"/>
      </w:pPr>
      <w:r>
        <w:t xml:space="preserve"/>
      </w:r>
    </w:p>
    <w:p>
      <w:pPr>
        <w:spacing w:line="360" w:before="0" w:after="120"/>
        <w:ind w:firstLine="720"/>
        <w:jc w:val="both"/>
      </w:pPr>
      <w:r>
        <w:rPr>
          <w:rFonts w:ascii="Times New Roman" w:cs="Times New Roman" w:eastAsia="Times New Roman" w:hAnsi="Times New Roman"/>
          <w:b w:val="false"/>
          <w:bCs w:val="false"/>
          <w:i w:val="false"/>
          <w:iCs w:val="false"/>
          <w:color w:val="000000"/>
          <w:sz w:val="24"/>
          <w:szCs w:val="24"/>
        </w:rPr>
        <w:t xml:space="preserve">Custom CNN wykazuje wysoką czułość dla Dermatofibroma (0.72) i Healthy (0.91), lecz niską precyzję dla tych klas, co wskazuje na tendencję do "nadmiernego" klasyfikowania próbek w kategoriach mniej licznych. Klasy Squamous cell carcinoma (F1=0.22) i Actinic keratoses (F1=0.29) są szczególnie trudne dla tego modelu. Brak pretrainingu sprawia, że model nie jest w stanie wyuczyć się wystarczająco dyskryminatywnych cech wizualnych dla subtlenych różnic dermoskopowych.</w:t>
      </w:r>
    </w:p>
    <w:p>
      <w:pPr>
        <w:pStyle w:val="Heading2"/>
        <w:spacing w:before="360" w:after="180" w:line="360"/>
      </w:pPr>
      <w:r>
        <w:rPr>
          <w:rFonts w:ascii="Times New Roman" w:cs="Times New Roman" w:eastAsia="Times New Roman" w:hAnsi="Times New Roman"/>
          <w:b/>
          <w:bCs/>
          <w:color w:val="000000"/>
          <w:sz w:val="24"/>
          <w:szCs w:val="24"/>
        </w:rPr>
        <w:t xml:space="preserve">5.3 Szczegółowe raporty klasyfikacji – MobileNetV3</w:t>
      </w:r>
    </w:p>
    <w:p>
      <w:pPr>
        <w:spacing w:before="60" w:after="180" w:line="320"/>
        <w:jc w:val="center"/>
      </w:pPr>
      <w:r>
        <w:rPr>
          <w:rFonts w:ascii="Times New Roman" w:cs="Times New Roman" w:eastAsia="Times New Roman" w:hAnsi="Times New Roman"/>
          <w:i/>
          <w:iCs/>
          <w:sz w:val="22"/>
          <w:szCs w:val="22"/>
        </w:rPr>
        <w:t xml:space="preserve">Tabela 5.3. Raport klasyfikacji – MobileNetV3 (dokładność: 84%)</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3339"/>
        <w:gridCol w:w="1362"/>
        <w:gridCol w:w="1362"/>
        <w:gridCol w:w="1362"/>
        <w:gridCol w:w="1362"/>
      </w:tblGrid>
      <w:tr>
        <w:tc>
          <w:tcPr>
            <w:tcW w:type="dxa" w:w="3339"/>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Klasa</w:t>
            </w:r>
          </w:p>
        </w:tc>
        <w:tc>
          <w:tcPr>
            <w:tcW w:type="dxa" w:w="1362"/>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Precyzja</w:t>
            </w:r>
          </w:p>
        </w:tc>
        <w:tc>
          <w:tcPr>
            <w:tcW w:type="dxa" w:w="1362"/>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Czułość</w:t>
            </w:r>
          </w:p>
        </w:tc>
        <w:tc>
          <w:tcPr>
            <w:tcW w:type="dxa" w:w="1362"/>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F1-score</w:t>
            </w:r>
          </w:p>
        </w:tc>
        <w:tc>
          <w:tcPr>
            <w:tcW w:type="dxa" w:w="1362"/>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Próbki</w:t>
            </w:r>
          </w:p>
        </w:tc>
      </w:tr>
      <w:tr>
        <w:tc>
          <w:tcPr>
            <w:tcW w:type="dxa" w:w="333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Actinic keratoses</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0.62</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0.60</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0.61</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88</w:t>
            </w:r>
          </w:p>
        </w:tc>
      </w:tr>
      <w:tr>
        <w:tc>
          <w:tcPr>
            <w:tcW w:type="dxa" w:w="333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Basal cell carcinoma</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0.83</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0.76</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0.79</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333</w:t>
            </w:r>
          </w:p>
        </w:tc>
      </w:tr>
      <w:tr>
        <w:tc>
          <w:tcPr>
            <w:tcW w:type="dxa" w:w="333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Benign keratosis-like lesions</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0.70</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0.67</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0.68</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263</w:t>
            </w:r>
          </w:p>
        </w:tc>
      </w:tr>
      <w:tr>
        <w:tc>
          <w:tcPr>
            <w:tcW w:type="dxa" w:w="333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Chickenpox</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0.93</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0.96</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0.94</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113</w:t>
            </w:r>
          </w:p>
        </w:tc>
      </w:tr>
      <w:tr>
        <w:tc>
          <w:tcPr>
            <w:tcW w:type="dxa" w:w="333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Cowpox</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0.97</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0.98</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0.97</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99</w:t>
            </w:r>
          </w:p>
        </w:tc>
      </w:tr>
      <w:tr>
        <w:tc>
          <w:tcPr>
            <w:tcW w:type="dxa" w:w="333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Dermatofibroma</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0.49</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0.80</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0.61</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25</w:t>
            </w:r>
          </w:p>
        </w:tc>
      </w:tr>
      <w:tr>
        <w:tc>
          <w:tcPr>
            <w:tcW w:type="dxa" w:w="333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HFMD</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0.98</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0.98</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0.98</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242</w:t>
            </w:r>
          </w:p>
        </w:tc>
      </w:tr>
      <w:tr>
        <w:tc>
          <w:tcPr>
            <w:tcW w:type="dxa" w:w="333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Healthy</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0.92</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0.99</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0.95</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171</w:t>
            </w:r>
          </w:p>
        </w:tc>
      </w:tr>
      <w:tr>
        <w:tc>
          <w:tcPr>
            <w:tcW w:type="dxa" w:w="333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Measles</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0.95</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0.99</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0.97</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83</w:t>
            </w:r>
          </w:p>
        </w:tc>
      </w:tr>
      <w:tr>
        <w:tc>
          <w:tcPr>
            <w:tcW w:type="dxa" w:w="333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Melanocytic nevi</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0.87</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0.87</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0.87</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1288</w:t>
            </w:r>
          </w:p>
        </w:tc>
      </w:tr>
      <w:tr>
        <w:tc>
          <w:tcPr>
            <w:tcW w:type="dxa" w:w="333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Melanoma</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0.65</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0.68</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0.67</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453</w:t>
            </w:r>
          </w:p>
        </w:tc>
      </w:tr>
      <w:tr>
        <w:tc>
          <w:tcPr>
            <w:tcW w:type="dxa" w:w="333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Monkeypox</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0.98</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0.95</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0.96</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426</w:t>
            </w:r>
          </w:p>
        </w:tc>
      </w:tr>
      <w:tr>
        <w:tc>
          <w:tcPr>
            <w:tcW w:type="dxa" w:w="333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Squamous cell carcinoma</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0.67</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0.69</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0.68</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64</w:t>
            </w:r>
          </w:p>
        </w:tc>
      </w:tr>
      <w:tr>
        <w:tc>
          <w:tcPr>
            <w:tcW w:type="dxa" w:w="333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Vascular lesions</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0.76</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0.96</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0.85</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26</w:t>
            </w:r>
          </w:p>
        </w:tc>
      </w:tr>
      <w:tr>
        <w:tc>
          <w:tcPr>
            <w:tcW w:type="dxa" w:w="333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Dokładność ogólna</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0.84</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3674</w:t>
            </w:r>
          </w:p>
        </w:tc>
      </w:tr>
      <w:tr>
        <w:tc>
          <w:tcPr>
            <w:tcW w:type="dxa" w:w="333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Macro avg</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0.81</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0.85</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0.82</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3674</w:t>
            </w:r>
          </w:p>
        </w:tc>
      </w:tr>
      <w:tr>
        <w:tc>
          <w:tcPr>
            <w:tcW w:type="dxa" w:w="333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Weighted avg</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0.84</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0.84</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0.84</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3674</w:t>
            </w:r>
          </w:p>
        </w:tc>
      </w:tr>
    </w:tbl>
    <w:p>
      <w:pPr>
        <w:spacing w:line="360"/>
      </w:pPr>
      <w:r>
        <w:t xml:space="preserve"/>
      </w:r>
    </w:p>
    <w:p>
      <w:pPr>
        <w:spacing w:line="360" w:before="0" w:after="120"/>
        <w:ind w:firstLine="720"/>
        <w:jc w:val="both"/>
      </w:pPr>
      <w:r>
        <w:rPr>
          <w:rFonts w:ascii="Times New Roman" w:cs="Times New Roman" w:eastAsia="Times New Roman" w:hAnsi="Times New Roman"/>
          <w:b w:val="false"/>
          <w:bCs w:val="false"/>
          <w:i w:val="false"/>
          <w:iCs w:val="false"/>
          <w:color w:val="000000"/>
          <w:sz w:val="24"/>
          <w:szCs w:val="24"/>
        </w:rPr>
        <w:t xml:space="preserve">MobileNetV3 demonstruje znaczącą poprawę względem Custom CNN we wszystkich klasach. Klasy chorób zakaźnych (HFMD F1=0.98, Cowpox F1=0.97, Measles F1=0.97, Monkeypox F1=0.96) klasyfikowane są z bardzo wysoką skutecznością, co wynika z ich charakterystycznych i wyrazistych wzorców wizualnych. Trudniejsze klasy dermatologiczne (Melanoma F1=0.67, Actinic keratoses F1=0.61) pozostają wyzwaniem ze względu na podobieństwo morfologiczne do klas łagodnych.</w:t>
      </w:r>
    </w:p>
    <w:p>
      <w:pPr>
        <w:pStyle w:val="Heading2"/>
        <w:spacing w:before="360" w:after="180" w:line="360"/>
      </w:pPr>
      <w:r>
        <w:rPr>
          <w:rFonts w:ascii="Times New Roman" w:cs="Times New Roman" w:eastAsia="Times New Roman" w:hAnsi="Times New Roman"/>
          <w:b/>
          <w:bCs/>
          <w:color w:val="000000"/>
          <w:sz w:val="24"/>
          <w:szCs w:val="24"/>
        </w:rPr>
        <w:t xml:space="preserve">5.4 Szczegółowe raporty klasyfikacji – ResNet-50</w:t>
      </w:r>
    </w:p>
    <w:p>
      <w:pPr>
        <w:spacing w:before="60" w:after="180" w:line="320"/>
        <w:jc w:val="center"/>
      </w:pPr>
      <w:r>
        <w:rPr>
          <w:rFonts w:ascii="Times New Roman" w:cs="Times New Roman" w:eastAsia="Times New Roman" w:hAnsi="Times New Roman"/>
          <w:i/>
          <w:iCs/>
          <w:sz w:val="22"/>
          <w:szCs w:val="22"/>
        </w:rPr>
        <w:t xml:space="preserve">Tabela 5.4. Raport klasyfikacji – ResNet-50 (dokładność: 84%)</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3339"/>
        <w:gridCol w:w="1362"/>
        <w:gridCol w:w="1362"/>
        <w:gridCol w:w="1362"/>
        <w:gridCol w:w="1362"/>
      </w:tblGrid>
      <w:tr>
        <w:tc>
          <w:tcPr>
            <w:tcW w:type="dxa" w:w="3339"/>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Klasa</w:t>
            </w:r>
          </w:p>
        </w:tc>
        <w:tc>
          <w:tcPr>
            <w:tcW w:type="dxa" w:w="1362"/>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Precyzja</w:t>
            </w:r>
          </w:p>
        </w:tc>
        <w:tc>
          <w:tcPr>
            <w:tcW w:type="dxa" w:w="1362"/>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Czułość</w:t>
            </w:r>
          </w:p>
        </w:tc>
        <w:tc>
          <w:tcPr>
            <w:tcW w:type="dxa" w:w="1362"/>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F1-score</w:t>
            </w:r>
          </w:p>
        </w:tc>
        <w:tc>
          <w:tcPr>
            <w:tcW w:type="dxa" w:w="1362"/>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Próbki</w:t>
            </w:r>
          </w:p>
        </w:tc>
      </w:tr>
      <w:tr>
        <w:tc>
          <w:tcPr>
            <w:tcW w:type="dxa" w:w="333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Actinic keratoses</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0.56</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0.76</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0.65</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88</w:t>
            </w:r>
          </w:p>
        </w:tc>
      </w:tr>
      <w:tr>
        <w:tc>
          <w:tcPr>
            <w:tcW w:type="dxa" w:w="333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Basal cell carcinoma</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0.75</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0.86</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0.80</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333</w:t>
            </w:r>
          </w:p>
        </w:tc>
      </w:tr>
      <w:tr>
        <w:tc>
          <w:tcPr>
            <w:tcW w:type="dxa" w:w="333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Benign keratosis-like lesions</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0.65</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0.73</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0.69</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263</w:t>
            </w:r>
          </w:p>
        </w:tc>
      </w:tr>
      <w:tr>
        <w:tc>
          <w:tcPr>
            <w:tcW w:type="dxa" w:w="333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Chickenpox</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0.94</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0.98</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0.96</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113</w:t>
            </w:r>
          </w:p>
        </w:tc>
      </w:tr>
      <w:tr>
        <w:tc>
          <w:tcPr>
            <w:tcW w:type="dxa" w:w="333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Cowpox</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0.91</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0.99</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0.95</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99</w:t>
            </w:r>
          </w:p>
        </w:tc>
      </w:tr>
      <w:tr>
        <w:tc>
          <w:tcPr>
            <w:tcW w:type="dxa" w:w="333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Dermatofibroma</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0.88</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0.60</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0.71</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25</w:t>
            </w:r>
          </w:p>
        </w:tc>
      </w:tr>
      <w:tr>
        <w:tc>
          <w:tcPr>
            <w:tcW w:type="dxa" w:w="333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HFMD</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0.98</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0.99</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0.99</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242</w:t>
            </w:r>
          </w:p>
        </w:tc>
      </w:tr>
      <w:tr>
        <w:tc>
          <w:tcPr>
            <w:tcW w:type="dxa" w:w="333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Healthy</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0.99</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0.98</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0.98</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171</w:t>
            </w:r>
          </w:p>
        </w:tc>
      </w:tr>
      <w:tr>
        <w:tc>
          <w:tcPr>
            <w:tcW w:type="dxa" w:w="333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Measles</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0.99</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0.99</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0.99</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83</w:t>
            </w:r>
          </w:p>
        </w:tc>
      </w:tr>
      <w:tr>
        <w:tc>
          <w:tcPr>
            <w:tcW w:type="dxa" w:w="333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Melanocytic nevi</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0.91</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0.80</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0.85</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1288</w:t>
            </w:r>
          </w:p>
        </w:tc>
      </w:tr>
      <w:tr>
        <w:tc>
          <w:tcPr>
            <w:tcW w:type="dxa" w:w="333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Melanoma</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0.63</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0.72</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0.67</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453</w:t>
            </w:r>
          </w:p>
        </w:tc>
      </w:tr>
      <w:tr>
        <w:tc>
          <w:tcPr>
            <w:tcW w:type="dxa" w:w="333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Monkeypox</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1.00</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0.96</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0.98</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426</w:t>
            </w:r>
          </w:p>
        </w:tc>
      </w:tr>
      <w:tr>
        <w:tc>
          <w:tcPr>
            <w:tcW w:type="dxa" w:w="333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Squamous cell carcinoma</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0.71</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0.62</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0.67</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64</w:t>
            </w:r>
          </w:p>
        </w:tc>
      </w:tr>
      <w:tr>
        <w:tc>
          <w:tcPr>
            <w:tcW w:type="dxa" w:w="333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Vascular lesions</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0.92</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0.88</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0.90</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26</w:t>
            </w:r>
          </w:p>
        </w:tc>
      </w:tr>
      <w:tr>
        <w:tc>
          <w:tcPr>
            <w:tcW w:type="dxa" w:w="333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Dokładność ogólna</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0.84</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3674</w:t>
            </w:r>
          </w:p>
        </w:tc>
      </w:tr>
      <w:tr>
        <w:tc>
          <w:tcPr>
            <w:tcW w:type="dxa" w:w="333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Macro avg</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0.84</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0.85</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0.84</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3674</w:t>
            </w:r>
          </w:p>
        </w:tc>
      </w:tr>
      <w:tr>
        <w:tc>
          <w:tcPr>
            <w:tcW w:type="dxa" w:w="333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Weighted avg</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0.85</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0.84</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0.84</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3674</w:t>
            </w:r>
          </w:p>
        </w:tc>
      </w:tr>
    </w:tbl>
    <w:p>
      <w:pPr>
        <w:spacing w:line="360"/>
      </w:pPr>
      <w:r>
        <w:t xml:space="preserve"/>
      </w:r>
    </w:p>
    <w:p>
      <w:pPr>
        <w:spacing w:line="360" w:before="0" w:after="120"/>
        <w:ind w:firstLine="720"/>
        <w:jc w:val="both"/>
      </w:pPr>
      <w:r>
        <w:rPr>
          <w:rFonts w:ascii="Times New Roman" w:cs="Times New Roman" w:eastAsia="Times New Roman" w:hAnsi="Times New Roman"/>
          <w:b w:val="false"/>
          <w:bCs w:val="false"/>
          <w:i w:val="false"/>
          <w:iCs w:val="false"/>
          <w:color w:val="000000"/>
          <w:sz w:val="24"/>
          <w:szCs w:val="24"/>
        </w:rPr>
        <w:t xml:space="preserve">ResNet-50 osiąga identyczną ogólną dokładność co MobileNetV3, lecz wyższą precyzję macro (0.84 vs 0.81). Szczególnie wyróżniają się klasy Monkeypox (precyzja 1.00 – żadna inna klasa nie była błędnie klasyfikowana jako Monkeypox), Measles (F1=0.99), HFMD (F1=0.99) i Healthy (F1=0.98). Macierz pomyłek na rysunku 2 (zamieszczonym w pracy) potwierdza, że główne błędy dotyczą pary Melanocytic nevi – Melanoma, gdzie 148 próbek Melanoma zostało sklasyfikowanych jako Melanocytic nevi, a 77 próbek Melanocytic nevi jako Melanoma. Jest to klasyczny błąd dermatologiczny odzwierciedlający faktyczną trudność diagnostyczną.</w:t>
      </w:r>
    </w:p>
    <w:p>
      <w:pPr>
        <w:pStyle w:val="Heading2"/>
        <w:spacing w:before="360" w:after="180" w:line="360"/>
      </w:pPr>
      <w:r>
        <w:rPr>
          <w:rFonts w:ascii="Times New Roman" w:cs="Times New Roman" w:eastAsia="Times New Roman" w:hAnsi="Times New Roman"/>
          <w:b/>
          <w:bCs/>
          <w:color w:val="000000"/>
          <w:sz w:val="24"/>
          <w:szCs w:val="24"/>
        </w:rPr>
        <w:t xml:space="preserve">5.5 Szczegółowe raporty klasyfikacji – ViT-B/16</w:t>
      </w:r>
    </w:p>
    <w:p>
      <w:pPr>
        <w:spacing w:before="60" w:after="180" w:line="320"/>
        <w:jc w:val="center"/>
      </w:pPr>
      <w:r>
        <w:rPr>
          <w:rFonts w:ascii="Times New Roman" w:cs="Times New Roman" w:eastAsia="Times New Roman" w:hAnsi="Times New Roman"/>
          <w:i/>
          <w:iCs/>
          <w:sz w:val="22"/>
          <w:szCs w:val="22"/>
        </w:rPr>
        <w:t xml:space="preserve">Tabela 5.5. Raport klasyfikacji – ViT-B/16 (dokładność: 87%)</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3339"/>
        <w:gridCol w:w="1362"/>
        <w:gridCol w:w="1362"/>
        <w:gridCol w:w="1362"/>
        <w:gridCol w:w="1362"/>
      </w:tblGrid>
      <w:tr>
        <w:tc>
          <w:tcPr>
            <w:tcW w:type="dxa" w:w="3339"/>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Klasa</w:t>
            </w:r>
          </w:p>
        </w:tc>
        <w:tc>
          <w:tcPr>
            <w:tcW w:type="dxa" w:w="1362"/>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Precyzja</w:t>
            </w:r>
          </w:p>
        </w:tc>
        <w:tc>
          <w:tcPr>
            <w:tcW w:type="dxa" w:w="1362"/>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Czułość</w:t>
            </w:r>
          </w:p>
        </w:tc>
        <w:tc>
          <w:tcPr>
            <w:tcW w:type="dxa" w:w="1362"/>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F1-score</w:t>
            </w:r>
          </w:p>
        </w:tc>
        <w:tc>
          <w:tcPr>
            <w:tcW w:type="dxa" w:w="1362"/>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Próbki</w:t>
            </w:r>
          </w:p>
        </w:tc>
      </w:tr>
      <w:tr>
        <w:tc>
          <w:tcPr>
            <w:tcW w:type="dxa" w:w="333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Actinic keratoses</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0.63</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0.72</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0.67</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88</w:t>
            </w:r>
          </w:p>
        </w:tc>
      </w:tr>
      <w:tr>
        <w:tc>
          <w:tcPr>
            <w:tcW w:type="dxa" w:w="333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Basal cell carcinoma</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0.84</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0.81</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0.83</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333</w:t>
            </w:r>
          </w:p>
        </w:tc>
      </w:tr>
      <w:tr>
        <w:tc>
          <w:tcPr>
            <w:tcW w:type="dxa" w:w="333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Benign keratosis-like lesions</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0.68</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0.71</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0.70</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263</w:t>
            </w:r>
          </w:p>
        </w:tc>
      </w:tr>
      <w:tr>
        <w:tc>
          <w:tcPr>
            <w:tcW w:type="dxa" w:w="333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Chickenpox</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0.97</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0.99</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0.98</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113</w:t>
            </w:r>
          </w:p>
        </w:tc>
      </w:tr>
      <w:tr>
        <w:tc>
          <w:tcPr>
            <w:tcW w:type="dxa" w:w="333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Cowpox</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1.00</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0.98</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0.99</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99</w:t>
            </w:r>
          </w:p>
        </w:tc>
      </w:tr>
      <w:tr>
        <w:tc>
          <w:tcPr>
            <w:tcW w:type="dxa" w:w="333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Dermatofibroma</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0.75</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0.72</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0.73</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25</w:t>
            </w:r>
          </w:p>
        </w:tc>
      </w:tr>
      <w:tr>
        <w:tc>
          <w:tcPr>
            <w:tcW w:type="dxa" w:w="333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HFMD</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0.98</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1.00</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0.99</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242</w:t>
            </w:r>
          </w:p>
        </w:tc>
      </w:tr>
      <w:tr>
        <w:tc>
          <w:tcPr>
            <w:tcW w:type="dxa" w:w="333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Healthy</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0.99</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0.99</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0.99</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171</w:t>
            </w:r>
          </w:p>
        </w:tc>
      </w:tr>
      <w:tr>
        <w:tc>
          <w:tcPr>
            <w:tcW w:type="dxa" w:w="333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Measles</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0.99</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1.00</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0.99</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83</w:t>
            </w:r>
          </w:p>
        </w:tc>
      </w:tr>
      <w:tr>
        <w:tc>
          <w:tcPr>
            <w:tcW w:type="dxa" w:w="333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Melanocytic nevi</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0.87</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0.89</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0.88</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1288</w:t>
            </w:r>
          </w:p>
        </w:tc>
      </w:tr>
      <w:tr>
        <w:tc>
          <w:tcPr>
            <w:tcW w:type="dxa" w:w="333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Melanoma</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0.76</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0.70</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0.73</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453</w:t>
            </w:r>
          </w:p>
        </w:tc>
      </w:tr>
      <w:tr>
        <w:tc>
          <w:tcPr>
            <w:tcW w:type="dxa" w:w="333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Monkeypox</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0.99</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0.99</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0.99</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426</w:t>
            </w:r>
          </w:p>
        </w:tc>
      </w:tr>
      <w:tr>
        <w:tc>
          <w:tcPr>
            <w:tcW w:type="dxa" w:w="333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Squamous cell carcinoma</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0.74</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0.75</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0.74</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64</w:t>
            </w:r>
          </w:p>
        </w:tc>
      </w:tr>
      <w:tr>
        <w:tc>
          <w:tcPr>
            <w:tcW w:type="dxa" w:w="333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Vascular lesions</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0.92</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0.92</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0.92</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26</w:t>
            </w:r>
          </w:p>
        </w:tc>
      </w:tr>
      <w:tr>
        <w:tc>
          <w:tcPr>
            <w:tcW w:type="dxa" w:w="333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Dokładność ogólna</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0.87</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3674</w:t>
            </w:r>
          </w:p>
        </w:tc>
      </w:tr>
      <w:tr>
        <w:tc>
          <w:tcPr>
            <w:tcW w:type="dxa" w:w="333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Macro avg</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0.87</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0.87</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0.87</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3674</w:t>
            </w:r>
          </w:p>
        </w:tc>
      </w:tr>
      <w:tr>
        <w:tc>
          <w:tcPr>
            <w:tcW w:type="dxa" w:w="333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Weighted avg</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0.87</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0.87</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0.87</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3674</w:t>
            </w:r>
          </w:p>
        </w:tc>
      </w:tr>
    </w:tbl>
    <w:p>
      <w:pPr>
        <w:spacing w:line="360"/>
      </w:pPr>
      <w:r>
        <w:t xml:space="preserve"/>
      </w:r>
    </w:p>
    <w:p>
      <w:pPr>
        <w:spacing w:line="360" w:before="0" w:after="120"/>
        <w:ind w:firstLine="720"/>
        <w:jc w:val="both"/>
      </w:pPr>
      <w:r>
        <w:rPr>
          <w:rFonts w:ascii="Times New Roman" w:cs="Times New Roman" w:eastAsia="Times New Roman" w:hAnsi="Times New Roman"/>
          <w:b w:val="false"/>
          <w:bCs w:val="false"/>
          <w:i w:val="false"/>
          <w:iCs w:val="false"/>
          <w:color w:val="000000"/>
          <w:sz w:val="24"/>
          <w:szCs w:val="24"/>
        </w:rPr>
        <w:t xml:space="preserve">ViT-B/16 osiąga wyraźnie lepsze wyniki niż CNN-based modele w klasach, gdzie istotne są globalne zależności przestrzenne w obrazie. Melanoma uzyskuje F1=0.73 (vs 0.67 dla ResNet-50 i MobileNetV3), co sugeruje, że mechanizm uwagi własnej lepiej modeluje globalną strukturę czerniaka. Dermatofibroma (F1=0.73) i Vascular lesions (F1=0.92) są też lepiej rozróżniane. Klasy chorób zakaźnych (Cowpox F1=0.99, HFMD F1=0.99, Measles F1=0.99) utrzymują doskonałe wyniki jak w pozostałych modelach.</w:t>
      </w:r>
    </w:p>
    <w:p>
      <w:pPr>
        <w:pStyle w:val="Heading2"/>
        <w:spacing w:before="360" w:after="180" w:line="360"/>
      </w:pPr>
      <w:r>
        <w:rPr>
          <w:rFonts w:ascii="Times New Roman" w:cs="Times New Roman" w:eastAsia="Times New Roman" w:hAnsi="Times New Roman"/>
          <w:b/>
          <w:bCs/>
          <w:color w:val="000000"/>
          <w:sz w:val="24"/>
          <w:szCs w:val="24"/>
        </w:rPr>
        <w:t xml:space="preserve">5.6 Szczegółowe raporty klasyfikacji – EfficientNet-B0</w:t>
      </w:r>
    </w:p>
    <w:p>
      <w:pPr>
        <w:spacing w:before="60" w:after="180" w:line="320"/>
        <w:jc w:val="center"/>
      </w:pPr>
      <w:r>
        <w:rPr>
          <w:rFonts w:ascii="Times New Roman" w:cs="Times New Roman" w:eastAsia="Times New Roman" w:hAnsi="Times New Roman"/>
          <w:i/>
          <w:iCs/>
          <w:sz w:val="22"/>
          <w:szCs w:val="22"/>
        </w:rPr>
        <w:t xml:space="preserve">Tabela 5.6. Raport klasyfikacji – EfficientNet-B0 (dokładność: 88%)</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3339"/>
        <w:gridCol w:w="1362"/>
        <w:gridCol w:w="1362"/>
        <w:gridCol w:w="1362"/>
        <w:gridCol w:w="1362"/>
      </w:tblGrid>
      <w:tr>
        <w:tc>
          <w:tcPr>
            <w:tcW w:type="dxa" w:w="3339"/>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Klasa</w:t>
            </w:r>
          </w:p>
        </w:tc>
        <w:tc>
          <w:tcPr>
            <w:tcW w:type="dxa" w:w="1362"/>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Precyzja</w:t>
            </w:r>
          </w:p>
        </w:tc>
        <w:tc>
          <w:tcPr>
            <w:tcW w:type="dxa" w:w="1362"/>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Czułość</w:t>
            </w:r>
          </w:p>
        </w:tc>
        <w:tc>
          <w:tcPr>
            <w:tcW w:type="dxa" w:w="1362"/>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F1-score</w:t>
            </w:r>
          </w:p>
        </w:tc>
        <w:tc>
          <w:tcPr>
            <w:tcW w:type="dxa" w:w="1362"/>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Próbki</w:t>
            </w:r>
          </w:p>
        </w:tc>
      </w:tr>
      <w:tr>
        <w:tc>
          <w:tcPr>
            <w:tcW w:type="dxa" w:w="333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Actinic keratoses</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0.61</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0.76</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0.68</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88</w:t>
            </w:r>
          </w:p>
        </w:tc>
      </w:tr>
      <w:tr>
        <w:tc>
          <w:tcPr>
            <w:tcW w:type="dxa" w:w="333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Basal cell carcinoma</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0.86</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0.84</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0.85</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333</w:t>
            </w:r>
          </w:p>
        </w:tc>
      </w:tr>
      <w:tr>
        <w:tc>
          <w:tcPr>
            <w:tcW w:type="dxa" w:w="333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Benign keratosis-like lesions</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0.74</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0.68</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0.70</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263</w:t>
            </w:r>
          </w:p>
        </w:tc>
      </w:tr>
      <w:tr>
        <w:tc>
          <w:tcPr>
            <w:tcW w:type="dxa" w:w="333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Chickenpox</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0.97</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1.00</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0.98</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113</w:t>
            </w:r>
          </w:p>
        </w:tc>
      </w:tr>
      <w:tr>
        <w:tc>
          <w:tcPr>
            <w:tcW w:type="dxa" w:w="333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Cowpox</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0.98</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0.98</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0.98</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99</w:t>
            </w:r>
          </w:p>
        </w:tc>
      </w:tr>
      <w:tr>
        <w:tc>
          <w:tcPr>
            <w:tcW w:type="dxa" w:w="333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Dermatofibroma</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0.75</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0.72</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0.73</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25</w:t>
            </w:r>
          </w:p>
        </w:tc>
      </w:tr>
      <w:tr>
        <w:tc>
          <w:tcPr>
            <w:tcW w:type="dxa" w:w="333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HFMD</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0.99</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0.99</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0.99</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242</w:t>
            </w:r>
          </w:p>
        </w:tc>
      </w:tr>
      <w:tr>
        <w:tc>
          <w:tcPr>
            <w:tcW w:type="dxa" w:w="333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Healthy</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0.99</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0.99</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0.99</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171</w:t>
            </w:r>
          </w:p>
        </w:tc>
      </w:tr>
      <w:tr>
        <w:tc>
          <w:tcPr>
            <w:tcW w:type="dxa" w:w="333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Measles</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0.98</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1.00</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0.99</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83</w:t>
            </w:r>
          </w:p>
        </w:tc>
      </w:tr>
      <w:tr>
        <w:tc>
          <w:tcPr>
            <w:tcW w:type="dxa" w:w="333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Melanocytic nevi</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0.88</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0.91</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0.89</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1288</w:t>
            </w:r>
          </w:p>
        </w:tc>
      </w:tr>
      <w:tr>
        <w:tc>
          <w:tcPr>
            <w:tcW w:type="dxa" w:w="333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Melanoma</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0.76</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0.68</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0.72</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453</w:t>
            </w:r>
          </w:p>
        </w:tc>
      </w:tr>
      <w:tr>
        <w:tc>
          <w:tcPr>
            <w:tcW w:type="dxa" w:w="333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Monkeypox</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0.99</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0.99</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0.99</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426</w:t>
            </w:r>
          </w:p>
        </w:tc>
      </w:tr>
      <w:tr>
        <w:tc>
          <w:tcPr>
            <w:tcW w:type="dxa" w:w="333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Squamous cell carcinoma</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0.71</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0.80</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0.75</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64</w:t>
            </w:r>
          </w:p>
        </w:tc>
      </w:tr>
      <w:tr>
        <w:tc>
          <w:tcPr>
            <w:tcW w:type="dxa" w:w="333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Vascular lesions</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0.74</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0.96</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0.83</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26</w:t>
            </w:r>
          </w:p>
        </w:tc>
      </w:tr>
      <w:tr>
        <w:tc>
          <w:tcPr>
            <w:tcW w:type="dxa" w:w="333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Dokładność ogólna</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0.88</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3674</w:t>
            </w:r>
          </w:p>
        </w:tc>
      </w:tr>
      <w:tr>
        <w:tc>
          <w:tcPr>
            <w:tcW w:type="dxa" w:w="333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Macro avg</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0.85</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0.88</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0.86</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3674</w:t>
            </w:r>
          </w:p>
        </w:tc>
      </w:tr>
      <w:tr>
        <w:tc>
          <w:tcPr>
            <w:tcW w:type="dxa" w:w="333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Weighted avg</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0.88</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0.88</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0.88</w:t>
            </w:r>
          </w:p>
        </w:tc>
        <w:tc>
          <w:tcPr>
            <w:tcW w:type="dxa" w:w="136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3674</w:t>
            </w:r>
          </w:p>
        </w:tc>
      </w:tr>
    </w:tbl>
    <w:p>
      <w:pPr>
        <w:spacing w:line="360"/>
      </w:pPr>
      <w:r>
        <w:t xml:space="preserve"/>
      </w:r>
    </w:p>
    <w:p>
      <w:pPr>
        <w:spacing w:line="360" w:before="0" w:after="120"/>
        <w:ind w:firstLine="720"/>
        <w:jc w:val="both"/>
      </w:pPr>
      <w:r>
        <w:rPr>
          <w:rFonts w:ascii="Times New Roman" w:cs="Times New Roman" w:eastAsia="Times New Roman" w:hAnsi="Times New Roman"/>
          <w:b w:val="false"/>
          <w:bCs w:val="false"/>
          <w:i w:val="false"/>
          <w:iCs w:val="false"/>
          <w:color w:val="000000"/>
          <w:sz w:val="24"/>
          <w:szCs w:val="24"/>
        </w:rPr>
        <w:t xml:space="preserve">EfficientNet-B0 osiąga najwyższą ogólną dokładność (88%) i wyróżnia się w kilku klasach: Melanocytic nevi (czułość 0.91 – najwyższa spośród wszystkich modeli), Basal cell carcinoma (F1=0.85) i Benign keratosis-like lesions (F1=0.70). Wysokie wartości dla klas chorób zakaźnych potwierdzają, że model dobrze nauczył się cech wizualnych tych kategorii. Klasa Melanoma (F1=0.72) jest nieco lepsza niż u CNN-based modeli, ale gorsza niż u ViT.</w:t>
      </w:r>
    </w:p>
    <w:p>
      <w:pPr>
        <w:pStyle w:val="Heading2"/>
        <w:spacing w:before="360" w:after="180" w:line="360"/>
      </w:pPr>
      <w:r>
        <w:rPr>
          <w:rFonts w:ascii="Times New Roman" w:cs="Times New Roman" w:eastAsia="Times New Roman" w:hAnsi="Times New Roman"/>
          <w:b/>
          <w:bCs/>
          <w:color w:val="000000"/>
          <w:sz w:val="24"/>
          <w:szCs w:val="24"/>
        </w:rPr>
        <w:t xml:space="preserve">5.7 Test odporności na zakłócenia obrazu</w:t>
      </w:r>
    </w:p>
    <w:p>
      <w:pPr>
        <w:spacing w:line="360" w:before="0" w:after="120"/>
        <w:ind w:firstLine="720"/>
        <w:jc w:val="both"/>
      </w:pPr>
      <w:r>
        <w:rPr>
          <w:rFonts w:ascii="Times New Roman" w:cs="Times New Roman" w:eastAsia="Times New Roman" w:hAnsi="Times New Roman"/>
          <w:b w:val="false"/>
          <w:bCs w:val="false"/>
          <w:i w:val="false"/>
          <w:iCs w:val="false"/>
          <w:color w:val="000000"/>
          <w:sz w:val="24"/>
          <w:szCs w:val="24"/>
        </w:rPr>
        <w:t xml:space="preserve">Przeprowadzono test odporności (ang. robustness test) sprawdzający, jak modele radzą sobie z obrazami zakłóconymi dwoma rodzajami szumu: szumem Gaussowskim oraz rozmyciem (Gaussian blur). Test przeprowadzono na zbiorze walidacyjnym.</w:t>
      </w:r>
    </w:p>
    <w:p>
      <w:pPr>
        <w:spacing w:before="60" w:after="180" w:line="320"/>
        <w:jc w:val="center"/>
      </w:pPr>
      <w:r>
        <w:rPr>
          <w:rFonts w:ascii="Times New Roman" w:cs="Times New Roman" w:eastAsia="Times New Roman" w:hAnsi="Times New Roman"/>
          <w:i/>
          <w:iCs/>
          <w:sz w:val="22"/>
          <w:szCs w:val="22"/>
        </w:rPr>
        <w:t xml:space="preserve">Tabela 5.7. Wyniki testu odporności – dokładność na danych oryginalnych, z szumem i z rozmyciem</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2372"/>
        <w:gridCol w:w="2109"/>
        <w:gridCol w:w="2109"/>
        <w:gridCol w:w="2197"/>
      </w:tblGrid>
      <w:tr>
        <w:tc>
          <w:tcPr>
            <w:tcW w:type="dxa" w:w="2372"/>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Model</w:t>
            </w:r>
          </w:p>
        </w:tc>
        <w:tc>
          <w:tcPr>
            <w:tcW w:type="dxa" w:w="2109"/>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Oryginał</w:t>
            </w:r>
          </w:p>
        </w:tc>
        <w:tc>
          <w:tcPr>
            <w:tcW w:type="dxa" w:w="2109"/>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Szum Gaussowski</w:t>
            </w:r>
          </w:p>
        </w:tc>
        <w:tc>
          <w:tcPr>
            <w:tcW w:type="dxa" w:w="2197"/>
            <w:tcBorders>
              <w:top w:val="single" w:color="000000" w:sz="4"/>
              <w:left w:val="single" w:color="000000" w:sz="4"/>
              <w:bottom w:val="single" w:color="000000" w:sz="4"/>
              <w:right w:val="single" w:color="000000" w:sz="4"/>
            </w:tcBorders>
            <w:shd w:fill="CCCCCC"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Rozmycie (blur)</w:t>
            </w:r>
          </w:p>
        </w:tc>
      </w:tr>
      <w:tr>
        <w:tc>
          <w:tcPr>
            <w:tcW w:type="dxa" w:w="237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CustomCNN</w:t>
            </w:r>
          </w:p>
        </w:tc>
        <w:tc>
          <w:tcPr>
            <w:tcW w:type="dxa" w:w="210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0.6210</w:t>
            </w:r>
          </w:p>
        </w:tc>
        <w:tc>
          <w:tcPr>
            <w:tcW w:type="dxa" w:w="210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0.6100</w:t>
            </w:r>
          </w:p>
        </w:tc>
        <w:tc>
          <w:tcPr>
            <w:tcW w:type="dxa" w:w="2197"/>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0.5825</w:t>
            </w:r>
          </w:p>
        </w:tc>
      </w:tr>
      <w:tr>
        <w:tc>
          <w:tcPr>
            <w:tcW w:type="dxa" w:w="237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MobileNetV3</w:t>
            </w:r>
          </w:p>
        </w:tc>
        <w:tc>
          <w:tcPr>
            <w:tcW w:type="dxa" w:w="210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0.8311</w:t>
            </w:r>
          </w:p>
        </w:tc>
        <w:tc>
          <w:tcPr>
            <w:tcW w:type="dxa" w:w="210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0.7501</w:t>
            </w:r>
          </w:p>
        </w:tc>
        <w:tc>
          <w:tcPr>
            <w:tcW w:type="dxa" w:w="2197"/>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0.7646</w:t>
            </w:r>
          </w:p>
        </w:tc>
      </w:tr>
      <w:tr>
        <w:tc>
          <w:tcPr>
            <w:tcW w:type="dxa" w:w="237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ResNet50</w:t>
            </w:r>
          </w:p>
        </w:tc>
        <w:tc>
          <w:tcPr>
            <w:tcW w:type="dxa" w:w="210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0.8372</w:t>
            </w:r>
          </w:p>
        </w:tc>
        <w:tc>
          <w:tcPr>
            <w:tcW w:type="dxa" w:w="210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0.7950</w:t>
            </w:r>
          </w:p>
        </w:tc>
        <w:tc>
          <w:tcPr>
            <w:tcW w:type="dxa" w:w="2197"/>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0.7578</w:t>
            </w:r>
          </w:p>
        </w:tc>
      </w:tr>
      <w:tr>
        <w:tc>
          <w:tcPr>
            <w:tcW w:type="dxa" w:w="237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ViT-B/16</w:t>
            </w:r>
          </w:p>
        </w:tc>
        <w:tc>
          <w:tcPr>
            <w:tcW w:type="dxa" w:w="210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0.8243</w:t>
            </w:r>
          </w:p>
        </w:tc>
        <w:tc>
          <w:tcPr>
            <w:tcW w:type="dxa" w:w="210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0.8680</w:t>
            </w:r>
          </w:p>
        </w:tc>
        <w:tc>
          <w:tcPr>
            <w:tcW w:type="dxa" w:w="2197"/>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0.8416</w:t>
            </w:r>
          </w:p>
        </w:tc>
      </w:tr>
      <w:tr>
        <w:tc>
          <w:tcPr>
            <w:tcW w:type="dxa" w:w="2372"/>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EfficientNet</w:t>
            </w:r>
          </w:p>
        </w:tc>
        <w:tc>
          <w:tcPr>
            <w:tcW w:type="dxa" w:w="210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0.8664</w:t>
            </w:r>
          </w:p>
        </w:tc>
        <w:tc>
          <w:tcPr>
            <w:tcW w:type="dxa" w:w="2109"/>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0.7803</w:t>
            </w:r>
          </w:p>
        </w:tc>
        <w:tc>
          <w:tcPr>
            <w:tcW w:type="dxa" w:w="2197"/>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0.7474</w:t>
            </w:r>
          </w:p>
        </w:tc>
      </w:tr>
    </w:tbl>
    <w:p>
      <w:pPr>
        <w:spacing w:line="360"/>
      </w:pPr>
      <w:r>
        <w:t xml:space="preserve"/>
      </w:r>
    </w:p>
    <w:p>
      <w:pPr>
        <w:spacing w:line="360" w:before="0" w:after="120"/>
        <w:ind w:firstLine="720"/>
        <w:jc w:val="both"/>
      </w:pPr>
      <w:r>
        <w:rPr>
          <w:rFonts w:ascii="Times New Roman" w:cs="Times New Roman" w:eastAsia="Times New Roman" w:hAnsi="Times New Roman"/>
          <w:b w:val="false"/>
          <w:bCs w:val="false"/>
          <w:i w:val="false"/>
          <w:iCs w:val="false"/>
          <w:color w:val="000000"/>
          <w:sz w:val="24"/>
          <w:szCs w:val="24"/>
        </w:rPr>
        <w:t xml:space="preserve">Wyniki testu ujawniają uderzającą właściwość ViT-B/16: po dodaniu szumu Gaussowskiego dokładność modelu wzrosła z 0.8243 do 0.8680, co jest o 4,4 punkty procentowe więcej. Jednocześnie wszystkie modele CNN odnotowały spadki: EfficientNet −8,6%, MobileNetV3 −8,1%, ResNet-50 −4,2%. Efekt odporności ViT na szum jest dobrze udokumentowany w literaturze – globalny mechanizm uwagi własnej tworzy reprezentacje semantycznie bardziej inwariantne na lokalne perturbacje, podczas gdy CNN "liczą" na lokalne tekstury, które szum bezpośrednio zakłóca.</w:t>
      </w:r>
    </w:p>
    <w:p>
      <w:pPr>
        <w:spacing w:line="360" w:before="0" w:after="120"/>
        <w:ind w:firstLine="720"/>
        <w:jc w:val="both"/>
      </w:pPr>
      <w:r>
        <w:rPr>
          <w:rFonts w:ascii="Times New Roman" w:cs="Times New Roman" w:eastAsia="Times New Roman" w:hAnsi="Times New Roman"/>
          <w:b w:val="false"/>
          <w:bCs w:val="false"/>
          <w:i w:val="false"/>
          <w:iCs w:val="false"/>
          <w:color w:val="000000"/>
          <w:sz w:val="24"/>
          <w:szCs w:val="24"/>
        </w:rPr>
        <w:t xml:space="preserve">Pod wpływem rozmycia wszystkie modele odnotowały znaczne spadki dokładności. ViT pozostaje jednak najbardziej odporny (spadek o 3,9%), a Custom CNN notuje największe pogorszenie (−3,9 pp od wartości bazowej, co przy niskiej wartości bazowej oznacza utratę relatywnie większej części wiedzy). Różnica w odporności na rozmycie jest mniejsza niż przy szumie, co sugeruje, że globalne zależności przestrzenne (które ViT modeluje) są mniej kluczowe dla radzenia sobie z rozmyciem niż dla szumu.</w:t>
      </w:r>
    </w:p>
    <w:p>
      <w:r>
        <w:br w:type="page"/>
      </w:r>
    </w:p>
    <w:p>
      <w:pPr>
        <w:pStyle w:val="Heading1"/>
        <w:spacing w:before="480" w:after="240" w:line="360"/>
      </w:pPr>
      <w:r>
        <w:rPr>
          <w:rFonts w:ascii="Times New Roman" w:cs="Times New Roman" w:eastAsia="Times New Roman" w:hAnsi="Times New Roman"/>
          <w:b/>
          <w:bCs/>
          <w:color w:val="000000"/>
          <w:sz w:val="28"/>
          <w:szCs w:val="28"/>
        </w:rPr>
        <w:t xml:space="preserve">6 Architektura i implementacja systemu</w:t>
      </w:r>
    </w:p>
    <w:p>
      <w:pPr>
        <w:pStyle w:val="Heading2"/>
        <w:spacing w:before="360" w:after="180" w:line="360"/>
      </w:pPr>
      <w:r>
        <w:rPr>
          <w:rFonts w:ascii="Times New Roman" w:cs="Times New Roman" w:eastAsia="Times New Roman" w:hAnsi="Times New Roman"/>
          <w:b/>
          <w:bCs/>
          <w:color w:val="000000"/>
          <w:sz w:val="24"/>
          <w:szCs w:val="24"/>
        </w:rPr>
        <w:t xml:space="preserve">6.1 Ogólna architektura aplikacji</w:t>
      </w:r>
    </w:p>
    <w:p>
      <w:pPr>
        <w:spacing w:line="360" w:before="0" w:after="120"/>
        <w:ind w:firstLine="720"/>
        <w:jc w:val="both"/>
      </w:pPr>
      <w:r>
        <w:rPr>
          <w:rFonts w:ascii="Times New Roman" w:cs="Times New Roman" w:eastAsia="Times New Roman" w:hAnsi="Times New Roman"/>
          <w:b w:val="false"/>
          <w:bCs w:val="false"/>
          <w:i w:val="false"/>
          <w:iCs w:val="false"/>
          <w:color w:val="000000"/>
          <w:sz w:val="24"/>
          <w:szCs w:val="24"/>
        </w:rPr>
        <w:t xml:space="preserve">System zbudowany jest w architekturze klient-serwer. Warstwa back-endu realizowana jest w języku Python z użyciem frameworka Streamlit (obsługa żądań HTTP i REST API) i biblioteki PyTorch (inferencja modeli). Warstwa front-endu zaimplementowana jest w React 18 z TypeScriptem, z użyciem biblioteki komponentów shadcn/ui i frameworka CSS Tailwind. Komunikacja między warstwami odbywa się przez REST API: front-end wysyła żądania POST z obrazem, back-end zwraca JSON z wynikami klasyfikacji i mapami Grad-CAM (zakodowanymi w base64).</w:t>
      </w:r>
    </w:p>
    <w:p>
      <w:pPr>
        <w:spacing w:line="360" w:before="0" w:after="120"/>
        <w:ind w:firstLine="720"/>
        <w:jc w:val="both"/>
      </w:pPr>
      <w:r>
        <w:rPr>
          <w:rFonts w:ascii="Times New Roman" w:cs="Times New Roman" w:eastAsia="Times New Roman" w:hAnsi="Times New Roman"/>
          <w:b w:val="false"/>
          <w:bCs w:val="false"/>
          <w:i w:val="false"/>
          <w:iCs w:val="false"/>
          <w:color w:val="000000"/>
          <w:sz w:val="24"/>
          <w:szCs w:val="24"/>
        </w:rPr>
        <w:t xml:space="preserve">Modele PyTorch wczytywane są ze skryptowanych plików .pt (TorchScript) przy starcie serwera i przechowywane w pamięci operacyjnej. Skryptowanie modeli za pomocą torch.jit.script umożliwia szybszą inferencję i eliminuje zależność od kodu Pythonowego definiującego architekturę. Dla MobileNetV3 plik modelu zajmuje ok. 21 MB, dla ResNet-50 ok. 97 MB, dla ViT-B/16 ok. 330 MB. Notebook generuje także wersje "mobile lite" (.ptl) przystosowane do deployment na urządzenia mobilne.</w:t>
      </w:r>
    </w:p>
    <w:p>
      <w:pPr>
        <w:pStyle w:val="Heading2"/>
        <w:spacing w:before="360" w:after="180" w:line="360"/>
      </w:pPr>
      <w:r>
        <w:rPr>
          <w:rFonts w:ascii="Times New Roman" w:cs="Times New Roman" w:eastAsia="Times New Roman" w:hAnsi="Times New Roman"/>
          <w:b/>
          <w:bCs/>
          <w:color w:val="000000"/>
          <w:sz w:val="24"/>
          <w:szCs w:val="24"/>
        </w:rPr>
        <w:t xml:space="preserve">6.2 Back-end – moduły i logika przetwarzania</w:t>
      </w:r>
    </w:p>
    <w:p>
      <w:pPr>
        <w:spacing w:line="360" w:before="0" w:after="120"/>
        <w:ind w:firstLine="720"/>
        <w:jc w:val="both"/>
      </w:pPr>
      <w:r>
        <w:rPr>
          <w:rFonts w:ascii="Times New Roman" w:cs="Times New Roman" w:eastAsia="Times New Roman" w:hAnsi="Times New Roman"/>
          <w:b w:val="false"/>
          <w:bCs w:val="false"/>
          <w:i w:val="false"/>
          <w:iCs w:val="false"/>
          <w:color w:val="000000"/>
          <w:sz w:val="24"/>
          <w:szCs w:val="24"/>
        </w:rPr>
        <w:t xml:space="preserve">Back-end podzielony jest na następujące moduły: model_manager.py (ładowanie i cache modeli), inference.py (preprocessing obrazu, batch inferencja, agregacja wyników), gradcam.py (generowanie map cieplnych), api.py (endpointy REST) i utils.py (funkcje pomocnicze: konwersja base64, formatowanie JSON).</w:t>
      </w:r>
    </w:p>
    <w:p>
      <w:pPr>
        <w:spacing w:line="360" w:before="0" w:after="120"/>
        <w:ind w:firstLine="720"/>
        <w:jc w:val="both"/>
      </w:pPr>
      <w:r>
        <w:rPr>
          <w:rFonts w:ascii="Times New Roman" w:cs="Times New Roman" w:eastAsia="Times New Roman" w:hAnsi="Times New Roman"/>
          <w:b w:val="false"/>
          <w:bCs w:val="false"/>
          <w:i w:val="false"/>
          <w:iCs w:val="false"/>
          <w:color w:val="000000"/>
          <w:sz w:val="24"/>
          <w:szCs w:val="24"/>
        </w:rPr>
        <w:t xml:space="preserve">Przetwarzanie żądania przebiega w następujących krokach: (1) dekodowanie i walidacja przesłanego obrazu, (2) preprocessing: resize 224×224, normalizacja ImageNet, (3) forward pass przez wszystkie 5 modeli (możliwa równoległość wątków dla CPU), (4) obliczenie softmax i ekstrakcja top-3 predykcji, (5) obliczenie consensusu metodą głosowania ważonego, (6) generowanie Grad-CAM dla modelu o najwyższej pewności, (7) serializacja do JSON i odesłanie odpowiedzi.</w:t>
      </w:r>
    </w:p>
    <w:p>
      <w:pPr>
        <w:spacing w:line="360" w:before="0" w:after="120"/>
        <w:ind w:firstLine="720"/>
        <w:jc w:val="both"/>
      </w:pPr>
      <w:r>
        <w:rPr>
          <w:rFonts w:ascii="Times New Roman" w:cs="Times New Roman" w:eastAsia="Times New Roman" w:hAnsi="Times New Roman"/>
          <w:b w:val="false"/>
          <w:bCs w:val="false"/>
          <w:i w:val="false"/>
          <w:iCs w:val="false"/>
          <w:color w:val="000000"/>
          <w:sz w:val="24"/>
          <w:szCs w:val="24"/>
        </w:rPr>
        <w:t xml:space="preserve">Detekcja urządzenia obliczeniowego odbywa się automatycznie przy starcie: device = torch.device("cuda" if torch.cuda.is_available() else "cpu"). Na GPU (NVIDIA z CUDA) inferencja pięciu modeli trwa ok. 0.5–1.5 sekundy, na CPU ok. 5–15 sekund (w zależności od modelu – ViT najdłużej). Użytkownik informowany jest w interfejsie o aktualnie używanym urządzeniu obliczeniowym.</w:t>
      </w:r>
    </w:p>
    <w:p>
      <w:pPr>
        <w:pStyle w:val="Heading2"/>
        <w:spacing w:before="360" w:after="180" w:line="360"/>
      </w:pPr>
      <w:r>
        <w:rPr>
          <w:rFonts w:ascii="Times New Roman" w:cs="Times New Roman" w:eastAsia="Times New Roman" w:hAnsi="Times New Roman"/>
          <w:b/>
          <w:bCs/>
          <w:color w:val="000000"/>
          <w:sz w:val="24"/>
          <w:szCs w:val="24"/>
        </w:rPr>
        <w:t xml:space="preserve">6.3 Front-end – struktura komponentów React</w:t>
      </w:r>
    </w:p>
    <w:p>
      <w:pPr>
        <w:spacing w:line="360" w:before="0" w:after="120"/>
        <w:ind w:firstLine="720"/>
        <w:jc w:val="both"/>
      </w:pPr>
      <w:r>
        <w:rPr>
          <w:rFonts w:ascii="Times New Roman" w:cs="Times New Roman" w:eastAsia="Times New Roman" w:hAnsi="Times New Roman"/>
          <w:b w:val="false"/>
          <w:bCs w:val="false"/>
          <w:i w:val="false"/>
          <w:iCs w:val="false"/>
          <w:color w:val="000000"/>
          <w:sz w:val="24"/>
          <w:szCs w:val="24"/>
        </w:rPr>
        <w:t xml:space="preserve">Interfejs użytkownika jest aplikacją SPA (Single Page Application) zbudowaną w React 18 z TypeScriptem. Zarządzanie stanem opiera się na React Query (TanStack Query) do obsługi żądań HTTP i cachowania wyników, oraz useState/useContext do lokalnego stanu komponentów. Stylowanie realizowane jest wyłącznie przez klasy Tailwind CSS i komponenty shadcn/ui (zbudowane na bazie Radix UI i Tailwind).</w:t>
      </w:r>
    </w:p>
    <w:p>
      <w:pPr>
        <w:spacing w:line="360" w:before="0" w:after="120"/>
        <w:ind w:firstLine="720"/>
        <w:jc w:val="both"/>
      </w:pPr>
      <w:r>
        <w:rPr>
          <w:rFonts w:ascii="Times New Roman" w:cs="Times New Roman" w:eastAsia="Times New Roman" w:hAnsi="Times New Roman"/>
          <w:b w:val="false"/>
          <w:bCs w:val="false"/>
          <w:i w:val="false"/>
          <w:iCs w:val="false"/>
          <w:color w:val="000000"/>
          <w:sz w:val="24"/>
          <w:szCs w:val="24"/>
        </w:rPr>
        <w:t xml:space="preserve">Główne komponenty interfejsu: UploadPanel (drag &amp; drop lub wybór pliku), ResultsPanel (tabela wyników modeli z paskami pewności i kolorowymi znacznikami ryzyka), GradCamPanel (zakładki dla każdego modelu z podglądem heatmapy), BodyMap (interaktywna mapa ciała – widok przedni/tylny), HistoryPanel (lista poprzednich badań z miniaturkami i datami), CameraPanel (podgląd z kamery z możliwością zrobienia zdjęcia). Wszystkie komponenty są responsywne i obsługują tryb ciemny (dark mode).</w:t>
      </w:r>
    </w:p>
    <w:p>
      <w:pPr>
        <w:pStyle w:val="Heading2"/>
        <w:spacing w:before="360" w:after="180" w:line="360"/>
      </w:pPr>
      <w:r>
        <w:rPr>
          <w:rFonts w:ascii="Times New Roman" w:cs="Times New Roman" w:eastAsia="Times New Roman" w:hAnsi="Times New Roman"/>
          <w:b/>
          <w:bCs/>
          <w:color w:val="000000"/>
          <w:sz w:val="24"/>
          <w:szCs w:val="24"/>
        </w:rPr>
        <w:t xml:space="preserve">6.4 Moduł mapy ciała</w:t>
      </w:r>
    </w:p>
    <w:p>
      <w:pPr>
        <w:spacing w:line="360" w:before="0" w:after="120"/>
        <w:ind w:firstLine="720"/>
        <w:jc w:val="both"/>
      </w:pPr>
      <w:r>
        <w:rPr>
          <w:rFonts w:ascii="Times New Roman" w:cs="Times New Roman" w:eastAsia="Times New Roman" w:hAnsi="Times New Roman"/>
          <w:b w:val="false"/>
          <w:bCs w:val="false"/>
          <w:i w:val="false"/>
          <w:iCs w:val="false"/>
          <w:color w:val="000000"/>
          <w:sz w:val="24"/>
          <w:szCs w:val="24"/>
        </w:rPr>
        <w:t xml:space="preserve">Mapa ciała implementuje interaktywną sylwetkę człowieka (SVG) z możliwością klikania i dodawania znaczników. Każdy znacznik zawiera: pozycję (x, y w procentach względem wymiaru obrazu), widok (Front/Back), etykietę tekstową, notatki kliniczne, datę badania oraz opcjonalne powiązanie z badaniem (linked scan). Dane znaczników przechowywane są lokalnie w IndexedDB przeglądarki (przez bibliotekę Dexie.js), co gwarantuje trwałość między sesjami bez wysyłania danych na serwer.</w:t>
      </w:r>
    </w:p>
    <w:p>
      <w:pPr>
        <w:spacing w:line="360" w:before="0" w:after="120"/>
        <w:ind w:firstLine="720"/>
        <w:jc w:val="both"/>
      </w:pPr>
      <w:r>
        <w:rPr>
          <w:rFonts w:ascii="Times New Roman" w:cs="Times New Roman" w:eastAsia="Times New Roman" w:hAnsi="Times New Roman"/>
          <w:b w:val="false"/>
          <w:bCs w:val="false"/>
          <w:i w:val="false"/>
          <w:iCs w:val="false"/>
          <w:color w:val="000000"/>
          <w:sz w:val="24"/>
          <w:szCs w:val="24"/>
        </w:rPr>
        <w:t xml:space="preserve">Interfejs mapy ciała umożliwia przełączanie między widokiem przednim i tylnym z licznikami znaczników wyświetlanymi na przyciskach przełącznika. Kliknięcie istniejącego znacznika otwiera panel szczegółów z możliwością edycji etykiety, dodania notatek i powiązania z wynikiem skanowania. Panel boczny "Marker Detail" prezentuje współrzędne w procentach i datę oznaczenia (np. "View: Front · X: 60.0% Y: 34.9% · 16.03.2026" jak widoczne na screenshocie).</w:t>
      </w:r>
    </w:p>
    <w:p>
      <w:pPr>
        <w:pStyle w:val="Heading2"/>
        <w:spacing w:before="360" w:after="180" w:line="360"/>
      </w:pPr>
      <w:r>
        <w:rPr>
          <w:rFonts w:ascii="Times New Roman" w:cs="Times New Roman" w:eastAsia="Times New Roman" w:hAnsi="Times New Roman"/>
          <w:b/>
          <w:bCs/>
          <w:color w:val="000000"/>
          <w:sz w:val="24"/>
          <w:szCs w:val="24"/>
        </w:rPr>
        <w:t xml:space="preserve">6.5 Historia badań i profil pacjenta</w:t>
      </w:r>
    </w:p>
    <w:p>
      <w:pPr>
        <w:spacing w:line="360" w:before="0" w:after="120"/>
        <w:ind w:firstLine="720"/>
        <w:jc w:val="both"/>
      </w:pPr>
      <w:r>
        <w:rPr>
          <w:rFonts w:ascii="Times New Roman" w:cs="Times New Roman" w:eastAsia="Times New Roman" w:hAnsi="Times New Roman"/>
          <w:b w:val="false"/>
          <w:bCs w:val="false"/>
          <w:i w:val="false"/>
          <w:iCs w:val="false"/>
          <w:color w:val="000000"/>
          <w:sz w:val="24"/>
          <w:szCs w:val="24"/>
        </w:rPr>
        <w:t xml:space="preserve">Moduł historii badań pozwala na tworzenie profili pacjentów i przypisywanie do nich wyników badań. Każdy profil zawiera: identyfikator, imię, wiek oraz powiązaną listę badań. Każde badanie rejestruje: datę i godzinę, miniaturę przesłanego zdjęcia, wynik consensusu, poziom ryzyka (High Risk/Low Risk/Requires Review), wartości pewności dla każdego modelu oraz opcjonalne notatki kliniczne. Funkcjonalność eksportu do CSV umożliwia przeniesienie danych do zewnętrznych systemów.</w:t>
      </w:r>
    </w:p>
    <w:p>
      <w:pPr>
        <w:pStyle w:val="Heading2"/>
        <w:spacing w:before="360" w:after="180" w:line="360"/>
      </w:pPr>
      <w:r>
        <w:rPr>
          <w:rFonts w:ascii="Times New Roman" w:cs="Times New Roman" w:eastAsia="Times New Roman" w:hAnsi="Times New Roman"/>
          <w:b/>
          <w:bCs/>
          <w:color w:val="000000"/>
          <w:sz w:val="24"/>
          <w:szCs w:val="24"/>
        </w:rPr>
        <w:t xml:space="preserve">6.6 Panel kamery i obsługa zdjęć mobilnych</w:t>
      </w:r>
    </w:p>
    <w:p>
      <w:pPr>
        <w:spacing w:line="360" w:before="0" w:after="120"/>
        <w:ind w:firstLine="720"/>
        <w:jc w:val="both"/>
      </w:pPr>
      <w:r>
        <w:rPr>
          <w:rFonts w:ascii="Times New Roman" w:cs="Times New Roman" w:eastAsia="Times New Roman" w:hAnsi="Times New Roman"/>
          <w:b w:val="false"/>
          <w:bCs w:val="false"/>
          <w:i w:val="false"/>
          <w:iCs w:val="false"/>
          <w:color w:val="000000"/>
          <w:sz w:val="24"/>
          <w:szCs w:val="24"/>
        </w:rPr>
        <w:t xml:space="preserve">[MIEJSCE NA UZUPEŁNIENIE PRZEZ AUTORA: opis implementacji modułu kamery, API WebRTC/getUserMedia, przepływ: uruchomienie podglądu → wykonanie zdjęcia → automatyczne przesłanie do analizy. Zrzuty ekranu z działającą kamerą na urządzeniu mobilnym.]</w:t>
      </w:r>
    </w:p>
    <w:p>
      <w:pPr>
        <w:pStyle w:val="Heading2"/>
        <w:spacing w:before="360" w:after="180" w:line="360"/>
      </w:pPr>
      <w:r>
        <w:rPr>
          <w:rFonts w:ascii="Times New Roman" w:cs="Times New Roman" w:eastAsia="Times New Roman" w:hAnsi="Times New Roman"/>
          <w:b/>
          <w:bCs/>
          <w:color w:val="000000"/>
          <w:sz w:val="24"/>
          <w:szCs w:val="24"/>
        </w:rPr>
        <w:t xml:space="preserve">6.7 Eksport modeli i deployment mobilny</w:t>
      </w:r>
    </w:p>
    <w:p>
      <w:pPr>
        <w:spacing w:line="360" w:before="0" w:after="120"/>
        <w:ind w:firstLine="720"/>
        <w:jc w:val="both"/>
      </w:pPr>
      <w:r>
        <w:rPr>
          <w:rFonts w:ascii="Times New Roman" w:cs="Times New Roman" w:eastAsia="Times New Roman" w:hAnsi="Times New Roman"/>
          <w:b w:val="false"/>
          <w:bCs w:val="false"/>
          <w:i w:val="false"/>
          <w:iCs w:val="false"/>
          <w:color w:val="000000"/>
          <w:sz w:val="24"/>
          <w:szCs w:val="24"/>
        </w:rPr>
        <w:t xml:space="preserve">Notebook implementuje eksport wszystkich modeli do formatu TorchScript (.pt) oraz wersji lite dla urządzeń mobilnych (.ptl). Eksport przebiega przy użyciu torch.jit.trace, który generuje skrypt modelu niezależny od kodu Pythonowego. Wersje ".ptl" zoptymalizowane pod urządzenia mobilne skompresowane są do archiwum results_archive.zip dostępnego w sekcji Output platformy Kaggle. Model MobileNetV3 w wersji lite zajmuje ok. 8 MB i może być uruchamiany bezpośrednio na smartfonie Android lub iOS za pomocą biblioteki PyTorch Mobile bez konieczności połączenia z serwerem.</w:t>
      </w:r>
    </w:p>
    <w:p>
      <w:r>
        <w:br w:type="page"/>
      </w:r>
    </w:p>
    <w:p>
      <w:pPr>
        <w:pStyle w:val="Heading1"/>
        <w:spacing w:before="480" w:after="240" w:line="360"/>
      </w:pPr>
      <w:r>
        <w:rPr>
          <w:rFonts w:ascii="Times New Roman" w:cs="Times New Roman" w:eastAsia="Times New Roman" w:hAnsi="Times New Roman"/>
          <w:b/>
          <w:bCs/>
          <w:color w:val="000000"/>
          <w:sz w:val="28"/>
          <w:szCs w:val="28"/>
        </w:rPr>
        <w:t xml:space="preserve">7 Analiza wyników i wnioski</w:t>
      </w:r>
    </w:p>
    <w:p>
      <w:pPr>
        <w:pStyle w:val="Heading2"/>
        <w:spacing w:before="360" w:after="180" w:line="360"/>
      </w:pPr>
      <w:r>
        <w:rPr>
          <w:rFonts w:ascii="Times New Roman" w:cs="Times New Roman" w:eastAsia="Times New Roman" w:hAnsi="Times New Roman"/>
          <w:b/>
          <w:bCs/>
          <w:color w:val="000000"/>
          <w:sz w:val="24"/>
          <w:szCs w:val="24"/>
        </w:rPr>
        <w:t xml:space="preserve">7.1 Podsumowanie wyników eksperymentów</w:t>
      </w:r>
    </w:p>
    <w:p>
      <w:pPr>
        <w:spacing w:line="360" w:before="0" w:after="120"/>
        <w:ind w:firstLine="720"/>
        <w:jc w:val="both"/>
      </w:pPr>
      <w:r>
        <w:rPr>
          <w:rFonts w:ascii="Times New Roman" w:cs="Times New Roman" w:eastAsia="Times New Roman" w:hAnsi="Times New Roman"/>
          <w:b w:val="false"/>
          <w:bCs w:val="false"/>
          <w:i w:val="false"/>
          <w:iCs w:val="false"/>
          <w:color w:val="000000"/>
          <w:sz w:val="24"/>
          <w:szCs w:val="24"/>
        </w:rPr>
        <w:t xml:space="preserve">Przeprowadzone eksperymenty potwierdziły zasadność zastosowania głębokiego uczenia do klasyfikacji zmian dermatologicznych i chorób zakaźnych. Wszystkie pięć badanych modeli wykazało zdolność do nauki diagnostycznie istotnych cech wizualnych, choć z wyraźnymi różnicami w skuteczności i zachowaniu.</w:t>
      </w:r>
    </w:p>
    <w:p>
      <w:pPr>
        <w:spacing w:line="360" w:before="0" w:after="120"/>
        <w:ind w:firstLine="720"/>
        <w:jc w:val="both"/>
      </w:pPr>
      <w:r>
        <w:rPr>
          <w:rFonts w:ascii="Times New Roman" w:cs="Times New Roman" w:eastAsia="Times New Roman" w:hAnsi="Times New Roman"/>
          <w:b w:val="false"/>
          <w:bCs w:val="false"/>
          <w:i w:val="false"/>
          <w:iCs w:val="false"/>
          <w:color w:val="000000"/>
          <w:sz w:val="24"/>
          <w:szCs w:val="24"/>
        </w:rPr>
        <w:t xml:space="preserve">Najwyższą ogólną dokładność testową uzyskał EfficientNet-B0 (88%), który jednocześnie charakteryzuje się znakomitą efektywnością obliczeniową (77 minut treningu, 5,3M parametrów). Model ten można uznać za optymalne rozwiązanie dla zastosowań produkcyjnych wymagających kompromisu między dokładnością a zasobami. ViT-B/16 osiągnął drugą lokatę (87%) i wykazał wyraźną przewagę w odporności na zakłócenia obrazu – po dodaniu szumu Gaussowskiego dokładność wzrosła o 4,4 pp, podczas gdy CNN-based modele odnotowały spadki 4–9 pp. Wskazuje to na fundamentalną różnicę w mechanizmach przetwarzania informacji: CNN kodują lokalne tekstury, ViT – globalne relacje semantyczne.</w:t>
      </w:r>
    </w:p>
    <w:p>
      <w:pPr>
        <w:spacing w:line="360" w:before="0" w:after="120"/>
        <w:ind w:firstLine="720"/>
        <w:jc w:val="both"/>
      </w:pPr>
      <w:r>
        <w:rPr>
          <w:rFonts w:ascii="Times New Roman" w:cs="Times New Roman" w:eastAsia="Times New Roman" w:hAnsi="Times New Roman"/>
          <w:b w:val="false"/>
          <w:bCs w:val="false"/>
          <w:i w:val="false"/>
          <w:iCs w:val="false"/>
          <w:color w:val="000000"/>
          <w:sz w:val="24"/>
          <w:szCs w:val="24"/>
        </w:rPr>
        <w:t xml:space="preserve">ResNet-50 i MobileNetV3 osiągnęły jednakową dokładność ogólną (84%), jednak ResNet-50 wyróżnia się wyższą precyzją (0.84 vs 0.81), co jest istotne w kontekście medycznym, gdzie fałszywie pozytywne wyniki generują niepotrzebny stres i koszty diagnostyczne. Custom CNN, trenowany od zera, osiągnął 62% i pełni rolę punktu odniesienia (baseline) potwierdzającego wartość dodaną pretrainingu na ImageNet.</w:t>
      </w:r>
    </w:p>
    <w:p>
      <w:pPr>
        <w:pStyle w:val="Heading2"/>
        <w:spacing w:before="360" w:after="180" w:line="360"/>
      </w:pPr>
      <w:r>
        <w:rPr>
          <w:rFonts w:ascii="Times New Roman" w:cs="Times New Roman" w:eastAsia="Times New Roman" w:hAnsi="Times New Roman"/>
          <w:b/>
          <w:bCs/>
          <w:color w:val="000000"/>
          <w:sz w:val="24"/>
          <w:szCs w:val="24"/>
        </w:rPr>
        <w:t xml:space="preserve">7.2 Analiza najczęstszych błędów klasyfikacji</w:t>
      </w:r>
    </w:p>
    <w:p>
      <w:pPr>
        <w:spacing w:line="360" w:before="0" w:after="120"/>
        <w:ind w:firstLine="720"/>
        <w:jc w:val="both"/>
      </w:pPr>
      <w:r>
        <w:rPr>
          <w:rFonts w:ascii="Times New Roman" w:cs="Times New Roman" w:eastAsia="Times New Roman" w:hAnsi="Times New Roman"/>
          <w:b w:val="false"/>
          <w:bCs w:val="false"/>
          <w:i w:val="false"/>
          <w:iCs w:val="false"/>
          <w:color w:val="000000"/>
          <w:sz w:val="24"/>
          <w:szCs w:val="24"/>
        </w:rPr>
        <w:t xml:space="preserve">Niezależnie od architektury, najczęstszym błędem klasyfikacji jest mylenie Melanoma z Melanocytic nevi i odwrotnie. W macierzy pomyłek ResNet-50 widoczne jest, że 148 ze 453 próbek Melanoma (32,7%) zostało zaklasyfikowanych jako Melanocytic nevi. Błąd ten jest spójny z trudnością diagnostyczną doświadczaną przez dermatologów – oba typy zmian wywodzą się z melanocytów i mogą wykazywać zbliżone cechy dermoskopowe, szczególnie we wczesnych stadiach czerniaka.</w:t>
      </w:r>
    </w:p>
    <w:p>
      <w:pPr>
        <w:spacing w:line="360" w:before="0" w:after="120"/>
        <w:ind w:firstLine="720"/>
        <w:jc w:val="both"/>
      </w:pPr>
      <w:r>
        <w:rPr>
          <w:rFonts w:ascii="Times New Roman" w:cs="Times New Roman" w:eastAsia="Times New Roman" w:hAnsi="Times New Roman"/>
          <w:b w:val="false"/>
          <w:bCs w:val="false"/>
          <w:i w:val="false"/>
          <w:iCs w:val="false"/>
          <w:color w:val="000000"/>
          <w:sz w:val="24"/>
          <w:szCs w:val="24"/>
        </w:rPr>
        <w:t xml:space="preserve">Klasy Actinic keratoses i Squamous cell carcinoma są systematycznie trudne dla wszystkich modeli (F1 poniżej 0.75 we wszystkich przypadkach). Wynika to zarówno z relatywnie małej liczebności tych klas w zbiorze (88 i 64 próbki testowe), jak i z gradientu morfologicznego między nimi – AK i SCC są biologicznie powiązane jako continuum transformacji nowotworowej, a ich granica wizualna jest często rozmyta.</w:t>
      </w:r>
    </w:p>
    <w:p>
      <w:pPr>
        <w:pStyle w:val="Heading2"/>
        <w:spacing w:before="360" w:after="180" w:line="360"/>
      </w:pPr>
      <w:r>
        <w:rPr>
          <w:rFonts w:ascii="Times New Roman" w:cs="Times New Roman" w:eastAsia="Times New Roman" w:hAnsi="Times New Roman"/>
          <w:b/>
          <w:bCs/>
          <w:color w:val="000000"/>
          <w:sz w:val="24"/>
          <w:szCs w:val="24"/>
        </w:rPr>
        <w:t xml:space="preserve">7.3 Wartość systemu consensusu</w:t>
      </w:r>
    </w:p>
    <w:p>
      <w:pPr>
        <w:spacing w:line="360" w:before="0" w:after="120"/>
        <w:ind w:firstLine="720"/>
        <w:jc w:val="both"/>
      </w:pPr>
      <w:r>
        <w:rPr>
          <w:rFonts w:ascii="Times New Roman" w:cs="Times New Roman" w:eastAsia="Times New Roman" w:hAnsi="Times New Roman"/>
          <w:b w:val="false"/>
          <w:bCs w:val="false"/>
          <w:i w:val="false"/>
          <w:iCs w:val="false"/>
          <w:color w:val="000000"/>
          <w:sz w:val="24"/>
          <w:szCs w:val="24"/>
        </w:rPr>
        <w:t xml:space="preserve">Zastosowanie consensusu pięciu modeli metodą głosowania ważonego zwiększa wiarygodność diagnostyki w stosunku do decyzji pojedynczego modelu. Gdy wszystkie pięć modeli wskazuje tę samą klasę z wysoką pewnością (jak w przypadku HFMD, Cowpox, Monkeypox, Measles, Healthy), diagnoza consensusu jest niemal pewna. Przypadki rozbieżności między modelami sygnalizują trudne przypadki graniczne, gdzie zalecana jest konsultacja specjalisty – co interfejs komunikuje przez oznaczenie "Requires Review".</w:t>
      </w:r>
    </w:p>
    <w:p>
      <w:pPr>
        <w:pStyle w:val="Heading2"/>
        <w:spacing w:before="360" w:after="180" w:line="360"/>
      </w:pPr>
      <w:r>
        <w:rPr>
          <w:rFonts w:ascii="Times New Roman" w:cs="Times New Roman" w:eastAsia="Times New Roman" w:hAnsi="Times New Roman"/>
          <w:b/>
          <w:bCs/>
          <w:color w:val="000000"/>
          <w:sz w:val="24"/>
          <w:szCs w:val="24"/>
        </w:rPr>
        <w:t xml:space="preserve">7.4 Ograniczenia systemu i kierunki dalszego rozwoju</w:t>
      </w:r>
    </w:p>
    <w:p>
      <w:pPr>
        <w:spacing w:line="360" w:before="0" w:after="120"/>
        <w:ind w:firstLine="720"/>
        <w:jc w:val="both"/>
      </w:pPr>
      <w:r>
        <w:rPr>
          <w:rFonts w:ascii="Times New Roman" w:cs="Times New Roman" w:eastAsia="Times New Roman" w:hAnsi="Times New Roman"/>
          <w:b w:val="false"/>
          <w:bCs w:val="false"/>
          <w:i w:val="false"/>
          <w:iCs w:val="false"/>
          <w:color w:val="000000"/>
          <w:sz w:val="24"/>
          <w:szCs w:val="24"/>
        </w:rPr>
        <w:t xml:space="preserve">System ma szereg ograniczeń wymagających zaadresowania w przyszłych pracach. Trening ograniczono do 25 epok – dłuższy trening z adaptacyjnym harmonogramem lr (np. cosine annealing) mógłby przynieść dalszą poprawę, szczególnie dla ViT. Zbiór danych, mimo 14 klas, nie pokrywa pełnego spektrum dermatoz – brakuje m.in. łuszczycy, atopowego zapalenia skóry, różyczkowych i kiłowych zmian skórnych. Jakość zdjęć w zbiorze jest heterogeniczna – połączenie zdjęć dermoskopowych (HAM10000) i zwykłych zdjęć fotograficznych (MSLDv2.0) może negatywnie wpływać na generalizację modeli w warunkach klinicznych.</w:t>
      </w:r>
    </w:p>
    <w:p>
      <w:pPr>
        <w:spacing w:line="360" w:before="0" w:after="120"/>
        <w:ind w:firstLine="720"/>
        <w:jc w:val="both"/>
      </w:pPr>
      <w:r>
        <w:rPr>
          <w:rFonts w:ascii="Times New Roman" w:cs="Times New Roman" w:eastAsia="Times New Roman" w:hAnsi="Times New Roman"/>
          <w:b w:val="false"/>
          <w:bCs w:val="false"/>
          <w:i w:val="false"/>
          <w:iCs w:val="false"/>
          <w:color w:val="000000"/>
          <w:sz w:val="24"/>
          <w:szCs w:val="24"/>
        </w:rPr>
        <w:t xml:space="preserve">Kierunki dalszego rozwoju obejmują: (1) trenowanie na wyłącznie dermoskopowych zbiorach danych z augmentacją specyficzną dla dermoskopii (symulacja artefaktów dermoskopowych), (2) zastosowanie metod wyjaśnialności SHAP lub LIME jako uzupełnienia Grad-CAM, (3) implementację modelu SAM (Segment Anything Model) do automatycznej segmentacji obszaru zmiany przed klasyfikacją, (4) integrację z HL7 FHIR dla kompatybilności z systemami HIS, (5) badanie modeli multimodalnych łączących zdjęcia z danymi klinicznymi (wiek, lokalizacja, czas trwania zmiany).</w:t>
      </w:r>
    </w:p>
    <w:p>
      <w:pPr>
        <w:spacing w:line="360"/>
      </w:pPr>
      <w:r>
        <w:t xml:space="preserve"/>
      </w:r>
    </w:p>
    <w:p>
      <w:r>
        <w:br w:type="page"/>
      </w:r>
    </w:p>
    <w:p>
      <w:pPr>
        <w:spacing w:line="360" w:before="0" w:after="360"/>
        <w:jc w:val="center"/>
      </w:pPr>
      <w:r>
        <w:rPr>
          <w:rFonts w:ascii="Times New Roman" w:cs="Times New Roman" w:eastAsia="Times New Roman" w:hAnsi="Times New Roman"/>
          <w:b/>
          <w:bCs/>
          <w:i w:val="false"/>
          <w:iCs w:val="false"/>
          <w:color w:val="000000"/>
          <w:sz w:val="28"/>
          <w:szCs w:val="28"/>
        </w:rPr>
        <w:t xml:space="preserve">Spis rysunków</w:t>
      </w:r>
    </w:p>
    <w:p>
      <w:pPr>
        <w:spacing w:line="360" w:before="60" w:after="120"/>
        <w:jc w:val="both"/>
      </w:pPr>
      <w:r>
        <w:rPr>
          <w:rFonts w:ascii="Times New Roman" w:cs="Times New Roman" w:eastAsia="Times New Roman" w:hAnsi="Times New Roman"/>
          <w:b w:val="false"/>
          <w:bCs w:val="false"/>
          <w:i w:val="false"/>
          <w:iCs w:val="false"/>
          <w:color w:val="000000"/>
          <w:sz w:val="24"/>
          <w:szCs w:val="24"/>
        </w:rPr>
        <w:t xml:space="preserve">Rysunek 4.1. Wykresy dokładności walidacyjnej vs epoki (lewy) i całkowitego czasu treningu w sekundach (prawy) dla wszystkich pięciu modeli (źródło: własne, Kaggle Notebook).</w:t>
      </w:r>
    </w:p>
    <w:p>
      <w:pPr>
        <w:spacing w:line="360" w:before="60" w:after="120"/>
        <w:jc w:val="both"/>
      </w:pPr>
      <w:r>
        <w:rPr>
          <w:rFonts w:ascii="Times New Roman" w:cs="Times New Roman" w:eastAsia="Times New Roman" w:hAnsi="Times New Roman"/>
          <w:b w:val="false"/>
          <w:bCs w:val="false"/>
          <w:i w:val="false"/>
          <w:iCs w:val="false"/>
          <w:color w:val="000000"/>
          <w:sz w:val="24"/>
          <w:szCs w:val="24"/>
        </w:rPr>
        <w:t xml:space="preserve">Rysunek 5.1. Macierz pomyłek modelu ResNet-50 na zbiorze testowym (3 674 próbki).</w:t>
      </w:r>
    </w:p>
    <w:p>
      <w:pPr>
        <w:spacing w:line="360" w:before="60" w:after="120"/>
        <w:jc w:val="both"/>
      </w:pPr>
      <w:r>
        <w:rPr>
          <w:rFonts w:ascii="Times New Roman" w:cs="Times New Roman" w:eastAsia="Times New Roman" w:hAnsi="Times New Roman"/>
          <w:b w:val="false"/>
          <w:bCs w:val="false"/>
          <w:i w:val="false"/>
          <w:iCs w:val="false"/>
          <w:color w:val="000000"/>
          <w:sz w:val="24"/>
          <w:szCs w:val="24"/>
        </w:rPr>
        <w:t xml:space="preserve">Rysunek 6.1. Zrzut ekranu systemu – panel wyników analizy z widokiem Grad-CAM i consensusem (diagnoza: Melanoma, High Risk, MobileNetV3 94.4%).</w:t>
      </w:r>
    </w:p>
    <w:p>
      <w:pPr>
        <w:spacing w:line="360" w:before="60" w:after="120"/>
        <w:jc w:val="both"/>
      </w:pPr>
      <w:r>
        <w:rPr>
          <w:rFonts w:ascii="Times New Roman" w:cs="Times New Roman" w:eastAsia="Times New Roman" w:hAnsi="Times New Roman"/>
          <w:b w:val="false"/>
          <w:bCs w:val="false"/>
          <w:i w:val="false"/>
          <w:iCs w:val="false"/>
          <w:color w:val="000000"/>
          <w:sz w:val="24"/>
          <w:szCs w:val="24"/>
        </w:rPr>
        <w:t xml:space="preserve">Rysunek 6.2. Zrzut ekranu systemu – mapa ciała z zaznaczonymi lokalizacjami zmian (widok przedni, 2 znaczniki, panel szczegółów).</w:t>
      </w:r>
    </w:p>
    <w:p>
      <w:pPr>
        <w:spacing w:line="360"/>
      </w:pPr>
      <w:r>
        <w:t xml:space="preserve"/>
      </w:r>
    </w:p>
    <w:p>
      <w:r>
        <w:br w:type="page"/>
      </w:r>
    </w:p>
    <w:p>
      <w:pPr>
        <w:spacing w:line="360" w:before="0" w:after="360"/>
        <w:jc w:val="center"/>
      </w:pPr>
      <w:r>
        <w:rPr>
          <w:rFonts w:ascii="Times New Roman" w:cs="Times New Roman" w:eastAsia="Times New Roman" w:hAnsi="Times New Roman"/>
          <w:b/>
          <w:bCs/>
          <w:i w:val="false"/>
          <w:iCs w:val="false"/>
          <w:color w:val="000000"/>
          <w:sz w:val="28"/>
          <w:szCs w:val="28"/>
        </w:rPr>
        <w:t xml:space="preserve">Spis tabel</w:t>
      </w:r>
    </w:p>
    <w:p>
      <w:pPr>
        <w:spacing w:line="360" w:before="60" w:after="120"/>
        <w:jc w:val="both"/>
      </w:pPr>
      <w:r>
        <w:rPr>
          <w:rFonts w:ascii="Times New Roman" w:cs="Times New Roman" w:eastAsia="Times New Roman" w:hAnsi="Times New Roman"/>
          <w:b w:val="false"/>
          <w:bCs w:val="false"/>
          <w:i w:val="false"/>
          <w:iCs w:val="false"/>
          <w:color w:val="000000"/>
          <w:sz w:val="24"/>
          <w:szCs w:val="24"/>
        </w:rPr>
        <w:t xml:space="preserve">Tabela 3.1. Liczba próbek w zbiorze testowym dla poszczególnych klas.</w:t>
      </w:r>
    </w:p>
    <w:p>
      <w:pPr>
        <w:spacing w:line="360" w:before="60" w:after="120"/>
        <w:jc w:val="both"/>
      </w:pPr>
      <w:r>
        <w:rPr>
          <w:rFonts w:ascii="Times New Roman" w:cs="Times New Roman" w:eastAsia="Times New Roman" w:hAnsi="Times New Roman"/>
          <w:b w:val="false"/>
          <w:bCs w:val="false"/>
          <w:i w:val="false"/>
          <w:iCs w:val="false"/>
          <w:color w:val="000000"/>
          <w:sz w:val="24"/>
          <w:szCs w:val="24"/>
        </w:rPr>
        <w:t xml:space="preserve">Tabela 4.1. Podsumowanie parametrów i wyników procesu treningu dla wszystkich modeli.</w:t>
      </w:r>
    </w:p>
    <w:p>
      <w:pPr>
        <w:spacing w:line="360" w:before="60" w:after="120"/>
        <w:jc w:val="both"/>
      </w:pPr>
      <w:r>
        <w:rPr>
          <w:rFonts w:ascii="Times New Roman" w:cs="Times New Roman" w:eastAsia="Times New Roman" w:hAnsi="Times New Roman"/>
          <w:b w:val="false"/>
          <w:bCs w:val="false"/>
          <w:i w:val="false"/>
          <w:iCs w:val="false"/>
          <w:color w:val="000000"/>
          <w:sz w:val="24"/>
          <w:szCs w:val="24"/>
        </w:rPr>
        <w:t xml:space="preserve">Tabela 5.1. Wyniki zbiorcze modeli na zbiorze testowym (3 674 próbki).</w:t>
      </w:r>
    </w:p>
    <w:p>
      <w:pPr>
        <w:spacing w:line="360" w:before="60" w:after="120"/>
        <w:jc w:val="both"/>
      </w:pPr>
      <w:r>
        <w:rPr>
          <w:rFonts w:ascii="Times New Roman" w:cs="Times New Roman" w:eastAsia="Times New Roman" w:hAnsi="Times New Roman"/>
          <w:b w:val="false"/>
          <w:bCs w:val="false"/>
          <w:i w:val="false"/>
          <w:iCs w:val="false"/>
          <w:color w:val="000000"/>
          <w:sz w:val="24"/>
          <w:szCs w:val="24"/>
        </w:rPr>
        <w:t xml:space="preserve">Tabela 5.2. Raport klasyfikacji – Custom CNN (dokładność: 62%).</w:t>
      </w:r>
    </w:p>
    <w:p>
      <w:pPr>
        <w:spacing w:line="360" w:before="60" w:after="120"/>
        <w:jc w:val="both"/>
      </w:pPr>
      <w:r>
        <w:rPr>
          <w:rFonts w:ascii="Times New Roman" w:cs="Times New Roman" w:eastAsia="Times New Roman" w:hAnsi="Times New Roman"/>
          <w:b w:val="false"/>
          <w:bCs w:val="false"/>
          <w:i w:val="false"/>
          <w:iCs w:val="false"/>
          <w:color w:val="000000"/>
          <w:sz w:val="24"/>
          <w:szCs w:val="24"/>
        </w:rPr>
        <w:t xml:space="preserve">Tabela 5.3. Raport klasyfikacji – MobileNetV3 (dokładność: 84%).</w:t>
      </w:r>
    </w:p>
    <w:p>
      <w:pPr>
        <w:spacing w:line="360" w:before="60" w:after="120"/>
        <w:jc w:val="both"/>
      </w:pPr>
      <w:r>
        <w:rPr>
          <w:rFonts w:ascii="Times New Roman" w:cs="Times New Roman" w:eastAsia="Times New Roman" w:hAnsi="Times New Roman"/>
          <w:b w:val="false"/>
          <w:bCs w:val="false"/>
          <w:i w:val="false"/>
          <w:iCs w:val="false"/>
          <w:color w:val="000000"/>
          <w:sz w:val="24"/>
          <w:szCs w:val="24"/>
        </w:rPr>
        <w:t xml:space="preserve">Tabela 5.4. Raport klasyfikacji – ResNet-50 (dokładność: 84%).</w:t>
      </w:r>
    </w:p>
    <w:p>
      <w:pPr>
        <w:spacing w:line="360" w:before="60" w:after="120"/>
        <w:jc w:val="both"/>
      </w:pPr>
      <w:r>
        <w:rPr>
          <w:rFonts w:ascii="Times New Roman" w:cs="Times New Roman" w:eastAsia="Times New Roman" w:hAnsi="Times New Roman"/>
          <w:b w:val="false"/>
          <w:bCs w:val="false"/>
          <w:i w:val="false"/>
          <w:iCs w:val="false"/>
          <w:color w:val="000000"/>
          <w:sz w:val="24"/>
          <w:szCs w:val="24"/>
        </w:rPr>
        <w:t xml:space="preserve">Tabela 5.5. Raport klasyfikacji – ViT-B/16 (dokładność: 87%).</w:t>
      </w:r>
    </w:p>
    <w:p>
      <w:pPr>
        <w:spacing w:line="360" w:before="60" w:after="120"/>
        <w:jc w:val="both"/>
      </w:pPr>
      <w:r>
        <w:rPr>
          <w:rFonts w:ascii="Times New Roman" w:cs="Times New Roman" w:eastAsia="Times New Roman" w:hAnsi="Times New Roman"/>
          <w:b w:val="false"/>
          <w:bCs w:val="false"/>
          <w:i w:val="false"/>
          <w:iCs w:val="false"/>
          <w:color w:val="000000"/>
          <w:sz w:val="24"/>
          <w:szCs w:val="24"/>
        </w:rPr>
        <w:t xml:space="preserve">Tabela 5.6. Raport klasyfikacji – EfficientNet-B0 (dokładność: 88%).</w:t>
      </w:r>
    </w:p>
    <w:p>
      <w:pPr>
        <w:spacing w:line="360" w:before="60" w:after="120"/>
        <w:jc w:val="both"/>
      </w:pPr>
      <w:r>
        <w:rPr>
          <w:rFonts w:ascii="Times New Roman" w:cs="Times New Roman" w:eastAsia="Times New Roman" w:hAnsi="Times New Roman"/>
          <w:b w:val="false"/>
          <w:bCs w:val="false"/>
          <w:i w:val="false"/>
          <w:iCs w:val="false"/>
          <w:color w:val="000000"/>
          <w:sz w:val="24"/>
          <w:szCs w:val="24"/>
        </w:rPr>
        <w:t xml:space="preserve">Tabela 5.7. Wyniki testu odporności na zakłócenia obrazu.</w:t>
      </w:r>
    </w:p>
    <w:p>
      <w:pPr>
        <w:spacing w:line="360"/>
      </w:pPr>
      <w:r>
        <w:t xml:space="preserve"/>
      </w:r>
    </w:p>
    <w:p>
      <w:r>
        <w:br w:type="page"/>
      </w:r>
    </w:p>
    <w:p>
      <w:pPr>
        <w:spacing w:line="360" w:before="0" w:after="360"/>
        <w:jc w:val="center"/>
      </w:pPr>
      <w:r>
        <w:rPr>
          <w:rFonts w:ascii="Times New Roman" w:cs="Times New Roman" w:eastAsia="Times New Roman" w:hAnsi="Times New Roman"/>
          <w:b/>
          <w:bCs/>
          <w:i w:val="false"/>
          <w:iCs w:val="false"/>
          <w:color w:val="000000"/>
          <w:sz w:val="28"/>
          <w:szCs w:val="28"/>
        </w:rPr>
        <w:t xml:space="preserve">Bibliografia</w:t>
      </w:r>
    </w:p>
    <w:p>
      <w:pPr>
        <w:spacing w:line="320" w:before="80" w:after="80"/>
        <w:ind w:left="720" w:hanging="720"/>
      </w:pPr>
      <w:r>
        <w:rPr>
          <w:rFonts w:ascii="Times New Roman" w:cs="Times New Roman" w:eastAsia="Times New Roman" w:hAnsi="Times New Roman"/>
          <w:sz w:val="22"/>
          <w:szCs w:val="22"/>
        </w:rPr>
        <w:t xml:space="preserve">[1] Tschandl P., Rosendahl C., Kittler H., The HAM10000 dataset, a large collection of multi-source dermatoscopic images of common pigmented skin lesions. Scientific Data, t. 5, nr 1, s. 1–9, 2018. https://doi.org/10.1038/sdata.2018.161</w:t>
      </w:r>
    </w:p>
    <w:p>
      <w:pPr>
        <w:spacing w:line="320" w:before="80" w:after="80"/>
        <w:ind w:left="720" w:hanging="720"/>
      </w:pPr>
      <w:r>
        <w:rPr>
          <w:rFonts w:ascii="Times New Roman" w:cs="Times New Roman" w:eastAsia="Times New Roman" w:hAnsi="Times New Roman"/>
          <w:sz w:val="22"/>
          <w:szCs w:val="22"/>
        </w:rPr>
        <w:t xml:space="preserve">[2] Esteva A., Kuprel B., Novoa R. A., Ko J., Swetter S. M., Blau H. M., Thrun S., Dermatologist-level classification of skin cancer with deep neural networks. Nature, t. 542, nr 7639, s. 115–118, 2017. https://doi.org/10.1038/nature21056</w:t>
      </w:r>
    </w:p>
    <w:p>
      <w:pPr>
        <w:spacing w:line="320" w:before="80" w:after="80"/>
        <w:ind w:left="720" w:hanging="720"/>
      </w:pPr>
      <w:r>
        <w:rPr>
          <w:rFonts w:ascii="Times New Roman" w:cs="Times New Roman" w:eastAsia="Times New Roman" w:hAnsi="Times New Roman"/>
          <w:sz w:val="22"/>
          <w:szCs w:val="22"/>
        </w:rPr>
        <w:t xml:space="preserve">[3] Dosovitskiy A., Beyer L., Kolesnikov A., Weissenborn D., Zhai X., Unterthiner T., Houlsby N., An image is worth 16x16 words: Transformers for image recognition at scale. arXiv preprint arXiv:2010.11929, 2020. https://arxiv.org/abs/2010.11929</w:t>
      </w:r>
    </w:p>
    <w:p>
      <w:pPr>
        <w:spacing w:line="320" w:before="80" w:after="80"/>
        <w:ind w:left="720" w:hanging="720"/>
      </w:pPr>
      <w:r>
        <w:rPr>
          <w:rFonts w:ascii="Times New Roman" w:cs="Times New Roman" w:eastAsia="Times New Roman" w:hAnsi="Times New Roman"/>
          <w:sz w:val="22"/>
          <w:szCs w:val="22"/>
        </w:rPr>
        <w:t xml:space="preserve">[4] He K., Zhang X., Ren S., Sun J., Deep residual learning for image recognition. Proceedings of the IEEE Conference on Computer Vision and Pattern Recognition (CVPR), s. 770–778, 2016. https://doi.org/10.1109/CVPR.2016.90</w:t>
      </w:r>
    </w:p>
    <w:p>
      <w:pPr>
        <w:spacing w:line="320" w:before="80" w:after="80"/>
        <w:ind w:left="720" w:hanging="720"/>
      </w:pPr>
      <w:r>
        <w:rPr>
          <w:rFonts w:ascii="Times New Roman" w:cs="Times New Roman" w:eastAsia="Times New Roman" w:hAnsi="Times New Roman"/>
          <w:sz w:val="22"/>
          <w:szCs w:val="22"/>
        </w:rPr>
        <w:t xml:space="preserve">[5] Howard A., Sandler M., Chu G., Chen L.-C., Chen B., Tan M., Adam H., Searching for MobileNetV3. Proceedings of the IEEE/CVF International Conference on Computer Vision (ICCV), s. 1314–1324, 2019. https://arxiv.org/abs/1905.02244</w:t>
      </w:r>
    </w:p>
    <w:p>
      <w:pPr>
        <w:spacing w:line="320" w:before="80" w:after="80"/>
        <w:ind w:left="720" w:hanging="720"/>
      </w:pPr>
      <w:r>
        <w:rPr>
          <w:rFonts w:ascii="Times New Roman" w:cs="Times New Roman" w:eastAsia="Times New Roman" w:hAnsi="Times New Roman"/>
          <w:sz w:val="22"/>
          <w:szCs w:val="22"/>
        </w:rPr>
        <w:t xml:space="preserve">[6] Tan M., Le Q., EfficientNet: Rethinking model scaling for convolutional neural networks. Proceedings of the 36th International Conference on Machine Learning (ICML), s. 6105–6114, 2019. https://arxiv.org/abs/1905.11946</w:t>
      </w:r>
    </w:p>
    <w:p>
      <w:pPr>
        <w:spacing w:line="320" w:before="80" w:after="80"/>
        <w:ind w:left="720" w:hanging="720"/>
      </w:pPr>
      <w:r>
        <w:rPr>
          <w:rFonts w:ascii="Times New Roman" w:cs="Times New Roman" w:eastAsia="Times New Roman" w:hAnsi="Times New Roman"/>
          <w:sz w:val="22"/>
          <w:szCs w:val="22"/>
        </w:rPr>
        <w:t xml:space="preserve">[7] Selvaraju R. R., Cogswell M., Das A., Vedantam R., Parikh D., Batra D., Grad-CAM: Visual explanations from deep networks via gradient-based localization. Proceedings of the IEEE International Conference on Computer Vision (ICCV), s. 618–626, 2017. https://doi.org/10.1109/ICCV.2017.74</w:t>
      </w:r>
    </w:p>
    <w:p>
      <w:pPr>
        <w:spacing w:line="320" w:before="80" w:after="80"/>
        <w:ind w:left="720" w:hanging="720"/>
      </w:pPr>
      <w:r>
        <w:rPr>
          <w:rFonts w:ascii="Times New Roman" w:cs="Times New Roman" w:eastAsia="Times New Roman" w:hAnsi="Times New Roman"/>
          <w:sz w:val="22"/>
          <w:szCs w:val="22"/>
        </w:rPr>
        <w:t xml:space="preserve">[8] Ali S. N., Ahmed M. T., Paul J., Jahan T., Sani S. M. S., Noor N., Hasan T., A web-based mpox skin lesion detection system using state-of-the-art deep learning models considering racial diversity. arXiv preprint arXiv:2306.14169, 2023. https://arxiv.org/abs/2306.14169</w:t>
      </w:r>
    </w:p>
    <w:p>
      <w:pPr>
        <w:spacing w:line="320" w:before="80" w:after="80"/>
        <w:ind w:left="720" w:hanging="720"/>
      </w:pPr>
      <w:r>
        <w:rPr>
          <w:rFonts w:ascii="Times New Roman" w:cs="Times New Roman" w:eastAsia="Times New Roman" w:hAnsi="Times New Roman"/>
          <w:sz w:val="22"/>
          <w:szCs w:val="22"/>
        </w:rPr>
        <w:t xml:space="preserve">[9] LeCun Y., Bengio Y., Hinton G., Deep learning. Nature, t. 521, nr 7553, s. 436–444, 2015. https://doi.org/10.1038/nature14539</w:t>
      </w:r>
    </w:p>
    <w:p>
      <w:pPr>
        <w:spacing w:line="320" w:before="80" w:after="80"/>
        <w:ind w:left="720" w:hanging="720"/>
      </w:pPr>
      <w:r>
        <w:rPr>
          <w:rFonts w:ascii="Times New Roman" w:cs="Times New Roman" w:eastAsia="Times New Roman" w:hAnsi="Times New Roman"/>
          <w:sz w:val="22"/>
          <w:szCs w:val="22"/>
        </w:rPr>
        <w:t xml:space="preserve">[10] Shorten C., Khoshgoftaar T. M., A survey on image data augmentation for deep learning. Journal of Big Data, t. 6, nr 1, s. 1–48, 2019. https://doi.org/10.1186/s40537-019-0197-0</w:t>
      </w:r>
    </w:p>
    <w:sectPr>
      <w:headerReference w:type="default" r:id="rId6"/>
      <w:footerReference w:type="default" r:id="rId7"/>
      <w:pgSz w:w="11906" w:h="16838" w:orient="portrait"/>
      <w:pgMar w:top="1417" w:right="1417" w:bottom="1417"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1"/>
      </w:pBdr>
      <w:jc w:val="center"/>
    </w:pPr>
    <w:r>
      <w:rPr>
        <w:rFonts w:ascii="Times New Roman" w:cs="Times New Roman" w:eastAsia="Times New Roman" w:hAnsi="Times New Roman"/>
        <w:sz w:val="20"/>
        <w:szCs w:val="20"/>
      </w:rPr>
      <w:t xml:space="preserve">– </w:t>
    </w:r>
    <w:fldSimple w:instr="PAGE">
      <w:r/>
    </w:fldSimple>
    <w:r>
      <w:rPr>
        <w:rFonts w:ascii="Times New Roman" w:cs="Times New Roman" w:eastAsia="Times New Roman" w:hAnsi="Times New Roman"/>
        <w:sz w:val="20"/>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399" w:sz="6" w:space="1"/>
      </w:pBdr>
      <w:jc w:val="right"/>
    </w:pPr>
    <w:r>
      <w:rPr>
        <w:rFonts w:ascii="Times New Roman" w:cs="Times New Roman" w:eastAsia="Times New Roman" w:hAnsi="Times New Roman"/>
        <w:i/>
        <w:iCs/>
        <w:sz w:val="20"/>
        <w:szCs w:val="20"/>
      </w:rPr>
      <w:t xml:space="preserve">System do analizy zdjęć dermatologicznych z użyciem modeli CNN i Transformera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line="36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before="360" w:after="18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before="240" w:after="12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2026-03-16T17:01:56.755Z</dcterms:created>
  <dcterms:modified xsi:type="dcterms:W3CDTF">2026-03-16T17:01:56.756Z</dcterms:modified>
</cp:coreProperties>
</file>

<file path=docProps/custom.xml><?xml version="1.0" encoding="utf-8"?>
<Properties xmlns="http://schemas.openxmlformats.org/officeDocument/2006/custom-properties" xmlns:vt="http://schemas.openxmlformats.org/officeDocument/2006/docPropsVTypes"/>
</file>