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7.svg" ContentType="image/svg"/>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left"/>
        <w:tblInd w:w="108" w:type="dxa"/>
        <w:tblLayout w:type="fixed"/>
        <w:tblCellMar>
          <w:top w:w="0" w:type="dxa"/>
          <w:left w:w="108" w:type="dxa"/>
          <w:bottom w:w="0" w:type="dxa"/>
          <w:right w:w="108" w:type="dxa"/>
        </w:tblCellMar>
        <w:tblLook w:firstRow="1" w:noVBand="1" w:lastRow="0" w:firstColumn="1" w:lastColumn="0" w:noHBand="0" w:val="04a0"/>
      </w:tblPr>
      <w:tblGrid>
        <w:gridCol w:w="9062"/>
      </w:tblGrid>
      <w:tr>
        <w:trPr/>
        <w:tc>
          <w:tcPr>
            <w:tcW w:w="9062" w:type="dxa"/>
            <w:tcBorders>
              <w:top w:val="nil"/>
              <w:left w:val="nil"/>
              <w:bottom w:val="nil"/>
              <w:right w:val="nil"/>
            </w:tcBorders>
          </w:tcPr>
          <w:p>
            <w:pPr>
              <w:pStyle w:val="Normal"/>
              <w:keepLines/>
              <w:widowControl/>
              <w:spacing w:before="0" w:after="0"/>
              <w:jc w:val="center"/>
              <w:rPr>
                <w:rFonts w:eastAsia="Times New Roman"/>
                <w:sz w:val="32"/>
                <w:szCs w:val="32"/>
                <w:lang w:eastAsia="pl-PL"/>
              </w:rPr>
            </w:pPr>
            <w:r>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left w:val="nil"/>
              <w:bottom w:val="nil"/>
              <w:right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INŻYNIERIA OPROGRAMOWANIA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Dr. Marcin Bernaś</w:t>
      </w:r>
    </w:p>
    <w:p>
      <w:pPr>
        <w:pStyle w:val="Normal"/>
        <w:keepLines/>
        <w:spacing w:lineRule="auto" w:line="240"/>
        <w:ind w:hanging="4963" w:lef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r>
            <w:fldChar w:fldCharType="begin"/>
          </w:r>
          <w:r>
            <w:rPr>
              <w:rStyle w:val="czeindeksu"/>
              <w:vanish w:val="false"/>
              <w:webHidden/>
            </w:rPr>
            <w:instrText xml:space="preserve"> TOC \z \o "1-3" \u \h</w:instrText>
          </w:r>
          <w:r>
            <w:rPr>
              <w:rStyle w:val="czeindeksu"/>
              <w:vanish w:val="false"/>
              <w:webHidden/>
            </w:rPr>
            <w:fldChar w:fldCharType="separate"/>
          </w:r>
          <w:hyperlink w:anchor="_Toc225177298">
            <w:r>
              <w:rPr>
                <w:rStyle w:val="czeindeksu"/>
                <w:vanish w:val="false"/>
                <w:webHidden/>
              </w:rPr>
              <w:t>Wykaz skrótów i oznaczeń</w:t>
            </w:r>
            <w:r>
              <w:rPr>
                <w:webHidden/>
              </w:rPr>
              <w:fldChar w:fldCharType="begin"/>
            </w:r>
            <w:r>
              <w:rPr>
                <w:webHidden/>
              </w:rPr>
              <w:instrText xml:space="preserve">PAGEREF _Toc225177298 \h</w:instrText>
            </w:r>
            <w:r>
              <w:rPr>
                <w:webHidden/>
              </w:rPr>
              <w:fldChar w:fldCharType="separate"/>
            </w:r>
            <w:r>
              <w:rPr>
                <w:rStyle w:val="czeindeksu"/>
                <w:vanish w:val="false"/>
              </w:rPr>
              <w:tab/>
              <w:t>5</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299">
            <w:r>
              <w:rPr>
                <w:webHidden/>
              </w:rPr>
              <w:fldChar w:fldCharType="begin"/>
            </w:r>
            <w:r>
              <w:rPr>
                <w:webHidden/>
              </w:rPr>
              <w:instrText xml:space="preserve">PAGEREF _Toc225177299 \h</w:instrText>
            </w:r>
            <w:r>
              <w:rPr>
                <w:webHidden/>
              </w:rPr>
              <w:fldChar w:fldCharType="separate"/>
            </w:r>
            <w:r>
              <w:rPr>
                <w:rStyle w:val="czeindeksu"/>
                <w:vanish w:val="false"/>
                <w:webHidden/>
              </w:rPr>
              <w:t>Wstęp</w:t>
              <w:tab/>
              <w:t>7</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300">
            <w:r>
              <w:rPr>
                <w:webHidden/>
              </w:rPr>
              <w:fldChar w:fldCharType="begin"/>
            </w:r>
            <w:r>
              <w:rPr>
                <w:webHidden/>
              </w:rPr>
              <w:instrText xml:space="preserve">PAGEREF _Toc225177300 \h</w:instrText>
            </w:r>
            <w:r>
              <w:rPr>
                <w:webHidden/>
              </w:rPr>
              <w:fldChar w:fldCharType="separate"/>
            </w:r>
            <w:r>
              <w:rPr>
                <w:rStyle w:val="czeindeksu"/>
                <w:vanish w:val="false"/>
                <w:webHidden/>
              </w:rPr>
              <w:t>Cel i zakres pracy</w:t>
              <w:tab/>
              <w:t>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01">
            <w:r>
              <w:rPr>
                <w:rStyle w:val="czeindeksu"/>
                <w:vanish w:val="false"/>
                <w:webHidden/>
              </w:rPr>
              <w:t>1.</w:t>
            </w:r>
            <w:r>
              <w:rPr>
                <w:rStyle w:val="czeindeksu"/>
                <w:rFonts w:eastAsia="" w:ascii="Calibri" w:hAnsi="Calibri" w:asciiTheme="minorHAnsi" w:eastAsiaTheme="minorEastAsia" w:hAnsiTheme="minorHAnsi"/>
                <w:b w:val="false"/>
                <w:color w:val="auto"/>
                <w:szCs w:val="24"/>
                <w:lang w:eastAsia="pl-PL"/>
              </w:rPr>
              <w:tab/>
            </w:r>
            <w:r>
              <w:rPr>
                <w:rStyle w:val="czeindeksu"/>
              </w:rPr>
              <w:t>Gry</w:t>
            </w:r>
            <w:r>
              <w:rPr>
                <w:webHidden/>
              </w:rPr>
              <w:fldChar w:fldCharType="begin"/>
            </w:r>
            <w:r>
              <w:rPr>
                <w:webHidden/>
              </w:rPr>
              <w:instrText xml:space="preserve">PAGEREF _Toc225177301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2">
            <w:r>
              <w:rPr>
                <w:rStyle w:val="czeindeksu"/>
                <w:vanish w:val="false"/>
                <w:webHidden/>
              </w:rPr>
              <w:t>1.1</w:t>
            </w:r>
            <w:r>
              <w:rPr>
                <w:rStyle w:val="czeindeksu"/>
                <w:rFonts w:eastAsia="" w:ascii="Calibri" w:hAnsi="Calibri" w:asciiTheme="minorHAnsi" w:eastAsiaTheme="minorEastAsia" w:hAnsiTheme="minorHAnsi"/>
                <w:color w:val="auto"/>
                <w:szCs w:val="24"/>
                <w:lang w:eastAsia="pl-PL"/>
              </w:rPr>
              <w:tab/>
            </w:r>
            <w:r>
              <w:rPr>
                <w:rStyle w:val="czeindeksu"/>
              </w:rPr>
              <w:t>Historia gier</w:t>
            </w:r>
            <w:r>
              <w:rPr>
                <w:webHidden/>
              </w:rPr>
              <w:fldChar w:fldCharType="begin"/>
            </w:r>
            <w:r>
              <w:rPr>
                <w:webHidden/>
              </w:rPr>
              <w:instrText xml:space="preserve">PAGEREF _Toc225177302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3">
            <w:r>
              <w:rPr>
                <w:rStyle w:val="czeindeksu"/>
                <w:vanish w:val="false"/>
                <w:webHidden/>
              </w:rPr>
              <w:t>1.2</w:t>
            </w:r>
            <w:r>
              <w:rPr>
                <w:rStyle w:val="czeindeksu"/>
                <w:rFonts w:eastAsia="" w:ascii="Calibri" w:hAnsi="Calibri" w:asciiTheme="minorHAnsi" w:eastAsiaTheme="minorEastAsia" w:hAnsiTheme="minorHAnsi"/>
                <w:color w:val="auto"/>
                <w:szCs w:val="24"/>
                <w:lang w:eastAsia="pl-PL"/>
              </w:rPr>
              <w:tab/>
            </w:r>
            <w:r>
              <w:rPr>
                <w:rStyle w:val="czeindeksu"/>
              </w:rPr>
              <w:t>Gry wieloosobowe</w:t>
            </w:r>
            <w:r>
              <w:rPr>
                <w:webHidden/>
              </w:rPr>
              <w:fldChar w:fldCharType="begin"/>
            </w:r>
            <w:r>
              <w:rPr>
                <w:webHidden/>
              </w:rPr>
              <w:instrText xml:space="preserve">PAGEREF _Toc225177303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4">
            <w:r>
              <w:rPr>
                <w:rStyle w:val="czeindeksu"/>
                <w:vanish w:val="false"/>
                <w:webHidden/>
              </w:rPr>
              <w:t>1.3</w:t>
            </w:r>
            <w:r>
              <w:rPr>
                <w:rStyle w:val="czeindeksu"/>
                <w:rFonts w:eastAsia="" w:ascii="Calibri" w:hAnsi="Calibri" w:asciiTheme="minorHAnsi" w:eastAsiaTheme="minorEastAsia" w:hAnsiTheme="minorHAnsi"/>
                <w:color w:val="auto"/>
                <w:szCs w:val="24"/>
                <w:lang w:eastAsia="pl-PL"/>
              </w:rPr>
              <w:tab/>
            </w:r>
            <w:r>
              <w:rPr>
                <w:rStyle w:val="czeindeksu"/>
              </w:rPr>
              <w:t>Strategia czasu rzeczywistego</w:t>
            </w:r>
            <w:r>
              <w:rPr>
                <w:webHidden/>
              </w:rPr>
              <w:fldChar w:fldCharType="begin"/>
            </w:r>
            <w:r>
              <w:rPr>
                <w:webHidden/>
              </w:rPr>
              <w:instrText xml:space="preserve">PAGEREF _Toc225177304 \h</w:instrText>
            </w:r>
            <w:r>
              <w:rPr>
                <w:webHidden/>
              </w:rPr>
              <w:fldChar w:fldCharType="separate"/>
            </w:r>
            <w:r>
              <w:rPr>
                <w:rStyle w:val="czeindeksu"/>
                <w:vanish w:val="false"/>
              </w:rPr>
              <w:tab/>
              <w:t>12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5">
            <w:r>
              <w:rPr>
                <w:rStyle w:val="czeindeksu"/>
                <w:vanish w:val="false"/>
                <w:webHidden/>
              </w:rPr>
              <w:t>1.4</w:t>
            </w:r>
            <w:r>
              <w:rPr>
                <w:rStyle w:val="czeindeksu"/>
                <w:rFonts w:eastAsia="" w:ascii="Calibri" w:hAnsi="Calibri" w:asciiTheme="minorHAnsi" w:eastAsiaTheme="minorEastAsia" w:hAnsiTheme="minorHAnsi"/>
                <w:color w:val="auto"/>
                <w:szCs w:val="24"/>
                <w:lang w:eastAsia="pl-PL"/>
              </w:rPr>
              <w:tab/>
            </w:r>
            <w:r>
              <w:rPr>
                <w:rStyle w:val="czeindeksu"/>
              </w:rPr>
              <w:t>Przegląd istniejących rozwiązań</w:t>
            </w:r>
            <w:r>
              <w:rPr>
                <w:webHidden/>
              </w:rPr>
              <w:fldChar w:fldCharType="begin"/>
            </w:r>
            <w:r>
              <w:rPr>
                <w:webHidden/>
              </w:rPr>
              <w:instrText xml:space="preserve">PAGEREF _Toc225177305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6">
            <w:r>
              <w:rPr>
                <w:rStyle w:val="czeindeksu"/>
                <w:vanish w:val="false"/>
                <w:webHidden/>
              </w:rPr>
              <w:t>1.4.1</w:t>
            </w:r>
            <w:r>
              <w:rPr>
                <w:rStyle w:val="czeindeksu"/>
                <w:rFonts w:eastAsia="" w:ascii="Calibri" w:hAnsi="Calibri" w:asciiTheme="minorHAnsi" w:eastAsiaTheme="minorEastAsia" w:hAnsiTheme="minorHAnsi"/>
                <w:color w:val="auto"/>
                <w:szCs w:val="24"/>
                <w:lang w:eastAsia="pl-PL"/>
              </w:rPr>
              <w:tab/>
            </w:r>
            <w:r>
              <w:rPr>
                <w:rStyle w:val="czeindeksu"/>
              </w:rPr>
              <w:t>Age of Empires</w:t>
            </w:r>
            <w:r>
              <w:rPr>
                <w:webHidden/>
              </w:rPr>
              <w:fldChar w:fldCharType="begin"/>
            </w:r>
            <w:r>
              <w:rPr>
                <w:webHidden/>
              </w:rPr>
              <w:instrText xml:space="preserve">PAGEREF _Toc225177306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7">
            <w:r>
              <w:rPr>
                <w:rStyle w:val="czeindeksu"/>
                <w:vanish w:val="false"/>
                <w:webHidden/>
                <w:lang w:val="en-US"/>
              </w:rPr>
              <w:t>1.4.2</w:t>
            </w:r>
            <w:r>
              <w:rPr>
                <w:rStyle w:val="czeindeksu"/>
                <w:rFonts w:eastAsia="" w:ascii="Calibri" w:hAnsi="Calibri" w:asciiTheme="minorHAnsi" w:eastAsiaTheme="minorEastAsia" w:hAnsiTheme="minorHAnsi"/>
                <w:color w:val="auto"/>
                <w:szCs w:val="24"/>
                <w:lang w:eastAsia="pl-PL"/>
              </w:rPr>
              <w:tab/>
            </w:r>
            <w:r>
              <w:rPr>
                <w:rStyle w:val="czeindeksu"/>
                <w:lang w:val="en-US"/>
              </w:rPr>
              <w:t>Starcraft 2</w:t>
            </w:r>
            <w:r>
              <w:rPr>
                <w:webHidden/>
              </w:rPr>
              <w:fldChar w:fldCharType="begin"/>
            </w:r>
            <w:r>
              <w:rPr>
                <w:webHidden/>
              </w:rPr>
              <w:instrText xml:space="preserve">PAGEREF _Toc225177307 \h</w:instrText>
            </w:r>
            <w:r>
              <w:rPr>
                <w:webHidden/>
              </w:rPr>
              <w:fldChar w:fldCharType="separate"/>
            </w:r>
            <w:r>
              <w:rPr>
                <w:rStyle w:val="czeindeksu"/>
                <w:vanish w:val="false"/>
              </w:rPr>
              <w:tab/>
              <w:t>14</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8">
            <w:r>
              <w:rPr>
                <w:rStyle w:val="czeindeksu"/>
                <w:vanish w:val="false"/>
                <w:webHidden/>
                <w:lang w:val="en-US"/>
              </w:rPr>
              <w:t>1.4.3</w:t>
            </w:r>
            <w:r>
              <w:rPr>
                <w:rStyle w:val="czeindeksu"/>
                <w:rFonts w:eastAsia="" w:ascii="Calibri" w:hAnsi="Calibri" w:asciiTheme="minorHAnsi" w:eastAsiaTheme="minorEastAsia" w:hAnsiTheme="minorHAnsi"/>
                <w:color w:val="auto"/>
                <w:szCs w:val="24"/>
                <w:lang w:eastAsia="pl-PL"/>
              </w:rPr>
              <w:tab/>
            </w:r>
            <w:r>
              <w:rPr>
                <w:rStyle w:val="czeindeksu"/>
                <w:lang w:val="en-US"/>
              </w:rPr>
              <w:t>Twierdza legenda</w:t>
            </w:r>
            <w:r>
              <w:rPr>
                <w:webHidden/>
              </w:rPr>
              <w:fldChar w:fldCharType="begin"/>
            </w:r>
            <w:r>
              <w:rPr>
                <w:webHidden/>
              </w:rPr>
              <w:instrText xml:space="preserve">PAGEREF _Toc225177308 \h</w:instrText>
            </w:r>
            <w:r>
              <w:rPr>
                <w:webHidden/>
              </w:rPr>
              <w:fldChar w:fldCharType="separate"/>
            </w:r>
            <w:r>
              <w:rPr>
                <w:rStyle w:val="czeindeksu"/>
                <w:vanish w:val="false"/>
              </w:rPr>
              <w:tab/>
              <w:t>15</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9">
            <w:r>
              <w:rPr>
                <w:rStyle w:val="czeindeksu"/>
                <w:vanish w:val="false"/>
                <w:webHidden/>
              </w:rPr>
              <w:t>1.5</w:t>
            </w:r>
            <w:r>
              <w:rPr>
                <w:rStyle w:val="czeindeksu"/>
                <w:rFonts w:eastAsia="" w:ascii="Calibri" w:hAnsi="Calibri" w:asciiTheme="minorHAnsi" w:eastAsiaTheme="minorEastAsia" w:hAnsiTheme="minorHAnsi"/>
                <w:color w:val="auto"/>
                <w:szCs w:val="24"/>
                <w:lang w:eastAsia="pl-PL"/>
              </w:rPr>
              <w:tab/>
            </w:r>
            <w:r>
              <w:rPr>
                <w:rStyle w:val="czeindeksu"/>
              </w:rPr>
              <w:t>Technologie realizacji projektu</w:t>
            </w:r>
            <w:r>
              <w:rPr>
                <w:webHidden/>
              </w:rPr>
              <w:fldChar w:fldCharType="begin"/>
            </w:r>
            <w:r>
              <w:rPr>
                <w:webHidden/>
              </w:rPr>
              <w:instrText xml:space="preserve">PAGEREF _Toc225177309 \h</w:instrText>
            </w:r>
            <w:r>
              <w:rPr>
                <w:webHidden/>
              </w:rPr>
              <w:fldChar w:fldCharType="separate"/>
            </w:r>
            <w:r>
              <w:rPr>
                <w:rStyle w:val="czeindeksu"/>
                <w:vanish w:val="false"/>
              </w:rPr>
              <w:tab/>
              <w:t>16</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10">
            <w:r>
              <w:rPr>
                <w:webHidden/>
              </w:rPr>
              <w:fldChar w:fldCharType="begin"/>
            </w:r>
            <w:r>
              <w:rPr>
                <w:webHidden/>
              </w:rPr>
              <w:instrText xml:space="preserve">PAGEREF _Toc225177310 \h</w:instrText>
            </w:r>
            <w:r>
              <w:rPr>
                <w:webHidden/>
              </w:rPr>
              <w:fldChar w:fldCharType="separate"/>
            </w:r>
            <w:r>
              <w:rPr>
                <w:rStyle w:val="czeindeksu"/>
                <w:vanish w:val="false"/>
                <w:webHidden/>
              </w:rPr>
              <w:t>1.5.1 Unity</w:t>
              <w:tab/>
              <w:t>17</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1">
            <w:r>
              <w:rPr>
                <w:rStyle w:val="czeindeksu"/>
                <w:vanish w:val="false"/>
                <w:webHidden/>
              </w:rPr>
              <w:t>1.5.2</w:t>
            </w:r>
            <w:r>
              <w:rPr>
                <w:rStyle w:val="czeindeksu"/>
                <w:rFonts w:eastAsia="" w:ascii="Calibri" w:hAnsi="Calibri" w:asciiTheme="minorHAnsi" w:eastAsiaTheme="minorEastAsia" w:hAnsiTheme="minorHAnsi"/>
                <w:color w:val="auto"/>
                <w:szCs w:val="24"/>
                <w:lang w:eastAsia="pl-PL"/>
              </w:rPr>
              <w:tab/>
            </w:r>
            <w:r>
              <w:rPr>
                <w:rStyle w:val="czeindeksu"/>
              </w:rPr>
              <w:t>Unity lobby</w:t>
            </w:r>
            <w:r>
              <w:rPr>
                <w:webHidden/>
              </w:rPr>
              <w:fldChar w:fldCharType="begin"/>
            </w:r>
            <w:r>
              <w:rPr>
                <w:webHidden/>
              </w:rPr>
              <w:instrText xml:space="preserve">PAGEREF _Toc225177311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2">
            <w:r>
              <w:rPr>
                <w:rStyle w:val="czeindeksu"/>
                <w:vanish w:val="false"/>
                <w:webHidden/>
              </w:rPr>
              <w:t>1.5.3</w:t>
            </w:r>
            <w:r>
              <w:rPr>
                <w:rStyle w:val="czeindeksu"/>
                <w:rFonts w:eastAsia="" w:ascii="Calibri" w:hAnsi="Calibri" w:asciiTheme="minorHAnsi" w:eastAsiaTheme="minorEastAsia" w:hAnsiTheme="minorHAnsi"/>
                <w:color w:val="auto"/>
                <w:szCs w:val="24"/>
                <w:lang w:eastAsia="pl-PL"/>
              </w:rPr>
              <w:tab/>
            </w:r>
            <w:r>
              <w:rPr>
                <w:rStyle w:val="czeindeksu"/>
              </w:rPr>
              <w:t>Unity Relay</w:t>
            </w:r>
            <w:r>
              <w:rPr>
                <w:webHidden/>
              </w:rPr>
              <w:fldChar w:fldCharType="begin"/>
            </w:r>
            <w:r>
              <w:rPr>
                <w:webHidden/>
              </w:rPr>
              <w:instrText xml:space="preserve">PAGEREF _Toc225177312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3">
            <w:r>
              <w:rPr>
                <w:rStyle w:val="czeindeksu"/>
                <w:vanish w:val="false"/>
                <w:webHidden/>
              </w:rPr>
              <w:t>1.5.4</w:t>
            </w:r>
            <w:r>
              <w:rPr>
                <w:rStyle w:val="czeindeksu"/>
                <w:rFonts w:eastAsia="" w:ascii="Calibri" w:hAnsi="Calibri" w:asciiTheme="minorHAnsi" w:eastAsiaTheme="minorEastAsia" w:hAnsiTheme="minorHAnsi"/>
                <w:color w:val="auto"/>
                <w:szCs w:val="24"/>
                <w:lang w:eastAsia="pl-PL"/>
              </w:rPr>
              <w:tab/>
            </w:r>
            <w:r>
              <w:rPr>
                <w:rStyle w:val="czeindeksu"/>
              </w:rPr>
              <w:t>Netcode for game objects</w:t>
            </w:r>
            <w:r>
              <w:rPr>
                <w:webHidden/>
              </w:rPr>
              <w:fldChar w:fldCharType="begin"/>
            </w:r>
            <w:r>
              <w:rPr>
                <w:webHidden/>
              </w:rPr>
              <w:instrText xml:space="preserve">PAGEREF _Toc225177313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4">
            <w:r>
              <w:rPr>
                <w:rStyle w:val="czeindeksu"/>
                <w:vanish w:val="false"/>
                <w:webHidden/>
              </w:rPr>
              <w:t>1.5.5</w:t>
            </w:r>
            <w:r>
              <w:rPr>
                <w:rStyle w:val="czeindeksu"/>
                <w:rFonts w:eastAsia="" w:ascii="Calibri" w:hAnsi="Calibri" w:asciiTheme="minorHAnsi" w:eastAsiaTheme="minorEastAsia" w:hAnsiTheme="minorHAnsi"/>
                <w:color w:val="auto"/>
                <w:szCs w:val="24"/>
                <w:lang w:eastAsia="pl-PL"/>
              </w:rPr>
              <w:tab/>
            </w:r>
            <w:r>
              <w:rPr>
                <w:rStyle w:val="czeindeksu"/>
              </w:rPr>
              <w:t>Visual studio code</w:t>
            </w:r>
            <w:r>
              <w:rPr>
                <w:webHidden/>
              </w:rPr>
              <w:fldChar w:fldCharType="begin"/>
            </w:r>
            <w:r>
              <w:rPr>
                <w:webHidden/>
              </w:rPr>
              <w:instrText xml:space="preserve">PAGEREF _Toc225177314 \h</w:instrText>
            </w:r>
            <w:r>
              <w:rPr>
                <w:webHidden/>
              </w:rPr>
              <w:fldChar w:fldCharType="separate"/>
            </w:r>
            <w:r>
              <w:rPr>
                <w:rStyle w:val="czeindeksu"/>
                <w:vanish w:val="false"/>
              </w:rPr>
              <w:tab/>
              <w:t>19</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15">
            <w:r>
              <w:rPr>
                <w:rStyle w:val="czeindeksu"/>
                <w:vanish w:val="false"/>
                <w:webHidden/>
              </w:rPr>
              <w:t>2.</w:t>
            </w:r>
            <w:r>
              <w:rPr>
                <w:rStyle w:val="czeindeksu"/>
                <w:rFonts w:eastAsia=""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_Toc225177315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6">
            <w:r>
              <w:rPr>
                <w:rStyle w:val="czeindeksu"/>
                <w:vanish w:val="false"/>
                <w:webHidden/>
              </w:rPr>
              <w:t>2.1</w:t>
            </w:r>
            <w:r>
              <w:rPr>
                <w:rStyle w:val="czeindeksu"/>
                <w:rFonts w:eastAsia="" w:ascii="Calibri" w:hAnsi="Calibri" w:asciiTheme="minorHAnsi" w:eastAsiaTheme="minorEastAsia" w:hAnsiTheme="minorHAnsi"/>
                <w:color w:val="auto"/>
                <w:szCs w:val="24"/>
                <w:lang w:eastAsia="pl-PL"/>
              </w:rPr>
              <w:tab/>
            </w:r>
            <w:r>
              <w:rPr>
                <w:rStyle w:val="czeindeksu"/>
              </w:rPr>
              <w:t>Założenia funkcjonalne</w:t>
            </w:r>
            <w:r>
              <w:rPr>
                <w:webHidden/>
              </w:rPr>
              <w:fldChar w:fldCharType="begin"/>
            </w:r>
            <w:r>
              <w:rPr>
                <w:webHidden/>
              </w:rPr>
              <w:instrText xml:space="preserve">PAGEREF _Toc225177316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7">
            <w:r>
              <w:rPr>
                <w:rStyle w:val="czeindeksu"/>
                <w:vanish w:val="false"/>
                <w:webHidden/>
              </w:rPr>
              <w:t>2.2</w:t>
            </w:r>
            <w:r>
              <w:rPr>
                <w:rStyle w:val="czeindeksu"/>
                <w:rFonts w:eastAsia="" w:ascii="Calibri" w:hAnsi="Calibri" w:asciiTheme="minorHAnsi" w:eastAsiaTheme="minorEastAsia" w:hAnsiTheme="minorHAnsi"/>
                <w:color w:val="auto"/>
                <w:szCs w:val="24"/>
                <w:lang w:eastAsia="pl-PL"/>
              </w:rPr>
              <w:tab/>
            </w:r>
            <w:r>
              <w:rPr>
                <w:rStyle w:val="czeindeksu"/>
              </w:rPr>
              <w:t>Model rozrywki</w:t>
            </w:r>
            <w:r>
              <w:rPr>
                <w:webHidden/>
              </w:rPr>
              <w:fldChar w:fldCharType="begin"/>
            </w:r>
            <w:r>
              <w:rPr>
                <w:webHidden/>
              </w:rPr>
              <w:instrText xml:space="preserve">PAGEREF _Toc225177317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8">
            <w:r>
              <w:rPr>
                <w:rStyle w:val="czeindeksu"/>
                <w:vanish w:val="false"/>
                <w:webHidden/>
              </w:rPr>
              <w:t>2.2.1</w:t>
            </w:r>
            <w:r>
              <w:rPr>
                <w:rStyle w:val="czeindeksu"/>
                <w:rFonts w:eastAsia="" w:ascii="Calibri" w:hAnsi="Calibri" w:asciiTheme="minorHAnsi" w:eastAsiaTheme="minorEastAsia" w:hAnsiTheme="minorHAnsi"/>
                <w:color w:val="auto"/>
                <w:szCs w:val="24"/>
                <w:lang w:eastAsia="pl-PL"/>
              </w:rPr>
              <w:tab/>
            </w:r>
            <w:r>
              <w:rPr>
                <w:rStyle w:val="czeindeksu"/>
              </w:rPr>
              <w:t>Geneza</w:t>
            </w:r>
            <w:r>
              <w:rPr>
                <w:webHidden/>
              </w:rPr>
              <w:fldChar w:fldCharType="begin"/>
            </w:r>
            <w:r>
              <w:rPr>
                <w:webHidden/>
              </w:rPr>
              <w:instrText xml:space="preserve">PAGEREF _Toc225177318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9">
            <w:r>
              <w:rPr>
                <w:rStyle w:val="czeindeksu"/>
                <w:vanish w:val="false"/>
                <w:webHidden/>
                <w:lang w:val="en-GB"/>
              </w:rPr>
              <w:t>2.2.2</w:t>
            </w:r>
            <w:r>
              <w:rPr>
                <w:rStyle w:val="czeindeksu"/>
                <w:rFonts w:eastAsia="" w:ascii="Calibri" w:hAnsi="Calibri" w:asciiTheme="minorHAnsi" w:eastAsiaTheme="minorEastAsia" w:hAnsiTheme="minorHAnsi"/>
                <w:color w:val="auto"/>
                <w:szCs w:val="24"/>
                <w:lang w:eastAsia="pl-PL"/>
              </w:rPr>
              <w:tab/>
            </w:r>
            <w:r>
              <w:rPr>
                <w:rStyle w:val="czeindeksu"/>
                <w:lang w:val="en-GB"/>
              </w:rPr>
              <w:t>Surowce</w:t>
            </w:r>
            <w:r>
              <w:rPr>
                <w:webHidden/>
              </w:rPr>
              <w:fldChar w:fldCharType="begin"/>
            </w:r>
            <w:r>
              <w:rPr>
                <w:webHidden/>
              </w:rPr>
              <w:instrText xml:space="preserve">PAGEREF _Toc225177319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0">
            <w:r>
              <w:rPr>
                <w:rStyle w:val="czeindeksu"/>
                <w:vanish w:val="false"/>
                <w:webHidden/>
              </w:rPr>
              <w:t>2.2.3</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_Toc225177320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1">
            <w:r>
              <w:rPr>
                <w:rStyle w:val="czeindeksu"/>
                <w:vanish w:val="false"/>
                <w:webHidden/>
              </w:rPr>
              <w:t>2.2.4</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_Toc225177321 \h</w:instrText>
            </w:r>
            <w:r>
              <w:rPr>
                <w:webHidden/>
              </w:rPr>
              <w:fldChar w:fldCharType="separate"/>
            </w:r>
            <w:r>
              <w:rPr>
                <w:rStyle w:val="czeindeksu"/>
                <w:vanish w:val="false"/>
              </w:rPr>
              <w:tab/>
              <w:t>26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22">
            <w:r>
              <w:rPr>
                <w:rStyle w:val="czeindeksu"/>
                <w:vanish w:val="false"/>
                <w:webHidden/>
              </w:rPr>
              <w:t>3.</w:t>
            </w:r>
            <w:r>
              <w:rPr>
                <w:rStyle w:val="czeindeksu"/>
                <w:rFonts w:eastAsia=""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_Toc225177322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3">
            <w:r>
              <w:rPr>
                <w:rStyle w:val="czeindeksu"/>
                <w:vanish w:val="false"/>
                <w:webHidden/>
              </w:rPr>
              <w:t>3.1</w:t>
            </w:r>
            <w:r>
              <w:rPr>
                <w:rStyle w:val="czeindeksu"/>
                <w:rFonts w:eastAsia="" w:ascii="Calibri" w:hAnsi="Calibri" w:asciiTheme="minorHAnsi" w:eastAsiaTheme="minorEastAsia" w:hAnsiTheme="minorHAnsi"/>
                <w:color w:val="auto"/>
                <w:szCs w:val="24"/>
                <w:lang w:eastAsia="pl-PL"/>
              </w:rPr>
              <w:tab/>
            </w:r>
            <w:r>
              <w:rPr>
                <w:rStyle w:val="czeindeksu"/>
              </w:rPr>
              <w:t>Świat gry</w:t>
            </w:r>
            <w:r>
              <w:rPr>
                <w:webHidden/>
              </w:rPr>
              <w:fldChar w:fldCharType="begin"/>
            </w:r>
            <w:r>
              <w:rPr>
                <w:webHidden/>
              </w:rPr>
              <w:instrText xml:space="preserve">PAGEREF _Toc225177323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4">
            <w:r>
              <w:rPr>
                <w:rStyle w:val="czeindeksu"/>
                <w:vanish w:val="false"/>
                <w:webHidden/>
              </w:rPr>
              <w:t>3.2</w:t>
            </w:r>
            <w:r>
              <w:rPr>
                <w:rStyle w:val="czeindeksu"/>
                <w:rFonts w:eastAsia="" w:ascii="Calibri" w:hAnsi="Calibri" w:asciiTheme="minorHAnsi" w:eastAsiaTheme="minorEastAsia" w:hAnsiTheme="minorHAnsi"/>
                <w:color w:val="auto"/>
                <w:szCs w:val="24"/>
                <w:lang w:eastAsia="pl-PL"/>
              </w:rPr>
              <w:tab/>
            </w:r>
            <w:r>
              <w:rPr>
                <w:rStyle w:val="czeindeksu"/>
              </w:rPr>
              <w:t>Menu główne</w:t>
            </w:r>
            <w:r>
              <w:rPr>
                <w:webHidden/>
              </w:rPr>
              <w:fldChar w:fldCharType="begin"/>
            </w:r>
            <w:r>
              <w:rPr>
                <w:webHidden/>
              </w:rPr>
              <w:instrText xml:space="preserve">PAGEREF _Toc225177324 \h</w:instrText>
            </w:r>
            <w:r>
              <w:rPr>
                <w:webHidden/>
              </w:rPr>
              <w:fldChar w:fldCharType="separate"/>
            </w:r>
            <w:r>
              <w:rPr>
                <w:rStyle w:val="czeindeksu"/>
                <w:vanish w:val="false"/>
              </w:rPr>
              <w:tab/>
              <w:t>29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5">
            <w:r>
              <w:rPr>
                <w:rStyle w:val="czeindeksu"/>
                <w:vanish w:val="false"/>
                <w:webHidden/>
              </w:rPr>
              <w:t>3.3</w:t>
            </w:r>
            <w:r>
              <w:rPr>
                <w:rStyle w:val="czeindeksu"/>
                <w:rFonts w:eastAsia="" w:ascii="Calibri" w:hAnsi="Calibri" w:asciiTheme="minorHAnsi" w:eastAsiaTheme="minorEastAsia" w:hAnsiTheme="minorHAnsi"/>
                <w:color w:val="auto"/>
                <w:szCs w:val="24"/>
                <w:lang w:eastAsia="pl-PL"/>
              </w:rPr>
              <w:tab/>
            </w:r>
            <w:r>
              <w:rPr>
                <w:rStyle w:val="czeindeksu"/>
              </w:rPr>
              <w:t>Lobby</w:t>
            </w:r>
            <w:r>
              <w:rPr>
                <w:webHidden/>
              </w:rPr>
              <w:fldChar w:fldCharType="begin"/>
            </w:r>
            <w:r>
              <w:rPr>
                <w:webHidden/>
              </w:rPr>
              <w:instrText xml:space="preserve">PAGEREF _Toc225177325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6">
            <w:r>
              <w:rPr>
                <w:rStyle w:val="czeindeksu"/>
                <w:vanish w:val="false"/>
                <w:webHidden/>
              </w:rPr>
              <w:t>3.4</w:t>
            </w:r>
            <w:r>
              <w:rPr>
                <w:rStyle w:val="czeindeksu"/>
                <w:rFonts w:eastAsia="" w:ascii="Calibri" w:hAnsi="Calibri" w:asciiTheme="minorHAnsi" w:eastAsiaTheme="minorEastAsia" w:hAnsiTheme="minorHAnsi"/>
                <w:color w:val="auto"/>
                <w:szCs w:val="24"/>
                <w:lang w:eastAsia="pl-PL"/>
              </w:rPr>
              <w:tab/>
            </w:r>
            <w:r>
              <w:rPr>
                <w:rStyle w:val="czeindeksu"/>
              </w:rPr>
              <w:t>Pokój gracza</w:t>
            </w:r>
            <w:r>
              <w:rPr>
                <w:webHidden/>
              </w:rPr>
              <w:fldChar w:fldCharType="begin"/>
            </w:r>
            <w:r>
              <w:rPr>
                <w:webHidden/>
              </w:rPr>
              <w:instrText xml:space="preserve">PAGEREF _Toc225177326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7">
            <w:r>
              <w:rPr>
                <w:rStyle w:val="czeindeksu"/>
                <w:vanish w:val="false"/>
                <w:webHidden/>
              </w:rPr>
              <w:t>3.5</w:t>
            </w:r>
            <w:r>
              <w:rPr>
                <w:rStyle w:val="czeindeksu"/>
                <w:rFonts w:eastAsia="" w:ascii="Calibri" w:hAnsi="Calibri" w:asciiTheme="minorHAnsi" w:eastAsiaTheme="minorEastAsia" w:hAnsiTheme="minorHAnsi"/>
                <w:color w:val="auto"/>
                <w:szCs w:val="24"/>
                <w:lang w:eastAsia="pl-PL"/>
              </w:rPr>
              <w:tab/>
            </w:r>
            <w:r>
              <w:rPr>
                <w:rStyle w:val="czeindeksu"/>
              </w:rPr>
              <w:t>Połączenie z netcode w praktyce</w:t>
            </w:r>
            <w:r>
              <w:rPr>
                <w:webHidden/>
              </w:rPr>
              <w:fldChar w:fldCharType="begin"/>
            </w:r>
            <w:r>
              <w:rPr>
                <w:webHidden/>
              </w:rPr>
              <w:instrText xml:space="preserve">PAGEREF _Toc225177327 \h</w:instrText>
            </w:r>
            <w:r>
              <w:rPr>
                <w:webHidden/>
              </w:rPr>
              <w:fldChar w:fldCharType="separate"/>
            </w:r>
            <w:r>
              <w:rPr>
                <w:rStyle w:val="czeindeksu"/>
                <w:vanish w:val="false"/>
              </w:rPr>
              <w:tab/>
              <w:t>31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8">
            <w:r>
              <w:rPr>
                <w:rStyle w:val="czeindeksu"/>
                <w:vanish w:val="false"/>
                <w:webHidden/>
              </w:rPr>
              <w:t>3.6</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_Toc225177328 \h</w:instrText>
            </w:r>
            <w:r>
              <w:rPr>
                <w:webHidden/>
              </w:rPr>
              <w:fldChar w:fldCharType="separate"/>
            </w:r>
            <w:r>
              <w:rPr>
                <w:rStyle w:val="czeindeksu"/>
                <w:vanish w:val="false"/>
              </w:rPr>
              <w:tab/>
              <w:t>32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9">
            <w:r>
              <w:rPr>
                <w:rStyle w:val="czeindeksu"/>
                <w:vanish w:val="false"/>
                <w:webHidden/>
              </w:rPr>
              <w:t>3.7</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_Toc225177329 \h</w:instrText>
            </w:r>
            <w:r>
              <w:rPr>
                <w:webHidden/>
              </w:rPr>
              <w:fldChar w:fldCharType="separate"/>
            </w:r>
            <w:r>
              <w:rPr>
                <w:rStyle w:val="czeindeksu"/>
                <w:vanish w:val="false"/>
              </w:rPr>
              <w:tab/>
              <w:t>34</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0">
            <w:r>
              <w:rPr>
                <w:rStyle w:val="czeindeksu"/>
                <w:vanish w:val="false"/>
                <w:webHidden/>
              </w:rPr>
              <w:t>3.8</w:t>
            </w:r>
            <w:r>
              <w:rPr>
                <w:rStyle w:val="czeindeksu"/>
                <w:rFonts w:eastAsia="" w:ascii="Calibri" w:hAnsi="Calibri" w:asciiTheme="minorHAnsi" w:eastAsiaTheme="minorEastAsia" w:hAnsiTheme="minorHAnsi"/>
                <w:color w:val="auto"/>
                <w:szCs w:val="24"/>
                <w:lang w:eastAsia="pl-PL"/>
              </w:rPr>
              <w:tab/>
            </w:r>
            <w:r>
              <w:rPr>
                <w:rStyle w:val="czeindeksu"/>
              </w:rPr>
              <w:t>Mgła wojny</w:t>
            </w:r>
            <w:r>
              <w:rPr>
                <w:webHidden/>
              </w:rPr>
              <w:fldChar w:fldCharType="begin"/>
            </w:r>
            <w:r>
              <w:rPr>
                <w:webHidden/>
              </w:rPr>
              <w:instrText xml:space="preserve">PAGEREF _Toc225177330 \h</w:instrText>
            </w:r>
            <w:r>
              <w:rPr>
                <w:webHidden/>
              </w:rPr>
              <w:fldChar w:fldCharType="separate"/>
            </w:r>
            <w:r>
              <w:rPr>
                <w:rStyle w:val="czeindeksu"/>
                <w:vanish w:val="false"/>
              </w:rPr>
              <w:tab/>
              <w:t>37</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1">
            <w:r>
              <w:rPr>
                <w:rStyle w:val="czeindeksu"/>
                <w:vanish w:val="false"/>
                <w:webHidden/>
              </w:rPr>
              <w:t>3.9</w:t>
            </w:r>
            <w:r>
              <w:rPr>
                <w:rStyle w:val="czeindeksu"/>
                <w:rFonts w:eastAsia="" w:ascii="Calibri" w:hAnsi="Calibri" w:asciiTheme="minorHAnsi" w:eastAsiaTheme="minorEastAsia" w:hAnsiTheme="minorHAnsi"/>
                <w:color w:val="auto"/>
                <w:szCs w:val="24"/>
                <w:lang w:eastAsia="pl-PL"/>
              </w:rPr>
              <w:tab/>
            </w:r>
            <w:r>
              <w:rPr>
                <w:rStyle w:val="czeindeksu"/>
              </w:rPr>
              <w:t>Poziomy gracza i jednostek</w:t>
            </w:r>
            <w:r>
              <w:rPr>
                <w:webHidden/>
              </w:rPr>
              <w:fldChar w:fldCharType="begin"/>
            </w:r>
            <w:r>
              <w:rPr>
                <w:webHidden/>
              </w:rPr>
              <w:instrText xml:space="preserve">PAGEREF _Toc225177331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2">
            <w:r>
              <w:rPr>
                <w:rStyle w:val="czeindeksu"/>
                <w:vanish w:val="false"/>
                <w:webHidden/>
              </w:rPr>
              <w:t>3.10</w:t>
            </w:r>
            <w:r>
              <w:rPr>
                <w:rStyle w:val="czeindeksu"/>
                <w:rFonts w:eastAsia="" w:ascii="Calibri" w:hAnsi="Calibri" w:asciiTheme="minorHAnsi" w:eastAsiaTheme="minorEastAsia" w:hAnsiTheme="minorHAnsi"/>
                <w:color w:val="auto"/>
                <w:szCs w:val="24"/>
                <w:lang w:eastAsia="pl-PL"/>
              </w:rPr>
              <w:tab/>
            </w:r>
            <w:r>
              <w:rPr>
                <w:rStyle w:val="czeindeksu"/>
              </w:rPr>
              <w:t>Drzewko rozwoju</w:t>
            </w:r>
            <w:r>
              <w:rPr>
                <w:webHidden/>
              </w:rPr>
              <w:fldChar w:fldCharType="begin"/>
            </w:r>
            <w:r>
              <w:rPr>
                <w:webHidden/>
              </w:rPr>
              <w:instrText xml:space="preserve">PAGEREF _Toc225177332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3">
            <w:r>
              <w:rPr>
                <w:rStyle w:val="czeindeksu"/>
                <w:vanish w:val="false"/>
                <w:webHidden/>
              </w:rPr>
              <w:t>3.11</w:t>
            </w:r>
            <w:r>
              <w:rPr>
                <w:rStyle w:val="czeindeksu"/>
                <w:rFonts w:eastAsia="" w:ascii="Calibri" w:hAnsi="Calibri" w:asciiTheme="minorHAnsi" w:eastAsiaTheme="minorEastAsia" w:hAnsiTheme="minorHAnsi"/>
                <w:color w:val="auto"/>
                <w:szCs w:val="24"/>
                <w:lang w:eastAsia="pl-PL"/>
              </w:rPr>
              <w:tab/>
            </w:r>
            <w:r>
              <w:rPr>
                <w:rStyle w:val="czeindeksu"/>
              </w:rPr>
              <w:t>Pociski</w:t>
            </w:r>
            <w:r>
              <w:rPr>
                <w:webHidden/>
              </w:rPr>
              <w:fldChar w:fldCharType="begin"/>
            </w:r>
            <w:r>
              <w:rPr>
                <w:webHidden/>
              </w:rPr>
              <w:instrText xml:space="preserve">PAGEREF _Toc225177333 \h</w:instrText>
            </w:r>
            <w:r>
              <w:rPr>
                <w:webHidden/>
              </w:rPr>
              <w:fldChar w:fldCharType="separate"/>
            </w:r>
            <w:r>
              <w:rPr>
                <w:rStyle w:val="czeindeksu"/>
                <w:vanish w:val="false"/>
              </w:rPr>
              <w:tab/>
              <w:t>39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4">
            <w:r>
              <w:rPr>
                <w:rStyle w:val="czeindeksu"/>
                <w:vanish w:val="false"/>
                <w:webHidden/>
              </w:rPr>
              <w:t>3.12</w:t>
            </w:r>
            <w:r>
              <w:rPr>
                <w:rStyle w:val="czeindeksu"/>
                <w:rFonts w:eastAsia="" w:ascii="Calibri" w:hAnsi="Calibri" w:asciiTheme="minorHAnsi" w:eastAsiaTheme="minorEastAsia" w:hAnsiTheme="minorHAnsi"/>
                <w:color w:val="auto"/>
                <w:szCs w:val="24"/>
                <w:lang w:eastAsia="pl-PL"/>
              </w:rPr>
              <w:tab/>
            </w:r>
            <w:r>
              <w:rPr>
                <w:rStyle w:val="czeindeksu"/>
              </w:rPr>
              <w:t>Wzmocnienia</w:t>
            </w:r>
            <w:r>
              <w:rPr>
                <w:webHidden/>
              </w:rPr>
              <w:fldChar w:fldCharType="begin"/>
            </w:r>
            <w:r>
              <w:rPr>
                <w:webHidden/>
              </w:rPr>
              <w:instrText xml:space="preserve">PAGEREF _Toc225177334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5">
            <w:r>
              <w:rPr>
                <w:rStyle w:val="czeindeksu"/>
                <w:vanish w:val="false"/>
                <w:webHidden/>
              </w:rPr>
              <w:t>3.13</w:t>
            </w:r>
            <w:r>
              <w:rPr>
                <w:rStyle w:val="czeindeksu"/>
                <w:rFonts w:eastAsia="" w:ascii="Calibri" w:hAnsi="Calibri" w:asciiTheme="minorHAnsi" w:eastAsiaTheme="minorEastAsia" w:hAnsiTheme="minorHAnsi"/>
                <w:color w:val="auto"/>
                <w:szCs w:val="24"/>
                <w:lang w:eastAsia="pl-PL"/>
              </w:rPr>
              <w:tab/>
            </w:r>
            <w:r>
              <w:rPr>
                <w:rStyle w:val="czeindeksu"/>
              </w:rPr>
              <w:t>Wydobywanie surowców</w:t>
            </w:r>
            <w:r>
              <w:rPr>
                <w:webHidden/>
              </w:rPr>
              <w:fldChar w:fldCharType="begin"/>
            </w:r>
            <w:r>
              <w:rPr>
                <w:webHidden/>
              </w:rPr>
              <w:instrText xml:space="preserve">PAGEREF _Toc225177335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6">
            <w:r>
              <w:rPr>
                <w:rStyle w:val="czeindeksu"/>
                <w:vanish w:val="false"/>
                <w:webHidden/>
              </w:rPr>
              <w:t>3.14</w:t>
            </w:r>
            <w:r>
              <w:rPr>
                <w:rStyle w:val="czeindeksu"/>
                <w:rFonts w:eastAsia="" w:ascii="Calibri" w:hAnsi="Calibri" w:asciiTheme="minorHAnsi" w:eastAsiaTheme="minorEastAsia" w:hAnsiTheme="minorHAnsi"/>
                <w:color w:val="auto"/>
                <w:szCs w:val="24"/>
                <w:lang w:eastAsia="pl-PL"/>
              </w:rPr>
              <w:tab/>
            </w:r>
            <w:r>
              <w:rPr>
                <w:rStyle w:val="czeindeksu"/>
              </w:rPr>
              <w:t>Sterowanie</w:t>
            </w:r>
            <w:r>
              <w:rPr>
                <w:webHidden/>
              </w:rPr>
              <w:fldChar w:fldCharType="begin"/>
            </w:r>
            <w:r>
              <w:rPr>
                <w:webHidden/>
              </w:rPr>
              <w:instrText xml:space="preserve">PAGEREF _Toc225177336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7">
            <w:r>
              <w:rPr>
                <w:rStyle w:val="czeindeksu"/>
                <w:vanish w:val="false"/>
                <w:webHidden/>
              </w:rPr>
              <w:t>3.15</w:t>
            </w:r>
            <w:r>
              <w:rPr>
                <w:rStyle w:val="czeindeksu"/>
                <w:rFonts w:eastAsia="" w:ascii="Calibri" w:hAnsi="Calibri" w:asciiTheme="minorHAnsi" w:eastAsiaTheme="minorEastAsia" w:hAnsiTheme="minorHAnsi"/>
                <w:color w:val="auto"/>
                <w:szCs w:val="24"/>
                <w:lang w:eastAsia="pl-PL"/>
              </w:rPr>
              <w:tab/>
            </w:r>
            <w:r>
              <w:rPr>
                <w:rStyle w:val="czeindeksu"/>
              </w:rPr>
              <w:t>Testy</w:t>
            </w:r>
            <w:r>
              <w:rPr>
                <w:webHidden/>
              </w:rPr>
              <w:fldChar w:fldCharType="begin"/>
            </w:r>
            <w:r>
              <w:rPr>
                <w:webHidden/>
              </w:rPr>
              <w:instrText xml:space="preserve">PAGEREF _Toc225177337 \h</w:instrText>
            </w:r>
            <w:r>
              <w:rPr>
                <w:webHidden/>
              </w:rPr>
              <w:fldChar w:fldCharType="separate"/>
            </w:r>
            <w:r>
              <w:rPr>
                <w:rStyle w:val="czeindeksu"/>
                <w:vanish w:val="false"/>
              </w:rPr>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8">
            <w:r>
              <w:rPr>
                <w:webHidden/>
              </w:rPr>
              <w:fldChar w:fldCharType="begin"/>
            </w:r>
            <w:r>
              <w:rPr>
                <w:webHidden/>
              </w:rPr>
              <w:instrText xml:space="preserve">PAGEREF _Toc225177338 \h</w:instrText>
            </w:r>
            <w:r>
              <w:rPr>
                <w:webHidden/>
              </w:rPr>
              <w:fldChar w:fldCharType="separate"/>
            </w:r>
            <w:r>
              <w:rPr>
                <w:rStyle w:val="czeindeksu"/>
                <w:vanish w:val="false"/>
                <w:webHidden/>
              </w:rPr>
              <w:t>3.15.1 Zużycie procesora</w:t>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9">
            <w:r>
              <w:rPr>
                <w:webHidden/>
              </w:rPr>
              <w:fldChar w:fldCharType="begin"/>
            </w:r>
            <w:r>
              <w:rPr>
                <w:webHidden/>
              </w:rPr>
              <w:instrText xml:space="preserve">PAGEREF _Toc225177339 \h</w:instrText>
            </w:r>
            <w:r>
              <w:rPr>
                <w:webHidden/>
              </w:rPr>
              <w:fldChar w:fldCharType="separate"/>
            </w:r>
            <w:r>
              <w:rPr>
                <w:rStyle w:val="czeindeksu"/>
                <w:vanish w:val="false"/>
                <w:webHidden/>
              </w:rPr>
              <w:t>3.15.2 Zużycie pamięci RAM</w:t>
              <w:tab/>
              <w:t>44</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40">
            <w:r>
              <w:rPr>
                <w:webHidden/>
              </w:rPr>
              <w:fldChar w:fldCharType="begin"/>
            </w:r>
            <w:r>
              <w:rPr>
                <w:webHidden/>
              </w:rPr>
              <w:instrText xml:space="preserve">PAGEREF _Toc225177340 \h</w:instrText>
            </w:r>
            <w:r>
              <w:rPr>
                <w:webHidden/>
              </w:rPr>
              <w:fldChar w:fldCharType="separate"/>
            </w:r>
            <w:r>
              <w:rPr>
                <w:rStyle w:val="czeindeksu"/>
                <w:vanish w:val="false"/>
                <w:webHidden/>
              </w:rPr>
              <w:t>3.15.3 Zużycie sieciowe</w:t>
              <w:tab/>
              <w:t>44</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1">
            <w:r>
              <w:rPr>
                <w:rStyle w:val="czeindeksu"/>
                <w:vanish w:val="false"/>
                <w:webHidden/>
              </w:rPr>
              <w:t>4.</w:t>
            </w:r>
            <w:r>
              <w:rPr>
                <w:rStyle w:val="czeindeksu"/>
                <w:rFonts w:eastAsia=""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_Toc225177341 \h</w:instrText>
            </w:r>
            <w:r>
              <w:rPr>
                <w:webHidden/>
              </w:rPr>
              <w:fldChar w:fldCharType="separate"/>
            </w:r>
            <w:r>
              <w:rPr>
                <w:rStyle w:val="czeindeksu"/>
                <w:vanish w:val="false"/>
              </w:rPr>
              <w:tab/>
              <w:t>46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2">
            <w:r>
              <w:rPr>
                <w:rStyle w:val="czeindeksu"/>
                <w:vanish w:val="false"/>
                <w:webHidden/>
              </w:rPr>
              <w:t>5.</w:t>
            </w:r>
            <w:r>
              <w:rPr>
                <w:rStyle w:val="czeindeksu"/>
                <w:rFonts w:eastAsia=""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_Toc225177342 \h</w:instrText>
            </w:r>
            <w:r>
              <w:rPr>
                <w:webHidden/>
              </w:rPr>
              <w:fldChar w:fldCharType="separate"/>
            </w:r>
            <w:r>
              <w:rPr>
                <w:rStyle w:val="czeindeksu"/>
                <w:vanish w:val="false"/>
              </w:rPr>
              <w:tab/>
              <w:t>47</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3">
            <w:r>
              <w:rPr>
                <w:rStyle w:val="czeindeksu"/>
                <w:vanish w:val="false"/>
                <w:webHidden/>
              </w:rPr>
              <w:t>6.</w:t>
            </w:r>
            <w:r>
              <w:rPr>
                <w:rStyle w:val="czeindeksu"/>
                <w:rFonts w:eastAsia=""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_Toc225177343 \h</w:instrText>
            </w:r>
            <w:r>
              <w:rPr>
                <w:webHidden/>
              </w:rPr>
              <w:fldChar w:fldCharType="separate"/>
            </w:r>
            <w:r>
              <w:rPr>
                <w:rStyle w:val="czeindeksu"/>
                <w:vanish w:val="false"/>
              </w:rPr>
              <w:tab/>
              <w:t>48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4">
            <w:r>
              <w:rPr>
                <w:rStyle w:val="czeindeksu"/>
                <w:vanish w:val="false"/>
                <w:webHidden/>
              </w:rPr>
              <w:t>7.</w:t>
            </w:r>
            <w:r>
              <w:rPr>
                <w:rStyle w:val="czeindeksu"/>
                <w:rFonts w:eastAsia=""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_Toc225177344 \h</w:instrText>
            </w:r>
            <w:r>
              <w:rPr>
                <w:webHidden/>
              </w:rPr>
              <w:fldChar w:fldCharType="separate"/>
            </w:r>
            <w:r>
              <w:rPr>
                <w:rStyle w:val="czeindeksu"/>
                <w:vanish w:val="false"/>
              </w:rPr>
              <w:tab/>
              <w:t>49</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Heading1"/>
        <w:numPr>
          <w:ilvl w:val="0"/>
          <w:numId w:val="0"/>
        </w:numPr>
        <w:spacing w:before="0" w:after="840"/>
        <w:ind w:hanging="0" w:left="0"/>
        <w:rPr/>
      </w:pPr>
      <w:bookmarkStart w:id="1" w:name="_Toc225177298"/>
      <w:r>
        <w:rPr/>
        <w:t>Wykaz skrótów i oznaczeń</w:t>
      </w:r>
      <w:bookmarkEnd w:id="1"/>
    </w:p>
    <w:p>
      <w:pPr>
        <w:pStyle w:val="ListParagraph"/>
        <w:numPr>
          <w:ilvl w:val="0"/>
          <w:numId w:val="9"/>
        </w:numPr>
        <w:rPr/>
      </w:pPr>
      <w:r>
        <w:rPr/>
        <w:t>AI (Artificial Intelligence) - sztuczna inteligencja; ogólna dziedzina informatyki obejmująca systemy symulujące ludzką inteligencję.</w:t>
      </w:r>
    </w:p>
    <w:p>
      <w:pPr>
        <w:pStyle w:val="ListParagraph"/>
        <w:numPr>
          <w:ilvl w:val="0"/>
          <w:numId w:val="9"/>
        </w:numPr>
        <w:rPr/>
      </w:pPr>
      <w:r>
        <w:rPr/>
        <w:t>CNN (Convolutional Neural Network) - konwolucyjna sieć neuronowa; klasa sieci głębokiego uczenia specjalizowana do analizy obrazów.</w:t>
      </w:r>
    </w:p>
    <w:p>
      <w:pPr>
        <w:pStyle w:val="ListParagraph"/>
        <w:numPr>
          <w:ilvl w:val="0"/>
          <w:numId w:val="9"/>
        </w:numPr>
        <w:rPr/>
      </w:pPr>
      <w:r>
        <w:rPr/>
        <w:t>ViT (Vision Transformer) - transformerowa architektura sieci neuronowej adaptowana do analizy obrazów.</w:t>
      </w:r>
    </w:p>
    <w:p>
      <w:pPr>
        <w:pStyle w:val="ListParagraph"/>
        <w:numPr>
          <w:ilvl w:val="0"/>
          <w:numId w:val="9"/>
        </w:numPr>
        <w:rPr/>
      </w:pPr>
      <w:r>
        <w:rPr/>
        <w:t>MobileNetV3 - lekka architektura CNN zoptymalizowana pod urządzenia mobilne.</w:t>
      </w:r>
    </w:p>
    <w:p>
      <w:pPr>
        <w:pStyle w:val="ListParagraph"/>
        <w:numPr>
          <w:ilvl w:val="0"/>
          <w:numId w:val="9"/>
        </w:numPr>
        <w:rPr/>
      </w:pPr>
      <w:r>
        <w:rPr/>
        <w:t>ResNet-50 - sieć rezydualna o 50 warstwach, bazująca na połączeniach skip connections.</w:t>
      </w:r>
    </w:p>
    <w:p>
      <w:pPr>
        <w:pStyle w:val="ListParagraph"/>
        <w:numPr>
          <w:ilvl w:val="0"/>
          <w:numId w:val="9"/>
        </w:numPr>
        <w:rPr/>
      </w:pPr>
      <w:r>
        <w:rPr/>
        <w:t>EfficientNet-B0 - architektura CNN ze złożonym skalowaniem głębokości, szerokości i rozdzielczości.</w:t>
      </w:r>
    </w:p>
    <w:p>
      <w:pPr>
        <w:pStyle w:val="ListParagraph"/>
        <w:numPr>
          <w:ilvl w:val="0"/>
          <w:numId w:val="9"/>
        </w:numPr>
        <w:rPr/>
      </w:pPr>
      <w:r>
        <w:rPr/>
        <w:t>Grad-CAM (Gradient-weighted Class Activation Mapping) - metoda wizualizacji obszarów decyzyjnych sieci CNN.</w:t>
      </w:r>
    </w:p>
    <w:p>
      <w:pPr>
        <w:pStyle w:val="ListParagraph"/>
        <w:numPr>
          <w:ilvl w:val="0"/>
          <w:numId w:val="9"/>
        </w:numPr>
        <w:rPr/>
      </w:pPr>
      <w:r>
        <w:rPr/>
        <w:t>GPU (Graphics Processing Unit) - procesor graficzny; używany do akceleracji obliczeń macierzowych w głębokim uczeniu.</w:t>
      </w:r>
    </w:p>
    <w:p>
      <w:pPr>
        <w:pStyle w:val="ListParagraph"/>
        <w:numPr>
          <w:ilvl w:val="0"/>
          <w:numId w:val="9"/>
        </w:numPr>
        <w:rPr/>
      </w:pPr>
      <w:r>
        <w:rPr/>
        <w:t>CUDA (Compute Unified Device Architecture) - platforma programowania równoległego firmy NVIDIA; umożliwia wykonywanie obliczeń AI na kartach graficznych.</w:t>
      </w:r>
    </w:p>
    <w:p>
      <w:pPr>
        <w:pStyle w:val="ListParagraph"/>
        <w:numPr>
          <w:ilvl w:val="0"/>
          <w:numId w:val="9"/>
        </w:numPr>
        <w:rPr/>
      </w:pPr>
      <w:r>
        <w:rPr/>
        <w:t>CPU (Central Processing Unit) - procesor centralny; używany do inferencji w przypadku braku obsługiwanej karty graficznej.</w:t>
      </w:r>
    </w:p>
    <w:p>
      <w:pPr>
        <w:pStyle w:val="ListParagraph"/>
        <w:numPr>
          <w:ilvl w:val="0"/>
          <w:numId w:val="9"/>
        </w:numPr>
        <w:rPr>
          <w:lang w:val="en-US"/>
        </w:rPr>
      </w:pPr>
      <w:r>
        <w:rPr>
          <w:lang w:val="en-US"/>
        </w:rPr>
        <w:t>HAM10000</w:t>
      </w:r>
      <w:r>
        <w:rPr>
          <w:lang w:val="en-US"/>
        </w:rPr>
        <w:t>[3]</w:t>
      </w:r>
      <w:r>
        <w:rPr>
          <w:lang w:val="en-US"/>
        </w:rPr>
        <w:t xml:space="preserve"> - Human Against Machine with 10 000 training images; duży zbiór zdjęć dermoskopowych.</w:t>
      </w:r>
    </w:p>
    <w:p>
      <w:pPr>
        <w:pStyle w:val="ListParagraph"/>
        <w:numPr>
          <w:ilvl w:val="0"/>
          <w:numId w:val="9"/>
        </w:numPr>
        <w:rPr/>
      </w:pPr>
      <w:r>
        <w:rPr/>
        <w:t>MSLDv2.0</w:t>
      </w:r>
      <w:r>
        <w:rPr/>
        <w:t>[10]</w:t>
      </w:r>
      <w:r>
        <w:rPr/>
        <w:t xml:space="preserve"> - Monkeypox Skin Lesion Dataset v2.0; zbiór zdjęć zmian skórnych chorób zakaźnych.</w:t>
      </w:r>
    </w:p>
    <w:p>
      <w:pPr>
        <w:pStyle w:val="ListParagraph"/>
        <w:numPr>
          <w:ilvl w:val="0"/>
          <w:numId w:val="9"/>
        </w:numPr>
        <w:rPr/>
      </w:pPr>
      <w:r>
        <w:rPr/>
        <w:t>API (Application Programming Interface) - interfejs programowania aplikacji; zbiór protokołów komunikacji między komponentami oprogramowania.</w:t>
      </w:r>
    </w:p>
    <w:p>
      <w:pPr>
        <w:pStyle w:val="ListParagraph"/>
        <w:numPr>
          <w:ilvl w:val="0"/>
          <w:numId w:val="9"/>
        </w:numPr>
        <w:rPr/>
      </w:pPr>
      <w:r>
        <w:rPr/>
        <w:t>REST (Representational State Transfer) - styl architektury oprogramowania dla usług sieciowych.</w:t>
      </w:r>
    </w:p>
    <w:p>
      <w:pPr>
        <w:pStyle w:val="ListParagraph"/>
        <w:numPr>
          <w:ilvl w:val="0"/>
          <w:numId w:val="9"/>
        </w:numPr>
        <w:rPr/>
      </w:pPr>
      <w:r>
        <w:rPr/>
        <w:t>MVVM (Model-View-ViewModel) - wzorzec projektowy stosowany w interfejsach użytkownika.</w:t>
      </w:r>
    </w:p>
    <w:p>
      <w:pPr>
        <w:pStyle w:val="ListParagraph"/>
        <w:numPr>
          <w:ilvl w:val="0"/>
          <w:numId w:val="9"/>
        </w:numPr>
        <w:rPr/>
      </w:pPr>
      <w:r>
        <w:rPr/>
        <w:t>F1-score - miara jakości modelu klasyfikacyjnego będąca średnią harmoniczną precyzji i czułości.</w:t>
      </w:r>
    </w:p>
    <w:p>
      <w:pPr>
        <w:pStyle w:val="ListParagraph"/>
        <w:numPr>
          <w:ilvl w:val="0"/>
          <w:numId w:val="9"/>
        </w:numPr>
        <w:rPr/>
      </w:pPr>
      <w:r>
        <w:rPr/>
        <w:t>Transfer learning (uczenie transferowe) - technika ponownego wykorzystania wag modelu wytrenowanego na dużym zbiorze danych do nowego zadania.</w:t>
      </w:r>
    </w:p>
    <w:p>
      <w:pPr>
        <w:pStyle w:val="ListParagraph"/>
        <w:numPr>
          <w:ilvl w:val="0"/>
          <w:numId w:val="9"/>
        </w:numPr>
        <w:rPr/>
      </w:pPr>
      <w:r>
        <w:rPr/>
        <w:t>Early stopping - mechanizm przerywania treningu po wykryciu braku poprawy na zbiorze walidacyjnym.</w:t>
      </w:r>
    </w:p>
    <w:p>
      <w:pPr>
        <w:pStyle w:val="ListParagraph"/>
        <w:numPr>
          <w:ilvl w:val="0"/>
          <w:numId w:val="9"/>
        </w:numPr>
        <w:rPr/>
      </w:pPr>
      <w:r>
        <w:rPr/>
        <w:t>Overfitting(przeuczenie) - sytuacja gdy model osiąga wysoką dokładność treningową lecz słabą generalizację.</w:t>
      </w:r>
    </w:p>
    <w:p>
      <w:pPr>
        <w:pStyle w:val="ListParagraph"/>
        <w:numPr>
          <w:ilvl w:val="0"/>
          <w:numId w:val="9"/>
        </w:numPr>
        <w:rPr/>
      </w:pPr>
      <w:r>
        <w:rPr/>
        <w:t>WeightedRandomSampler - technika próbkowania ważonego używana do wyrównywania nierównowagi klas w mini-batch.</w:t>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Heading1"/>
        <w:numPr>
          <w:ilvl w:val="0"/>
          <w:numId w:val="0"/>
        </w:numPr>
        <w:ind w:hanging="0" w:left="0"/>
        <w:rPr/>
      </w:pPr>
      <w:bookmarkStart w:id="2" w:name="_Toc225177299"/>
      <w:r>
        <w:rPr/>
        <w:t>Wstęp</w:t>
      </w:r>
      <w:bookmarkEnd w:id="2"/>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t>Paradygmat automatyzacji analizy obrazów medycznych uległ radykalnej zmianie wraz z upowszechnieniem metod głębokiego uczenia (</w:t>
      </w:r>
      <w:r>
        <w:rPr>
          <w:i/>
          <w:iCs/>
        </w:rPr>
        <w:t>deep learning</w:t>
      </w:r>
      <w:r>
        <w:rPr/>
        <w:t>). Momentem przełomowym była publikacja Esteva i współpracowników z 2017 roku</w:t>
      </w:r>
      <w:r>
        <w:rPr/>
        <w:t>[4]</w:t>
      </w:r>
      <w:r>
        <w:rPr/>
        <w:t>,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w:t>
      </w:r>
      <w:r>
        <w:rPr>
          <w:i/>
          <w:iCs/>
        </w:rPr>
        <w:t>ensemble learning</w:t>
      </w:r>
      <w:r>
        <w:rPr/>
        <w:t>),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left="0"/>
        <w:rPr/>
      </w:pPr>
      <w:bookmarkStart w:id="3" w:name="_Toc225177300"/>
      <w:r>
        <w:rPr/>
        <w:t>Cel</w:t>
      </w:r>
      <w:bookmarkEnd w:id="3"/>
    </w:p>
    <w:p>
      <w:pPr>
        <w:pStyle w:val="Normal"/>
        <w:rPr/>
      </w:pPr>
      <w:r>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left="0"/>
        <w:rPr/>
      </w:pPr>
      <w:r>
        <w:rPr/>
        <w:t>Zakres pracy</w:t>
      </w:r>
    </w:p>
    <w:p>
      <w:pPr>
        <w:pStyle w:val="ListParagraph"/>
        <w:numPr>
          <w:ilvl w:val="0"/>
          <w:numId w:val="10"/>
        </w:numPr>
        <w:rPr/>
      </w:pPr>
      <w:r>
        <w:rPr/>
        <w:t>Przeprowadzenie analizy literaturowej dotyczącej: dermatologii klinicznej i nowotworów skóry, głębokiego uczenia w klasyfikacji obrazów medycznych, architektur CNN i ViT.</w:t>
      </w:r>
    </w:p>
    <w:p>
      <w:pPr>
        <w:pStyle w:val="ListParagraph"/>
        <w:numPr>
          <w:ilvl w:val="0"/>
          <w:numId w:val="10"/>
        </w:numPr>
        <w:rPr/>
      </w:pPr>
      <w:r>
        <w:rPr/>
        <w:t>Wybór i przygotowanie zbioru danych (Skin Lesions Dataset).</w:t>
      </w:r>
    </w:p>
    <w:p>
      <w:pPr>
        <w:pStyle w:val="ListParagraph"/>
        <w:numPr>
          <w:ilvl w:val="0"/>
          <w:numId w:val="10"/>
        </w:numPr>
        <w:rPr/>
      </w:pPr>
      <w:r>
        <w:rPr/>
        <w:t>Implementacja notatnika Jupyter do treningu i ewaluacji pięciu modeli klasyfikacyjnych na platformie Kaggle.</w:t>
      </w:r>
    </w:p>
    <w:p>
      <w:pPr>
        <w:pStyle w:val="ListParagraph"/>
        <w:numPr>
          <w:ilvl w:val="0"/>
          <w:numId w:val="10"/>
        </w:numPr>
        <w:rPr/>
      </w:pPr>
      <w:r>
        <w:rPr/>
        <w:t>Implementacja mechanizmu Grad-CAM i testu odporności modeli (szum Gaussowski, rozmycie).</w:t>
      </w:r>
    </w:p>
    <w:p>
      <w:pPr>
        <w:pStyle w:val="ListParagraph"/>
        <w:numPr>
          <w:ilvl w:val="0"/>
          <w:numId w:val="10"/>
        </w:numPr>
        <w:rPr/>
      </w:pPr>
      <w:r>
        <w:rPr/>
        <w:t>Projekt i implementacja back-endu w Python/Streamlit oraz REST API.</w:t>
      </w:r>
    </w:p>
    <w:p>
      <w:pPr>
        <w:pStyle w:val="ListParagraph"/>
        <w:numPr>
          <w:ilvl w:val="0"/>
          <w:numId w:val="10"/>
        </w:numPr>
        <w:rPr>
          <w:lang w:val="en-US"/>
        </w:rPr>
      </w:pPr>
      <w:r>
        <w:rPr>
          <w:lang w:val="en-US"/>
        </w:rPr>
        <w:t>Projekt i implementacja front-endu w React/TypeScript/Tailwind CSS/shadcn-ui.</w:t>
      </w:r>
    </w:p>
    <w:p>
      <w:pPr>
        <w:pStyle w:val="ListParagraph"/>
        <w:numPr>
          <w:ilvl w:val="0"/>
          <w:numId w:val="10"/>
        </w:numPr>
        <w:rPr/>
      </w:pPr>
      <w:r>
        <w:rPr/>
        <w:t>Integracja funkcjonalności: mapa ciała, historia badań, panel kamery.</w:t>
      </w:r>
    </w:p>
    <w:p>
      <w:pPr>
        <w:pStyle w:val="ListParagraph"/>
        <w:numPr>
          <w:ilvl w:val="0"/>
          <w:numId w:val="10"/>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left="851"/>
        <w:rPr/>
      </w:pPr>
      <w:r>
        <w:rPr/>
        <w:t>Dermatologia i automatyczna diagnostyka skórna - przegląd literaturowy</w:t>
      </w:r>
    </w:p>
    <w:p>
      <w:pPr>
        <w:pStyle w:val="Normal"/>
        <w:rPr/>
      </w:pPr>
      <w:r>
        <w:rPr/>
        <w:t>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wyjaśnialności predykcji.</w:t>
      </w:r>
    </w:p>
    <w:p>
      <w:pPr>
        <w:pStyle w:val="Heading2"/>
        <w:numPr>
          <w:ilvl w:val="1"/>
          <w:numId w:val="7"/>
        </w:numPr>
        <w:rPr/>
      </w:pPr>
      <w:bookmarkStart w:id="4" w:name="_Toc225177302"/>
      <w:r>
        <w:rPr/>
        <w:t>Skóra jako narząd i jej choroby</w:t>
      </w:r>
      <w:bookmarkEnd w:id="4"/>
    </w:p>
    <w:p>
      <w:pPr>
        <w:pStyle w:val="ListParagraph"/>
        <w:ind w:hanging="0" w:left="450"/>
        <w:jc w:val="left"/>
        <w:rPr/>
      </w:pPr>
      <w:r>
        <w:rP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(epidermis), skóry właściwej (dermis) i tkanki podskórnej (hypodermis). W obrębie naskórka zlokalizowane są melanocyty – komórki produkujące melaninę, odpowiedzialne za ubarwienie skóry i ochronę przed promieniowaniem UV.</w:t>
      </w:r>
    </w:p>
    <w:p>
      <w:pPr>
        <w:pStyle w:val="ListParagraph"/>
        <w:ind w:hanging="0" w:left="450"/>
        <w:jc w:val="left"/>
        <w:rPr/>
      </w:pPr>
      <w:r>
        <w:rPr/>
      </w:r>
    </w:p>
    <w:p>
      <w:pPr>
        <w:pStyle w:val="ListParagraph"/>
        <w:ind w:hanging="0" w:left="450"/>
        <w:jc w:val="left"/>
        <w:rPr/>
      </w:pPr>
      <w:r>
        <w:rPr/>
        <w:t>Choroby skóry można klasyfikować ze względu na przyczynę (zakaźne, nowotworowe, autoimmunologiczne, alergiczne) lub na morfologię zmian. Z punktu widzenia niniejszej pracy najistotniejsze są: nowotwory złośliwe i łagodne wywodzące się z melanocytów i keratynocytów oraz choroby zakaźne z charakterystycznym obrazem skórnym. Diagnostyka dermatologiczna bazuje na ocenie zmian pierwotnych (plama, grudka, pęcherzyk, krosta, guzek) i wtórnych (nadżerka, owrzodzenie, blizna, łuska), a jej jakość zależy od doświadczenia klinicznego badającego.</w:t>
      </w:r>
    </w:p>
    <w:p>
      <w:pPr>
        <w:pStyle w:val="ListParagraph"/>
        <w:ind w:hanging="0" w:left="450"/>
        <w:jc w:val="left"/>
        <w:rPr/>
      </w:pPr>
      <w:r>
        <w:rPr/>
        <w:t>Kliniczne rozpoznanie zmian melanocytarnych opiera się na regule ABCDE: asymetria kształtu (Asymmetry), nieregularne brzegi (Border), niejednorodne zabarwienie (Color), średnica &gt; 6 mm (Diameter) i ewolucja (Evolution) – zmiana rozmiaru, kształtu lub barwy w czasie</w:t>
      </w:r>
      <w:r>
        <w:rPr/>
        <w:t>[1]</w:t>
      </w:r>
      <w:r>
        <w:rPr/>
        <w:t>. Reguła ta, choć powszechnie stosowana w praktyce lekarza pierwszego kontaktu, ma ograniczoną czułość i swoistość, szczególnie w odniesieniu do czerniakopodobnych zmian łagodnych oraz wczesnych czerniaków. Stąd potrzeba narzędzi wspomagających diagnostykę.</w:t>
      </w:r>
    </w:p>
    <w:p>
      <w:pPr>
        <w:pStyle w:val="Heading3"/>
        <w:numPr>
          <w:ilvl w:val="0"/>
          <w:numId w:val="0"/>
        </w:numPr>
        <w:ind w:hanging="0" w:left="0"/>
        <w:rPr>
          <w:bCs/>
        </w:rPr>
      </w:pPr>
      <w:r>
        <w:rPr/>
        <w:t>1.1.1 K</w:t>
      </w:r>
      <w:r>
        <w:rPr>
          <w:bCs/>
        </w:rPr>
        <w:t>lasyfikacja nowotworów skóry w zbiorze danych</w:t>
      </w:r>
    </w:p>
    <w:p>
      <w:pPr>
        <w:pStyle w:val="Normal"/>
        <w:rPr/>
      </w:pPr>
      <w:r>
        <w:rPr/>
        <w:t>Spośród 14 klas obecnych w zbiorze danych niniejszej pracy, cztery dotyczą zmian o charakterze nowotworowym lub przedrakowym:</w:t>
      </w:r>
    </w:p>
    <w:p>
      <w:pPr>
        <w:pStyle w:val="Normal"/>
        <w:rPr/>
      </w:pPr>
      <w:r>
        <w:rPr/>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w:t>
      </w:r>
      <w:r>
        <w:rPr/>
        <w:t>[1]</w:t>
      </w:r>
      <w:r>
        <w:rPr/>
        <w:t>. W zbiorze testowym klasa ta liczyła 453 próbki, co czyni ją jedną z trudniejszych do klasyfikacji.</w:t>
      </w:r>
    </w:p>
    <w:p>
      <w:pPr>
        <w:pStyle w:val="Normal"/>
        <w:keepNext w:val="true"/>
        <w:jc w:val="center"/>
        <w:rPr/>
      </w:pPr>
      <w:r>
        <w:rPr/>
        <w:drawing>
          <wp:inline distT="0" distB="0" distL="0" distR="0">
            <wp:extent cx="2110740" cy="1386840"/>
            <wp:effectExtent l="0" t="0" r="0" b="0"/>
            <wp:docPr id="2"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0"/>
                    <pic:cNvPicPr>
                      <a:picLocks noChangeAspect="1" noChangeArrowheads="1"/>
                    </pic:cNvPicPr>
                  </pic:nvPicPr>
                  <pic:blipFill>
                    <a:blip r:embed="rId3"/>
                    <a:stretch>
                      <a:fillRect/>
                    </a:stretch>
                  </pic:blipFill>
                  <pic:spPr bwMode="auto">
                    <a:xfrm>
                      <a:off x="0" y="0"/>
                      <a:ext cx="2110740" cy="13868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w:t>
      </w:r>
      <w:r>
        <w:rPr/>
        <w:fldChar w:fldCharType="end"/>
      </w:r>
      <w:r>
        <w:rPr/>
        <w:t xml:space="preserve"> Czerniak (Żródło https://twojeznamiona.pl/blog/jak-wyglada-czerniak-zdjecia)</w:t>
      </w:r>
    </w:p>
    <w:p>
      <w:pPr>
        <w:pStyle w:val="Normal"/>
        <w:rPr/>
      </w:pPr>
      <w:r>
        <w:rPr/>
        <w:t xml:space="preserve">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 </w:t>
      </w:r>
      <w:r>
        <w:rPr/>
        <w:t>[2]</w:t>
      </w:r>
      <w:r>
        <w:rPr/>
        <w:t>.</w:t>
      </w:r>
    </w:p>
    <w:p>
      <w:pPr>
        <w:pStyle w:val="Normal"/>
        <w:keepNext w:val="true"/>
        <w:jc w:val="center"/>
        <w:rPr/>
      </w:pPr>
      <w:r>
        <w:rPr/>
        <w:drawing>
          <wp:inline distT="0" distB="0" distL="0" distR="0">
            <wp:extent cx="2240280" cy="1303020"/>
            <wp:effectExtent l="0" t="0" r="0" b="0"/>
            <wp:docPr id="3"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19"/>
                    <pic:cNvPicPr>
                      <a:picLocks noChangeAspect="1" noChangeArrowheads="1"/>
                    </pic:cNvPicPr>
                  </pic:nvPicPr>
                  <pic:blipFill>
                    <a:blip r:embed="rId4"/>
                    <a:stretch>
                      <a:fillRect/>
                    </a:stretch>
                  </pic:blipFill>
                  <pic:spPr bwMode="auto">
                    <a:xfrm>
                      <a:off x="0" y="0"/>
                      <a:ext cx="2240280" cy="130302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 (Źró-dło https://onkopedia.pl/wiedza/rak-podstawokomorkowy-skory/)</w:t>
      </w:r>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377690" cy="3089275"/>
            <wp:effectExtent l="0" t="0" r="0" b="0"/>
            <wp:docPr id="4"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1"/>
                    <pic:cNvPicPr>
                      <a:picLocks noChangeAspect="1" noChangeArrowheads="1"/>
                    </pic:cNvPicPr>
                  </pic:nvPicPr>
                  <pic:blipFill>
                    <a:blip r:embed="rId5"/>
                    <a:stretch>
                      <a:fillRect/>
                    </a:stretch>
                  </pic:blipFill>
                  <pic:spPr bwMode="auto">
                    <a:xfrm>
                      <a:off x="0" y="0"/>
                      <a:ext cx="4377690" cy="308927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 (Źródło </w:t>
      </w:r>
      <w:hyperlink r:id="rId6">
        <w:r>
          <w:rPr>
            <w:rStyle w:val="Hyperlink"/>
          </w:rPr>
          <w:t>https://www.iboolo.com/pl/blog/dermoscopy-squamous-cell-carcinoma/?srsltid=AfmBOopVaFJAIvh4hk2pFZoKG9_vP7JrtFG4HTB7N4tgD1YjSoPcLZHO</w:t>
        </w:r>
      </w:hyperlink>
      <w:r>
        <w:rPr/>
        <w:t>)</w:t>
      </w:r>
    </w:p>
    <w:p>
      <w:pPr>
        <w:pStyle w:val="Normal"/>
        <w:keepNext w:val="true"/>
        <w:jc w:val="left"/>
        <w:rPr/>
      </w:pPr>
      <w:r>
        <w:rPr/>
        <w:t xml:space="preserve">Actinic keratoses (rogowacenie słoneczne, AK) to zmiana przednowotworowa, klasyczna sekwencja UV-uszkodzenie DNA-mutacja w genie TP53. Nieleczone AK może przekształcić się w SCC w ok. 5–10% przypadków. Klinicznie objawia się jako szorstka, łuszcząca się zmiana na skórze przewlekle eksponowanej na słońce. </w:t>
      </w:r>
    </w:p>
    <w:p>
      <w:pPr>
        <w:pStyle w:val="Normal"/>
        <w:keepNext w:val="true"/>
        <w:jc w:val="center"/>
        <w:rPr/>
      </w:pPr>
      <w:r>
        <w:rPr/>
        <w:drawing>
          <wp:inline distT="0" distB="0" distL="0" distR="0">
            <wp:extent cx="1973580" cy="1478280"/>
            <wp:effectExtent l="0" t="0" r="0" b="0"/>
            <wp:docPr id="5"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22"/>
                    <pic:cNvPicPr>
                      <a:picLocks noChangeAspect="1" noChangeArrowheads="1"/>
                    </pic:cNvPicPr>
                  </pic:nvPicPr>
                  <pic:blipFill>
                    <a:blip r:embed="rId7"/>
                    <a:stretch>
                      <a:fillRect/>
                    </a:stretch>
                  </pic:blipFill>
                  <pic:spPr bwMode="auto">
                    <a:xfrm>
                      <a:off x="0" y="0"/>
                      <a:ext cx="1973580" cy="14782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 (Źródła https://fenomed.pl/oferta/dermatochirurgia/rogowacenie-sloneczne/)</w:t>
      </w:r>
    </w:p>
    <w:p>
      <w:pPr>
        <w:pStyle w:val="Heading3"/>
        <w:numPr>
          <w:ilvl w:val="2"/>
          <w:numId w:val="11"/>
        </w:numPr>
        <w:rPr/>
      </w:pPr>
      <w:bookmarkStart w:id="5" w:name="_Toc225177304"/>
      <w:r>
        <w:rPr>
          <w:bCs/>
        </w:rPr>
        <w:t xml:space="preserve"> </w:t>
      </w:r>
      <w:r>
        <w:rPr>
          <w:bCs/>
        </w:rPr>
        <w:t>Wirusowe choroby zakaźne z manifestacją skórną</w:t>
      </w:r>
      <w:bookmarkEnd w:id="5"/>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673985" cy="1433195"/>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8"/>
                    <a:stretch>
                      <a:fillRect/>
                    </a:stretch>
                  </pic:blipFill>
                  <pic:spPr bwMode="auto">
                    <a:xfrm>
                      <a:off x="0" y="0"/>
                      <a:ext cx="2673985" cy="143319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5</w:t>
      </w:r>
      <w:r>
        <w:rPr/>
        <w:fldChar w:fldCharType="end"/>
      </w:r>
      <w:r>
        <w:rPr/>
        <w:t xml:space="preserve"> : Ospa małpia (Źródło https://www.metropolisindia.com/blog/preventive-healthcare/monkeypox-mpox-symptoms-causes-treatment-spread-prevention-</w:t>
      </w:r>
    </w:p>
    <w:p>
      <w:pPr>
        <w:pStyle w:val="Normal"/>
        <w:rPr/>
      </w:pPr>
      <w:r>
        <w:rPr/>
      </w:r>
    </w:p>
    <w:p>
      <w:pPr>
        <w:pStyle w:val="Normal"/>
        <w:rPr/>
      </w:pPr>
      <w:r>
        <w:rPr/>
        <w:t>Chickenpox (ospa wietrzna) – choroba wywoływana przez wirus Varicella-Zoster (VZV), przenoszona drogą kropelkową. Charakteryzuje się polimorfizmem wykwitów skórnych –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4815840" cy="3115945"/>
            <wp:effectExtent l="0" t="0" r="0" b="0"/>
            <wp:docPr id="7"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5"/>
                    <pic:cNvPicPr>
                      <a:picLocks noChangeAspect="1" noChangeArrowheads="1"/>
                    </pic:cNvPicPr>
                  </pic:nvPicPr>
                  <pic:blipFill>
                    <a:blip r:embed="rId9"/>
                    <a:stretch>
                      <a:fillRect/>
                    </a:stretch>
                  </pic:blipFill>
                  <pic:spPr bwMode="auto">
                    <a:xfrm>
                      <a:off x="0" y="0"/>
                      <a:ext cx="4815840" cy="311594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6</w:t>
      </w:r>
      <w:r>
        <w:rPr/>
        <w:fldChar w:fldCharType="end"/>
      </w:r>
      <w:r>
        <w:rPr/>
        <w:t xml:space="preserve"> Ospa wietrzna (Źródło https://www.mayoclinic.org/diseases-conditions/chickenpox/symptoms-causes/syc-20351282)</w:t>
      </w:r>
    </w:p>
    <w:p>
      <w:pPr>
        <w:pStyle w:val="Normal"/>
        <w:rPr/>
      </w:pPr>
      <w:r>
        <w:rPr/>
        <w:t>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095500" cy="1394460"/>
            <wp:effectExtent l="0" t="0" r="0" b="0"/>
            <wp:docPr id="8"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16"/>
                    <pic:cNvPicPr>
                      <a:picLocks noChangeAspect="1" noChangeArrowheads="1"/>
                    </pic:cNvPicPr>
                  </pic:nvPicPr>
                  <pic:blipFill>
                    <a:blip r:embed="rId10"/>
                    <a:stretch>
                      <a:fillRect/>
                    </a:stretch>
                  </pic:blipFill>
                  <pic:spPr bwMode="auto">
                    <a:xfrm>
                      <a:off x="0" y="0"/>
                      <a:ext cx="2095500" cy="139446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7</w:t>
      </w:r>
      <w:r>
        <w:rPr/>
        <w:fldChar w:fldCharType="end"/>
      </w:r>
      <w:r>
        <w:rPr/>
        <w:t xml:space="preserve"> : Odra (Źródło https://luxmedlublin.pl/blog/odra-choroba-zakazna-czy-grozi-nam-epidemia-odry/)</w:t>
      </w:r>
    </w:p>
    <w:p>
      <w:pPr>
        <w:pStyle w:val="Normal"/>
        <w:rPr/>
      </w:pPr>
      <w:r>
        <w:rPr/>
        <w:t>Cowpox i HFMD (choroba dłoni, stóp i jamy ustnej) to kolejne choroby zakaźne z wyraźnymi zmianami skórnymi: cowpox charakteryzuje się owrzodzeniami z krwotoczno-ropną zawartością, a HFMD – drobnymi pęcherzykami na dłoniach, stopach i w jamie ustnej, wywoływanymi przez Enterovirus 71 lub Coxsackievirus A16.</w:t>
      </w:r>
    </w:p>
    <w:p>
      <w:pPr>
        <w:pStyle w:val="Normal"/>
        <w:keepNext w:val="true"/>
        <w:jc w:val="center"/>
        <w:rPr/>
      </w:pPr>
      <w:r>
        <w:rPr/>
        <w:drawing>
          <wp:inline distT="0" distB="0" distL="0" distR="0">
            <wp:extent cx="2171700" cy="1348740"/>
            <wp:effectExtent l="0" t="0" r="0" b="0"/>
            <wp:docPr id="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18"/>
                    <pic:cNvPicPr>
                      <a:picLocks noChangeAspect="1" noChangeArrowheads="1"/>
                    </pic:cNvPicPr>
                  </pic:nvPicPr>
                  <pic:blipFill>
                    <a:blip r:embed="rId11"/>
                    <a:stretch>
                      <a:fillRect/>
                    </a:stretch>
                  </pic:blipFill>
                  <pic:spPr bwMode="auto">
                    <a:xfrm>
                      <a:off x="0" y="0"/>
                      <a:ext cx="2171700" cy="13487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8</w:t>
      </w:r>
      <w:r>
        <w:rPr/>
        <w:fldChar w:fldCharType="end"/>
      </w:r>
      <w:r>
        <w:rPr/>
        <w:t xml:space="preserve"> : HFMD (Źródło https://www.healthxchange.sg/how-to-prevent/hand-foot-and-mouth-disease/hand-foot-mouth-disease-hfmd-singapore-symptoms-causes)</w:t>
      </w:r>
    </w:p>
    <w:p>
      <w:pPr>
        <w:pStyle w:val="Heading3"/>
        <w:numPr>
          <w:ilvl w:val="2"/>
          <w:numId w:val="11"/>
        </w:numPr>
        <w:rPr/>
      </w:pPr>
      <w:bookmarkStart w:id="6" w:name="_Toc225177305"/>
      <w:r>
        <w:rPr>
          <w:bCs/>
        </w:rPr>
        <w:t xml:space="preserve"> </w:t>
      </w:r>
      <w:r>
        <w:rPr>
          <w:bCs/>
        </w:rPr>
        <w:t>Zmiany łagodne i inne klasy diagnostyczne</w:t>
      </w:r>
      <w:bookmarkEnd w:id="6"/>
    </w:p>
    <w:p>
      <w:pPr>
        <w:pStyle w:val="Normal"/>
        <w:rPr/>
      </w:pPr>
      <w:r>
        <w:rPr/>
        <w:t>Melanocytic nevi (znamiona melanocytarne) to łagodne proliferacje melanocytów, potocznie zwane "pieprzykami". Stanowią najliczniejszą klasę w zbiorze danych (1288 próbek testowych), co odzwierciedla ich częstość w populacji. Klinicznie i dermoskopowo mogą być trudne do odróżnienia od wczesnego czerniaka (błąd melanoma ↔ nevi) jest najczęstszym błędem klasyfikacyjnym we wszystkich badanych modelach.</w:t>
      </w:r>
    </w:p>
    <w:p>
      <w:pPr>
        <w:pStyle w:val="Normal"/>
        <w:keepNext w:val="true"/>
        <w:jc w:val="center"/>
        <w:rPr/>
      </w:pPr>
      <w:r>
        <w:rPr/>
        <w:drawing>
          <wp:inline distT="0" distB="0" distL="0" distR="0">
            <wp:extent cx="1744980" cy="1676400"/>
            <wp:effectExtent l="0" t="0" r="0" b="0"/>
            <wp:docPr id="10"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23"/>
                    <pic:cNvPicPr>
                      <a:picLocks noChangeAspect="1" noChangeArrowheads="1"/>
                    </pic:cNvPicPr>
                  </pic:nvPicPr>
                  <pic:blipFill>
                    <a:blip r:embed="rId12"/>
                    <a:stretch>
                      <a:fillRect/>
                    </a:stretch>
                  </pic:blipFill>
                  <pic:spPr bwMode="auto">
                    <a:xfrm>
                      <a:off x="0" y="0"/>
                      <a:ext cx="1744980" cy="167640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 (Źródło https://www.meaclinic.pl/co-wiesz-o-znamionach-i-czy-wiesz-jakodroznic-zwykle-znamie-od-czerniaka/)</w:t>
      </w:r>
    </w:p>
    <w:p>
      <w:pPr>
        <w:pStyle w:val="Normal"/>
        <w:rPr/>
      </w:pPr>
      <w:r>
        <w:rPr/>
        <w:t>Benign keratosis-like lesions (łagodne zmiany keratozopodobne) to heterogenna kategoria obejmująca zmiany z proliferacją keratynocytów o łagodnym charakterze. Dermatofibroma (włókniak skóry) to łagodny guz fibroblastyczny podskórnej tkanki łącznej, charakteryzujący się objawem "dołeczkowania" i specyficzną strukturą w dermoskopii. Vascular lesions (zmiany naczyniowe) to zróżnicowana grupa zmian o podłożu naczyniowym, w tym naczyniaki i pajączki naczyniowe.</w:t>
      </w:r>
    </w:p>
    <w:p>
      <w:pPr>
        <w:pStyle w:val="Heading2"/>
        <w:numPr>
          <w:ilvl w:val="1"/>
          <w:numId w:val="11"/>
        </w:numPr>
        <w:rPr/>
      </w:pPr>
      <w:bookmarkStart w:id="7" w:name="_Toc225177309"/>
      <w:r>
        <w:rPr>
          <w:bCs/>
        </w:rPr>
        <w:t>Rola sztucznej inteligencji we wspomaganiu diagnostyki dermatologicznej</w:t>
      </w:r>
      <w:bookmarkEnd w:id="7"/>
    </w:p>
    <w:p>
      <w:pPr>
        <w:pStyle w:val="Normal"/>
        <w:rPr/>
      </w:pPr>
      <w:r>
        <w:rPr/>
        <w:t>Przełomowa praca Esteva i in. z 2017 roku [</w:t>
      </w:r>
      <w:r>
        <w:rPr/>
        <w:t>4</w:t>
      </w:r>
      <w:r>
        <w:rPr/>
        <w:t>] wykazała, że sieć InceptionV3, wytrenowana na 129 450 zdjęciach zmian skórnych w 2032 klasach diagnostycznych, osiąga czułość i swoistość porównywalną z dermatologami-specjalistami w rozróżnianiu czerniaka od znamion melanocytarnych. Wyniki te zapoczątkowały erę systematycznych badań nad zastosowaniem sztucznej inteligencji w dermatologii, co znalazło odzwierciedlenie w rosnącej liczbie publikacji naukowych oraz konkursów klasyfikacyjnych, w tym corocznych zawodów organizowanych przez ISIC (International Skin Imaging Collaboration).</w:t>
        <w:br/>
        <w:tab/>
        <w:t>Do kluczowych wyzwań w tym obszarze należą: interpretowalnność decyzji modelu, gdyż w kontekście medycznym niezbędne jest uzasadnienie predykcji, któremu służą metody wyjaśnialnej sztucznej inteligencji (XAI) takie jak Grad-CAM; nierównowaga klas, ponieważ w zbiorach dermatologicznych klasy złośliwe są z reguły mniej liczne niż łagodne, co wymaga zastosowania specjalnych technik próbkowania oraz odpowiednich miar oceny; a także różnorodność aparatury, bowiem jakość zdjęć dermoskopowych zależy od sprzętu i warunków wykonania, co negatywnie wpływa na zdolność modeli do generalizacji.</w:t>
        <w:br/>
        <w:tab/>
        <w:t>Dostępność wielomodalnych zbiorów danych, takich jak ISIC 2020 Challenge Dataset (33 000 zdjęć) czy HAM10000 [</w:t>
      </w:r>
      <w:r>
        <w:rPr/>
        <w:t>3</w:t>
      </w:r>
      <w:r>
        <w:rPr/>
        <w:t>], umożliwiła trenowanie modeli na skalę wcześniej nieosiągalną. Równolegle systematycznie rozwijały się architektury sieci neuronowych, od AlexNet, przez VGG, ResNet i EfficientNet, aż po Vision Transformer, co stopniowo podnosiło jakość klasyfikacji w obrazowaniu medycznym.</w:t>
      </w:r>
      <w:bookmarkStart w:id="8" w:name="_Hlk168852068"/>
    </w:p>
    <w:p>
      <w:pPr>
        <w:pStyle w:val="Heading3"/>
        <w:numPr>
          <w:ilvl w:val="2"/>
          <w:numId w:val="12"/>
        </w:numPr>
        <w:rPr/>
      </w:pPr>
      <w:r>
        <w:rPr/>
        <w:t>Konwolucyjne sieci neuronowe - podstawy teoretyczne</w:t>
      </w:r>
    </w:p>
    <w:p>
      <w:pPr>
        <w:pStyle w:val="Normal"/>
        <w:rPr/>
      </w:pPr>
      <w:r>
        <w:rPr/>
        <w:t>Konwolucyjna sieć neuronowa (CNN) to klasa sieci głębokiego uczenia inspirowana organizacją kory wzrokowej ssaków. Koncepcję tę zaproponował LeCun i in. w 1989 roku</w:t>
      </w:r>
      <w:r>
        <w:rPr/>
        <w:t>[11]</w:t>
      </w:r>
      <w:r>
        <w:rPr/>
        <w:t>, jednak powszechne uznanie przyniosło jej dopiero zwycięstwo architektury AlexNet w konkursie ImageNet Large Scale Visual Recognition Challenge (ILSVRC) w 2012 roku, gdzie wskaźnik błędu top-5 spadł z 26% do 15%.</w:t>
        <w:br/>
        <w:tab/>
        <w:t>Podstawowym budulcem CNN jest warstwa konwolucyjna, składająca się z zestawu konfigurowalnych filtrów, zwanych jądrami konwolucji, które przesuwa się po wejściowej mapie cech i oblicza lokalne iloczyny skalarne. Każdy filtr uczy się wykrywać określony wzorzec: na niskich warstwach są to proste cechy takie jak krawędzie, narożniki czy barwy, natomiast na warstwach wyższych pojawiają się struktury bardziej złożone, takie jak tekstury czy całe obiekty. Kluczową właściwością CNN jest współdzielenie wag (ang. weight sharing), polegające na stosowaniu identycznego filtra w każdej pozycji obrazu, co znacząco redukuje liczbę parametrów w porównaniu z siecią w pełni połączoną.</w:t>
        <w:br/>
        <w:tab/>
        <w:t>Warstwy agregujące (ang. pooling) zmniejszają przestrzenny rozmiar map cech: wariant MaxPool wybiera wartość maksymalną w danym oknie, zaś AveragePool oblicza średnią. Szczególną rolę pełni Global Average Pooling (GAP), który zastępuje tradycyjne spłaszczanie mapy cech przed klasyfikatorem poprzez uśrednienie każdej mapy do jednej wartości, co ogranicza liczbę parametrów i zmniejsza ryzyko przeuczenia. Normalizacja wsadowa (Batch Normalization) stabilizuje rozkład aktywacji i przyspiesza proces uczenia. Funkcja aktywacji ReLU (Rectified Linear Unit), zdefiniowana jako f(x) = max(0, x), wprowadza nieliniowość przy zachowaniu wysokiej wydajności obliczeniowej. Z kolei Dropout polega na losowym wyłączaniu wybranych neuronów podczas treningu, co wymusza budowanie nadmiarowych reprezentacji i poprawia generalizację modelu.</w:t>
      </w:r>
    </w:p>
    <w:p>
      <w:pPr>
        <w:pStyle w:val="Normal"/>
        <w:keepNext w:val="true"/>
        <w:ind w:hanging="0"/>
        <w:jc w:val="center"/>
        <w:rPr/>
      </w:pPr>
      <w:r>
        <w:rPr/>
        <w:drawing>
          <wp:inline distT="0" distB="0" distL="0" distR="0">
            <wp:extent cx="3811270" cy="1480820"/>
            <wp:effectExtent l="0" t="0" r="0" b="0"/>
            <wp:docPr id="1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26"/>
                    <pic:cNvPicPr>
                      <a:picLocks noChangeAspect="1" noChangeArrowheads="1"/>
                    </pic:cNvPicPr>
                  </pic:nvPicPr>
                  <pic:blipFill>
                    <a:blip r:embed="rId13"/>
                    <a:stretch>
                      <a:fillRect/>
                    </a:stretch>
                  </pic:blipFill>
                  <pic:spPr bwMode="auto">
                    <a:xfrm>
                      <a:off x="0" y="0"/>
                      <a:ext cx="3811270" cy="1480820"/>
                    </a:xfrm>
                    <a:prstGeom prst="rect">
                      <a:avLst/>
                    </a:prstGeom>
                    <a:noFill/>
                  </pic:spPr>
                </pic:pic>
              </a:graphicData>
            </a:graphic>
          </wp:inline>
        </w:drawing>
      </w:r>
    </w:p>
    <w:p>
      <w:pPr>
        <w:pStyle w:val="Caption"/>
        <w:rPr>
          <w:lang w:val="en-US"/>
        </w:rPr>
      </w:pPr>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10</w:t>
      </w:r>
      <w:r>
        <w:rPr>
          <w:lang w:val="en-US"/>
        </w:rPr>
        <w:fldChar w:fldCharType="end"/>
      </w:r>
      <w:r>
        <w:rPr>
          <w:lang w:val="en-US"/>
        </w:rPr>
        <w:t xml:space="preserve"> CNN jak działa? (Źródło Decoding CNNs: A Beginner’s Guide to Convolutional Neural Networks and their Applications)</w:t>
      </w:r>
    </w:p>
    <w:p>
      <w:pPr>
        <w:pStyle w:val="Heading3"/>
        <w:numPr>
          <w:ilvl w:val="2"/>
          <w:numId w:val="12"/>
        </w:numPr>
        <w:rPr/>
      </w:pPr>
      <w:r>
        <w:rPr/>
        <w:t>ResNet-50 i połączenia rezydualne</w:t>
      </w:r>
    </w:p>
    <w:p>
      <w:pPr>
        <w:pStyle w:val="Normal"/>
        <w:ind w:hanging="0"/>
        <w:rPr/>
      </w:pPr>
      <w:r>
        <w:rPr/>
        <w:t>Model ResNet (Residual Network), zaproponowany przez He i in. w 2016 roku [</w:t>
      </w:r>
      <w:r>
        <w:rPr/>
        <w:t>6</w:t>
      </w:r>
      <w:r>
        <w:rPr/>
        <w:t>], rozwiązuje fundamentalny problem zanikającego gradientu w bardzo głębokich sieciach neuronowych poprzez wprowadzenie tzw. połączeń rezydualnych (ang. skip connections lub shortcut connections). Zamiast uczyć się bezpośredniego odwzorowania H(x), blok rezydualny uczy się residuum F(x) = H(x) − x, co sprawia, że propagacja gradientu odbywa się bezpośrednio przez połączenie skrótowe:</w:t>
      </w:r>
    </w:p>
    <w:p>
      <w:pPr>
        <w:pStyle w:val="Normal"/>
        <w:rPr/>
      </w:pPr>
      <w:r>
        <w:rPr/>
      </w:r>
    </w:p>
    <w:p>
      <w:pPr>
        <w:pStyle w:val="Normal"/>
        <w:jc w:val="center"/>
        <w:rPr>
          <w:rFonts w:eastAsia="" w:eastAsiaTheme="minorEastAsia"/>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x</m:t>
              </m:r>
            </m:den>
          </m:f>
          <m:r>
            <m:rPr>
              <m:lit/>
              <m:nor/>
            </m:rPr>
            <w:rPr>
              <w:rFonts w:ascii="Cambria Math" w:hAnsi="Cambria Math"/>
            </w:rPr>
            <m:t xml:space="preserve">=</m:t>
          </m:r>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1</m:t>
                  </m:r>
                  <m:r>
                    <m:rPr>
                      <m:lit/>
                      <m:nor/>
                    </m:rP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x</m:t>
                      </m:r>
                    </m:den>
                  </m:f>
                </m:e>
              </m:d>
            </m:den>
          </m:f>
        </m:oMath>
      </m:oMathPara>
    </w:p>
    <w:p>
      <w:pPr>
        <w:pStyle w:val="Normal"/>
        <w:ind w:firstLine="708"/>
        <w:rPr/>
      </w:pPr>
      <w:r>
        <w:rPr/>
        <w:t>Architektura składa się z czterech głównych grup bloków konwolucyjnych, nazywanych stage’ami. Każdy blok zawiera po trzy bloki typu bottleneck. Blok bottleneck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2"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5"/>
                    <pic:cNvPicPr>
                      <a:picLocks noChangeAspect="1" noChangeArrowheads="1"/>
                    </pic:cNvPicPr>
                  </pic:nvPicPr>
                  <pic:blipFill>
                    <a:blip r:embed="rId14"/>
                    <a:stretch>
                      <a:fillRect/>
                    </a:stretch>
                  </pic:blipFill>
                  <pic:spPr bwMode="auto">
                    <a:xfrm>
                      <a:off x="0" y="0"/>
                      <a:ext cx="5320030" cy="163131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11</w:t>
      </w:r>
      <w:r>
        <w:rPr/>
        <w:fldChar w:fldCharType="end"/>
      </w:r>
      <w:r>
        <w:rPr/>
        <w:t xml:space="preserve"> ResNet50 (Źródło https://blog.devgenius.io/resnet50-6b42934db431)</w:t>
      </w:r>
    </w:p>
    <w:p>
      <w:pPr>
        <w:pStyle w:val="Heading3"/>
        <w:numPr>
          <w:ilvl w:val="2"/>
          <w:numId w:val="12"/>
        </w:numPr>
        <w:rPr/>
      </w:pPr>
      <w:r>
        <w:rPr/>
        <w:t>MobileNetV3 – architektura mobilna</w:t>
      </w:r>
    </w:p>
    <w:p>
      <w:pPr>
        <w:pStyle w:val="Normal"/>
        <w:rPr>
          <w:rFonts w:eastAsia="Calibri" w:cs="Arial"/>
        </w:rPr>
      </w:pPr>
      <w:r>
        <w:rPr>
          <w:rFonts w:eastAsia="Calibri" w:cs="Arial"/>
        </w:rPr>
        <w:t>MobileNetV3, zaproponowany przez Howarda i współpracowników w 2019 roku [</w:t>
      </w:r>
      <w:r>
        <w:rPr>
          <w:rFonts w:eastAsia="Calibri" w:cs="Arial"/>
        </w:rPr>
        <w:t>7</w:t>
      </w:r>
      <w:r>
        <w:rPr>
          <w:rFonts w:eastAsia="Calibri" w:cs="Arial"/>
        </w:rPr>
        <w:t>], stanowi połączenie kilku kluczowych rozwiązań. Bazuje na odwróconych blokach rezydualnych z liniowym bottleneckiem znanych z MobileNetV</w:t>
      </w:r>
      <w:r>
        <w:rPr>
          <w:rFonts w:eastAsia="Calibri" w:cs="Arial"/>
        </w:rPr>
        <w:t>2</w:t>
      </w:r>
      <w:r>
        <w:rPr>
          <w:rFonts w:eastAsia="Calibri" w:cs="Arial"/>
        </w:rPr>
        <w:t>,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 model uczy się automatycznie ważenia poszczególnych kanałów mapy cech. Warto również zwrócić uwagę na aktywację h-swish, zdefiniowaną jako </w:t>
      </w:r>
      <w:r>
        <w:rPr/>
      </w:r>
      <m:oMath xmlns:m="http://schemas.openxmlformats.org/officeDocument/2006/math">
        <m:f>
          <m:num>
            <m:r>
              <w:rPr>
                <w:rFonts w:ascii="Cambria Math" w:hAnsi="Cambria Math"/>
              </w:rPr>
              <m:t xml:space="preserve">x</m:t>
            </m:r>
            <m:r>
              <w:rPr>
                <w:rFonts w:ascii="Cambria Math" w:hAnsi="Cambria Math"/>
              </w:rPr>
              <m:t xml:space="preserve">⋅</m:t>
            </m:r>
            <m:r>
              <w:rPr>
                <w:rFonts w:ascii="Cambria Math" w:hAnsi="Cambria Math"/>
              </w:rPr>
              <m:t xml:space="preserve">ReLU</m:t>
            </m:r>
            <m:r>
              <w:rPr>
                <w:rFonts w:ascii="Cambria Math" w:hAnsi="Cambria Math"/>
              </w:rPr>
              <m:t xml:space="preserve">6</m:t>
            </m:r>
            <m:d>
              <m:dPr>
                <m:begChr m:val="("/>
                <m:endChr m:val=")"/>
              </m:dPr>
              <m:e>
                <m:r>
                  <w:rPr>
                    <w:rFonts w:ascii="Cambria Math" w:hAnsi="Cambria Math"/>
                  </w:rPr>
                  <m:t xml:space="preserve">x</m:t>
                </m:r>
                <m:r>
                  <m:rPr>
                    <m:lit/>
                    <m:nor/>
                  </m:rPr>
                  <w:rPr>
                    <w:rFonts w:ascii="Cambria Math" w:hAnsi="Cambria Math"/>
                  </w:rPr>
                  <m:t xml:space="preserve">+</m:t>
                </m:r>
                <m:r>
                  <w:rPr>
                    <w:rFonts w:ascii="Cambria Math" w:hAnsi="Cambria Math"/>
                  </w:rPr>
                  <m:t xml:space="preserve">3</m:t>
                </m:r>
              </m:e>
            </m:d>
          </m:num>
          <m:den>
            <m:r>
              <w:rPr>
                <w:rFonts w:ascii="Cambria Math" w:hAnsi="Cambria Math"/>
              </w:rP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keepNext w:val="true"/>
        <w:jc w:val="center"/>
        <w:rPr/>
      </w:pPr>
      <w:r>
        <w:rPr/>
        <w:drawing>
          <wp:inline distT="0" distB="0" distL="0" distR="0">
            <wp:extent cx="4939030" cy="2050415"/>
            <wp:effectExtent l="0" t="0" r="0" b="0"/>
            <wp:docPr id="13"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4"/>
                    <pic:cNvPicPr>
                      <a:picLocks noChangeAspect="1" noChangeArrowheads="1"/>
                    </pic:cNvPicPr>
                  </pic:nvPicPr>
                  <pic:blipFill>
                    <a:blip r:embed="rId15"/>
                    <a:stretch>
                      <a:fillRect/>
                    </a:stretch>
                  </pic:blipFill>
                  <pic:spPr bwMode="auto">
                    <a:xfrm>
                      <a:off x="0" y="0"/>
                      <a:ext cx="4939030" cy="2050415"/>
                    </a:xfrm>
                    <a:prstGeom prst="rect">
                      <a:avLst/>
                    </a:prstGeom>
                    <a:noFill/>
                  </pic:spPr>
                </pic:pic>
              </a:graphicData>
            </a:graphic>
          </wp:inline>
        </w:drawing>
      </w:r>
    </w:p>
    <w:p>
      <w:pPr>
        <w:pStyle w:val="Caption"/>
        <w:rPr>
          <w:rFonts w:cs="Arial"/>
        </w:rPr>
      </w:pPr>
      <w:r>
        <w:rPr/>
        <w:t xml:space="preserve">Rysunek </w:t>
      </w:r>
      <w:r>
        <w:rPr/>
        <w:fldChar w:fldCharType="begin"/>
      </w:r>
      <w:r>
        <w:rPr/>
        <w:instrText xml:space="preserve"> SEQ Rysunek \* ARABIC </w:instrText>
      </w:r>
      <w:r>
        <w:rPr/>
        <w:fldChar w:fldCharType="separate"/>
      </w:r>
      <w:r>
        <w:rPr/>
        <w:t>12</w:t>
      </w:r>
      <w:r>
        <w:rPr/>
        <w:fldChar w:fldCharType="end"/>
      </w:r>
      <w:r>
        <w:rPr/>
        <w:t xml:space="preserve"> MobileNetV3 (Źródło https://pytorch.org/blog/torchvision-mobilenet-v3-implementation/)</w:t>
      </w:r>
    </w:p>
    <w:p>
      <w:pPr>
        <w:pStyle w:val="Heading3"/>
        <w:numPr>
          <w:ilvl w:val="2"/>
          <w:numId w:val="12"/>
        </w:numPr>
        <w:rPr/>
      </w:pPr>
      <w:r>
        <w:rPr/>
        <w:t>EfficientNet-B0 – złożone skalowanie</w:t>
      </w:r>
    </w:p>
    <w:p>
      <w:pPr>
        <w:pStyle w:val="Normal"/>
        <w:rPr/>
      </w:pPr>
      <w:r>
        <w:rPr/>
        <w:t>EfficientNet, zaproponowany przez Tana i Le w 2019 roku [</w:t>
      </w:r>
      <w:r>
        <w:rPr/>
        <w:t>8</w:t>
      </w:r>
      <w:r>
        <w:rPr/>
        <w:t>], wprowadza koncepcję złożo-nego skalowania (compound scaling).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7"/>
                    <pic:cNvPicPr>
                      <a:picLocks noChangeAspect="1" noChangeArrowheads="1"/>
                    </pic:cNvPicPr>
                  </pic:nvPicPr>
                  <pic:blipFill>
                    <a:blip r:embed="rId16"/>
                    <a:stretch>
                      <a:fillRect/>
                    </a:stretch>
                  </pic:blipFill>
                  <pic:spPr bwMode="auto">
                    <a:xfrm>
                      <a:off x="0" y="0"/>
                      <a:ext cx="3617595" cy="16306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13</w:t>
      </w:r>
      <w:r>
        <w:rPr/>
        <w:fldChar w:fldCharType="end"/>
      </w:r>
      <w:r>
        <w:rPr/>
        <w:t xml:space="preserve"> EfficientNet architektura (Źródło https://viso.ai/deep-learning/efficientnet/)</w:t>
      </w:r>
    </w:p>
    <w:p>
      <w:pPr>
        <w:pStyle w:val="Heading3"/>
        <w:numPr>
          <w:ilvl w:val="2"/>
          <w:numId w:val="12"/>
        </w:numPr>
        <w:rPr/>
      </w:pPr>
      <w:r>
        <w:rPr/>
        <w:t>Transformer wizyjny - podstawy teoretyczne</w:t>
      </w:r>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w:t>
      </w:r>
      <w:r>
        <w:rPr/>
        <w:t>[5]</w:t>
      </w:r>
      <w:r>
        <w:rPr/>
        <w:t xml:space="preserve"> w pracy pt. „An Image is Worth 16x16 Words”, podważyła dotychczasową dominację warstw konwolucyjnych. Autorzy wykazali, że mechanizm samoatencji (ang. self-attention)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(ang. patches)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(ang. positional embeddings). Dostarczają one sieci niezbędnych informacji o przestrzennym rozmieszczeniu fragmentów obrazu względem siebie. Na wzór modeli językowych typu BERT, do sekwencji dołączany jest również specjalny, uczony token klasyfikacyjny (ang. class token), którego stan na wyjściu służy do generowania ostatecznej predykcji.</w:t>
      </w:r>
    </w:p>
    <w:p>
      <w:pPr>
        <w:pStyle w:val="Normal"/>
        <w:rPr/>
      </w:pPr>
      <w:r>
        <w:rPr/>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(ang. long-range dependencies) już na najniższych warstwach architektury. ViT charakteryzuje się jednak znacznie mniejszym indukcyjnym obciążeniem (ang. inductive bias) niż sieci konwolucyjne – nie posiada on wbudowanych założeń o lokalności cech czy translacyjnej ekwiwariancji. Z tego powodu modele te wykazują duży apetyt na dane (ang. data hunger), wymagając wstępnego trenowania na potężnych korpusach, takich jak ImageNet-21k lub JFT-300M, aby w pełni wykorzystać swój potencjał w zadaniach klasyfikacji medycznej.</w:t>
      </w:r>
    </w:p>
    <w:p>
      <w:pPr>
        <w:pStyle w:val="Heading3"/>
        <w:numPr>
          <w:ilvl w:val="2"/>
          <w:numId w:val="12"/>
        </w:numPr>
        <w:rPr>
          <w:lang w:val="en-US"/>
        </w:rPr>
      </w:pPr>
      <w:r>
        <w:rPr>
          <w:lang w:val="en-US"/>
        </w:rPr>
        <w:t>Vision Transformer (ViT-B/16) – mechanizm samoatencji</w:t>
      </w:r>
    </w:p>
    <w:p>
      <w:pPr>
        <w:pStyle w:val="Normal"/>
        <w:rPr/>
      </w:pPr>
      <w:r>
        <w:rPr/>
        <w:t>Model ViT-B/16</w:t>
      </w:r>
      <w:r>
        <w:rPr/>
        <w:t>[5]</w:t>
      </w:r>
      <w:r>
        <w:rPr/>
        <w:t xml:space="preserve"> wykorzystany w badaniach to wariant „Base” (stąd litera B) z podziałem na płaty o rozmiarze 16×16 pikseli. Wybór tego konkretnego rozmiaru płata (ang. patch size)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hidden size).</w:t>
      </w:r>
    </w:p>
    <w:p>
      <w:pPr>
        <w:pStyle w:val="Normal"/>
        <w:rPr/>
      </w:pPr>
      <w:r>
        <w:rPr/>
      </w:r>
    </w:p>
    <w:p>
      <w:pPr>
        <w:pStyle w:val="Normal"/>
        <w:rPr/>
      </w:pPr>
      <w:r>
        <w:rPr/>
        <w:t>Kluczowym elementem wariantu B/16 jest zastosowanie wielogłowicowej atencji (ang. Multi-Head Attention)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w:t>
      </w:r>
      <w:r>
        <w:rPr/>
        <w:t>[5]</w:t>
      </w:r>
      <w:r>
        <w:rP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5"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8"/>
                    <pic:cNvPicPr>
                      <a:picLocks noChangeAspect="1" noChangeArrowheads="1"/>
                    </pic:cNvPicPr>
                  </pic:nvPicPr>
                  <pic:blipFill>
                    <a:blip r:embed="rId17"/>
                    <a:stretch>
                      <a:fillRect/>
                    </a:stretch>
                  </pic:blipFill>
                  <pic:spPr bwMode="auto">
                    <a:xfrm>
                      <a:off x="0" y="0"/>
                      <a:ext cx="4256405" cy="19964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14</w:t>
      </w:r>
      <w:r>
        <w:rPr/>
        <w:fldChar w:fldCharType="end"/>
      </w:r>
      <w:r>
        <w:rPr/>
        <w:t xml:space="preserve"> Vision Transformer - Jak działa? (Źródło https://sh-tsang.medium.com/review-vision-transformer-vit-406568603de0)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left="851"/>
        <w:rPr/>
      </w:pPr>
      <w:bookmarkStart w:id="9" w:name="_Toc225177315"/>
      <w:r>
        <w:rPr/>
        <w:t>Projekt</w:t>
      </w:r>
      <w:bookmarkEnd w:id="9"/>
    </w:p>
    <w:p>
      <w:pPr>
        <w:pStyle w:val="Normal"/>
        <w:rPr/>
      </w:pPr>
      <w:bookmarkStart w:id="10" w:name="_Toc137420675"/>
      <w:bookmarkEnd w:id="10"/>
      <w:r>
        <w:rPr/>
        <w:t>W tym rozdziale zostaną zdefiniowane założenia realizacji projektu, tzn. co i jak ma zostać wykonane w ramach części praktycznej pracy.</w:t>
      </w:r>
    </w:p>
    <w:p>
      <w:pPr>
        <w:pStyle w:val="Normal"/>
        <w:rPr/>
      </w:pPr>
      <w:r>
        <w:rPr/>
      </w:r>
    </w:p>
    <w:p>
      <w:pPr>
        <w:pStyle w:val="Normal"/>
        <w:ind w:hanging="0"/>
        <w:rPr/>
      </w:pPr>
      <w:r>
        <w:rPr/>
        <w:t>Zaprojektowany i wykonany zostanie system informatyczny wspomagający klasyfikację zmian skórnych, wykorzystujący modele głębokiego uczenia (Deep Learning). System będzie uwzględniać cztery główne elementy:</w:t>
      </w:r>
    </w:p>
    <w:p>
      <w:pPr>
        <w:pStyle w:val="ListParagraph"/>
        <w:numPr>
          <w:ilvl w:val="0"/>
          <w:numId w:val="13"/>
        </w:numPr>
        <w:rPr/>
      </w:pPr>
      <w:r>
        <w:rPr/>
        <w:t>Wielomodelową analizę obrazu – wytrenowanie i porównanie pięciu architektur: ResNet50, EfficientNet-B0, Vision Transformer (ViT-B/16), MobileNetV3 oraz autorskiej sieci Custom CNN,</w:t>
      </w:r>
    </w:p>
    <w:p>
      <w:pPr>
        <w:pStyle w:val="ListParagraph"/>
        <w:numPr>
          <w:ilvl w:val="0"/>
          <w:numId w:val="13"/>
        </w:numPr>
        <w:rPr/>
      </w:pPr>
      <w:r>
        <w:rPr/>
        <w:t>Elastyczną akwizycję danych – możliwość wgrania zdjęcia z dysku lub bezpośredniego połączenia z telefonem w celu wykonania i przesłania fotografii,</w:t>
      </w:r>
    </w:p>
    <w:p>
      <w:pPr>
        <w:pStyle w:val="ListParagraph"/>
        <w:numPr>
          <w:ilvl w:val="0"/>
          <w:numId w:val="13"/>
        </w:numPr>
        <w:rPr/>
      </w:pPr>
      <w:r>
        <w:rPr/>
        <w:t>Wyjaśnialność predykcji (XAI) – prezentację wyników w formie prawdopodobieństwa oraz generowanie map Grad-CAM, wskazujących obszary, na których skupił się model,</w:t>
      </w:r>
    </w:p>
    <w:p>
      <w:pPr>
        <w:pStyle w:val="ListParagraph"/>
        <w:numPr>
          <w:ilvl w:val="0"/>
          <w:numId w:val="13"/>
        </w:numPr>
        <w:rPr/>
      </w:pPr>
      <w:r>
        <w:rPr/>
        <w:t>Kontekstualizację badania –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0"/>
          <w:numId w:val="0"/>
        </w:numPr>
        <w:ind w:hanging="0" w:left="0"/>
        <w:rPr/>
      </w:pPr>
      <w:r>
        <w:rPr/>
        <w:t>2.1 Charakterystyka środowiska i stosu technologicznego</w:t>
      </w:r>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6"/>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6"/>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6"/>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6"/>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left="0"/>
        <w:rPr/>
      </w:pPr>
      <w:r>
        <w:rPr/>
        <w:t>2.2 Przygotowanie danych</w:t>
      </w:r>
    </w:p>
    <w:p>
      <w:pPr>
        <w:pStyle w:val="Normal"/>
        <w:ind w:hanging="0"/>
        <w:rPr/>
      </w:pPr>
      <w:r>
        <w:rPr/>
        <w:t>Podstawę empiryczną niniejszej pracy stanowi zbiór danych Skin Lesions Dataset, będący wynikiem fuzji dwóch uznanych w literaturze przedmiotu repozytoriów: HAM10000 (Human Against Machine with 10 000 training images) [</w:t>
      </w:r>
      <w:r>
        <w:rPr/>
        <w:t>3</w:t>
      </w:r>
      <w:r>
        <w:rPr/>
        <w:t>] oraz MSLDv2.0 (Monkeypox Skin Lesion Dataset) [8]. Połączenie to miało na celu zwiększenie różnorodności przypadków klinicznych oraz poprawę zdolności generalizacyjnych modelu poprzez uwzględnienie szerszego spektrum jednostek chorobowych.</w:t>
      </w:r>
    </w:p>
    <w:p>
      <w:pPr>
        <w:pStyle w:val="Normal"/>
        <w:ind w:hanging="0"/>
        <w:rPr/>
      </w:pPr>
      <w:r>
        <w:rPr/>
      </w:r>
    </w:p>
    <w:p>
      <w:pPr>
        <w:pStyle w:val="Normal"/>
        <w:ind w:hanging="0"/>
        <w:rPr/>
      </w:pPr>
      <w:r>
        <w:rPr/>
        <w:t>Pierwszy z komponentów, zbiór HAM10000</w:t>
      </w:r>
      <w:r>
        <w:rPr/>
        <w:t>[3]</w:t>
      </w:r>
      <w:r>
        <w:rPr/>
        <w:t>, opracowany przez zespół Tschandla w 2018 roku, stanowi standard w badaniach nad automatyczną diagnostyką dermatologiczną. Dane te zostały pozyskane z trzech ośrodków klinicznych: Departamentu Dermatologii Uniwersytetu Medycznego w Wiedniu (Austria), Hospital Clínic de Barcelona (Hiszpania) oraz z anonimowych placówek w ramach projektu MSK. Zbiór ten dostarcza wysokiej jakości obrazów dermoskopowych obejmujących siedem podstawowych kategorii zmian skórnych, w tym zmiany łagodne i nowotworowe.</w:t>
      </w:r>
    </w:p>
    <w:p>
      <w:pPr>
        <w:pStyle w:val="Normal"/>
        <w:ind w:hanging="0"/>
        <w:rPr/>
      </w:pPr>
      <w:r>
        <w:rPr/>
      </w:r>
    </w:p>
    <w:p>
      <w:pPr>
        <w:pStyle w:val="Normal"/>
        <w:ind w:hanging="0"/>
        <w:rPr/>
      </w:pPr>
      <w:r>
        <w:rPr/>
        <w:t>Drugi komponent, MSLDv2.0</w:t>
      </w:r>
      <w:r>
        <w:rPr/>
        <w:t>[10]</w:t>
      </w:r>
      <w:r>
        <w:rPr/>
        <w:t>,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algorithmic bias) wynikającego z różnic w pigmentacji skóry.</w:t>
      </w:r>
    </w:p>
    <w:p>
      <w:pPr>
        <w:pStyle w:val="Normal"/>
        <w:ind w:hanging="0"/>
        <w:rPr/>
      </w:pPr>
      <w:r>
        <w:rPr/>
      </w:r>
    </w:p>
    <w:p>
      <w:pPr>
        <w:pStyle w:val="Normal"/>
        <w:ind w:hanging="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4"/>
        </w:numPr>
        <w:rPr/>
      </w:pPr>
      <w:r>
        <w:rPr/>
        <w:t>Zbiór treningowy, wykorzystywany do optymalizacji wag modelu,</w:t>
      </w:r>
    </w:p>
    <w:p>
      <w:pPr>
        <w:pStyle w:val="ListParagraph"/>
        <w:numPr>
          <w:ilvl w:val="0"/>
          <w:numId w:val="14"/>
        </w:numPr>
        <w:rPr/>
      </w:pPr>
      <w:r>
        <w:rPr/>
        <w:t>Zbiór testowy, obejmujący 3 674 obrazy (ok. 20% całości), służący do końcowej oceny skuteczności klasyfikacji.</w:t>
      </w:r>
    </w:p>
    <w:p>
      <w:pPr>
        <w:pStyle w:val="Normal"/>
        <w:ind w:hanging="0"/>
        <w:rPr/>
      </w:pPr>
      <w:r>
        <w:rPr/>
      </w:r>
    </w:p>
    <w:p>
      <w:pPr>
        <w:pStyle w:val="Normal"/>
        <w:ind w:hanging="0"/>
        <w:rPr/>
      </w:pPr>
      <w:r>
        <w:rPr/>
        <w:t>Szczegółowa struktura zbioru testowego oraz liczebność poszczególnych klas zostały zestawione w rozdziale 5, w sekcji poświęconej wynikom eksperymentalnym i raportom klasyfikacyjnym. 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left="0"/>
        <w:rPr/>
      </w:pPr>
      <w:r>
        <w:rPr/>
        <w:t>2.3 Podział danych oraz techniki przetwarzania wstępnego</w:t>
      </w:r>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w:t>
      </w:r>
      <w:r>
        <w:rPr/>
        <w:t>[12]</w:t>
      </w:r>
      <w:r>
        <w:rPr/>
        <w:t>.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fldChar w:fldCharType="begin"/>
      </w:r>
      <w:r>
        <w:rPr/>
        <w:instrText xml:space="preserve"> REF _Ref225604959 \h </w:instrText>
      </w:r>
      <w:r>
        <w:rPr/>
        <w:fldChar w:fldCharType="separate"/>
      </w:r>
      <w:r>
        <w:rPr/>
        <w:t>Tabela 1 Liczba próbek w zbiorze testowym dla poszczególnych klas</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11" w:name="_Ref225604959"/>
      <w:bookmarkStart w:id="12" w:name="_Ref225605038"/>
      <w:r>
        <w:rPr/>
        <w:t xml:space="preserve">Tabela </w:t>
      </w:r>
      <w:r>
        <w:rPr/>
        <w:fldChar w:fldCharType="begin"/>
      </w:r>
      <w:r>
        <w:rPr/>
        <w:instrText xml:space="preserve"> SEQ Tabela \* ARABIC </w:instrText>
      </w:r>
      <w:r>
        <w:rPr/>
        <w:fldChar w:fldCharType="separate"/>
      </w:r>
      <w:r>
        <w:rPr/>
        <w:t>1</w:t>
      </w:r>
      <w:r>
        <w:rPr/>
        <w:fldChar w:fldCharType="end"/>
      </w:r>
      <w:bookmarkEnd w:id="12"/>
      <w:r>
        <w:rPr/>
        <w:t xml:space="preserve"> Liczba próbek w zbiorze testowym dla poszczególnych klas</w:t>
      </w:r>
      <w:bookmarkEnd w:id="11"/>
    </w:p>
    <w:tbl>
      <w:tblPr>
        <w:tblW w:w="8788" w:type="dxa"/>
        <w:jc w:val="left"/>
        <w:tblInd w:w="125" w:type="dxa"/>
        <w:tblLayout w:type="fixed"/>
        <w:tblCellMar>
          <w:top w:w="80" w:type="dxa"/>
          <w:left w:w="120" w:type="dxa"/>
          <w:bottom w:w="80" w:type="dxa"/>
          <w:right w:w="120" w:type="dxa"/>
        </w:tblCellMar>
        <w:tblLook w:firstRow="1" w:noVBand="1" w:lastRow="0" w:firstColumn="1" w:lastColumn="0" w:noHBand="0" w:val="04a0"/>
      </w:tblPr>
      <w:tblGrid>
        <w:gridCol w:w="4834"/>
        <w:gridCol w:w="1974"/>
        <w:gridCol w:w="1980"/>
      </w:tblGrid>
      <w:tr>
        <w:trPr/>
        <w:tc>
          <w:tcPr>
            <w:tcW w:w="483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Klasa</w:t>
            </w:r>
          </w:p>
        </w:tc>
        <w:tc>
          <w:tcPr>
            <w:tcW w:w="197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Próbki testowe</w:t>
            </w:r>
          </w:p>
        </w:tc>
        <w:tc>
          <w:tcPr>
            <w:tcW w:w="1980"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Actinic keratoses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Basal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333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Benign keratosis-like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7.2%</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Chickenpox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Cowpox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99</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Dermatofibroma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25</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HFMD</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242</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Healthy</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171</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Measles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Melanocytic nevi</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35.1%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453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Monkeypox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Squamous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Vascular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RAZEM</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3 674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100%</w:t>
            </w:r>
          </w:p>
        </w:tc>
      </w:tr>
    </w:tbl>
    <w:p>
      <w:pPr>
        <w:pStyle w:val="Heading2"/>
        <w:numPr>
          <w:ilvl w:val="0"/>
          <w:numId w:val="0"/>
        </w:numPr>
        <w:ind w:hanging="0" w:left="0"/>
        <w:rPr/>
      </w:pPr>
      <w:r>
        <w:rPr/>
      </w:r>
    </w:p>
    <w:p>
      <w:pPr>
        <w:pStyle w:val="Heading2"/>
        <w:numPr>
          <w:ilvl w:val="0"/>
          <w:numId w:val="0"/>
        </w:numPr>
        <w:ind w:hanging="0" w:left="0"/>
        <w:rPr/>
      </w:pPr>
      <w:r>
        <w:rPr/>
        <w:t>2.4 Architektura własnego modelu CNN</w:t>
      </w:r>
    </w:p>
    <w:p>
      <w:pPr>
        <w:pStyle w:val="Normal"/>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r>
    </w:p>
    <w:p>
      <w:pPr>
        <w:pStyle w:val="Normal"/>
        <w:rPr/>
      </w:pPr>
      <w:r>
        <w:rPr/>
        <w:t>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pPr>
        <w:pStyle w:val="Normal"/>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pPr>
        <w:pStyle w:val="Normal"/>
        <w:rPr/>
      </w:pPr>
      <w:r>
        <w:rPr/>
      </w:r>
    </w:p>
    <w:p>
      <w:pPr>
        <w:pStyle w:val="Normal"/>
        <w:rPr/>
      </w:pPr>
      <w:r>
        <w:rPr/>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r>
        <w:rPr/>
        <w:t xml:space="preserve">Rysunek </w:t>
      </w:r>
      <w:r>
        <w:rPr/>
        <w:fldChar w:fldCharType="begin"/>
      </w:r>
      <w:r>
        <w:rPr/>
        <w:instrText xml:space="preserve"> SEQ Rysunek \* ARABIC </w:instrText>
      </w:r>
      <w:r>
        <w:rPr/>
        <w:fldChar w:fldCharType="separate"/>
      </w:r>
      <w:r>
        <w:rPr/>
        <w:t>15</w:t>
      </w:r>
      <w:r>
        <w:rPr/>
        <w:fldChar w:fldCharType="end"/>
      </w:r>
      <w:r>
        <w:rPr/>
        <w:t xml:space="preserve"> CNN - architektura modelu</w:t>
      </w:r>
    </w:p>
    <w:p>
      <w:pPr>
        <w:pStyle w:val="Heading2"/>
        <w:numPr>
          <w:ilvl w:val="0"/>
          <w:numId w:val="0"/>
        </w:numPr>
        <w:ind w:hanging="0" w:left="0"/>
        <w:rPr/>
      </w:pPr>
      <w:r>
        <w:rPr/>
        <w:t>2.5 Wizualizacja decyzji modelu za pomocą GRAD-CAM</w:t>
      </w:r>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 Class Activation Mapping, opracowaną przez zespół Selvaraju</w:t>
      </w:r>
      <w:r>
        <w:rPr/>
        <w:t>[9]</w:t>
      </w:r>
      <w:r>
        <w:rPr/>
        <w:t>.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r>
            <m:rPr>
              <m:lit/>
              <m:nor/>
            </m:rPr>
            <w:rPr>
              <w:rFonts w:ascii="Cambria Math" w:hAnsi="Cambria Math"/>
            </w:rPr>
            <m:t xml:space="preserve">=</m:t>
          </m:r>
          <m:f>
            <m:num>
              <m:r>
                <w:rPr>
                  <w:rFonts w:ascii="Cambria Math" w:hAnsi="Cambria Math"/>
                </w:rPr>
                <m:t xml:space="preserve">1</m:t>
              </m:r>
            </m:num>
            <m:den>
              <m:r>
                <w:rPr>
                  <w:rFonts w:ascii="Cambria Math" w:hAnsi="Cambria Math"/>
                </w:rPr>
                <m:t xml:space="preserve">Z</m:t>
              </m:r>
            </m:den>
          </m:f>
          <m:nary>
            <m:naryPr>
              <m:chr m:val="∑"/>
              <m:supHide m:val="1"/>
            </m:naryPr>
            <m:sub>
              <m:r>
                <w:rPr>
                  <w:rFonts w:ascii="Cambria Math" w:hAnsi="Cambria Math"/>
                </w:rPr>
                <m:t xml:space="preserve">i</m:t>
              </m:r>
            </m:sub>
            <m:sup/>
            <m:e>
              <m:nary>
                <m:naryPr>
                  <m:chr m:val="∑"/>
                  <m:supHide m:val="1"/>
                </m:naryPr>
                <m:sub>
                  <m:r>
                    <w:rPr>
                      <w:rFonts w:ascii="Cambria Math" w:hAnsi="Cambria Math"/>
                    </w:rPr>
                    <m:t xml:space="preserve">j</m:t>
                  </m:r>
                </m:sub>
                <m:sup/>
                <m:e>
                  <m:f>
                    <m:num>
                      <m:r>
                        <w:rPr>
                          <w:rFonts w:ascii="Cambria Math" w:hAnsi="Cambria Math"/>
                        </w:rPr>
                        <m:t xml:space="preserve">∂</m:t>
                      </m:r>
                      <m:sSup>
                        <m:e>
                          <m:r>
                            <w:rPr>
                              <w:rFonts w:ascii="Cambria Math" w:hAnsi="Cambria Math"/>
                            </w:rPr>
                            <m:t xml:space="preserve">y</m:t>
                          </m:r>
                        </m:e>
                        <m:sup>
                          <m:r>
                            <w:rPr>
                              <w:rFonts w:ascii="Cambria Math" w:hAnsi="Cambria Math"/>
                            </w:rPr>
                            <m:t xml:space="preserve">c</m:t>
                          </m:r>
                        </m:sup>
                      </m:sSup>
                    </m:num>
                    <m:den>
                      <m:r>
                        <w:rPr>
                          <w:rFonts w:ascii="Cambria Math" w:hAnsi="Cambria Math"/>
                        </w:rPr>
                        <m:t xml:space="preserve">∂</m:t>
                      </m:r>
                      <m:sSubSup>
                        <m:e>
                          <m:r>
                            <w:rPr>
                              <w:rFonts w:ascii="Cambria Math" w:hAnsi="Cambria Math"/>
                            </w:rPr>
                            <m:t xml:space="preserve">A</m:t>
                          </m:r>
                        </m:e>
                        <m:sub>
                          <m:d>
                            <m:dPr>
                              <m:begChr m:val="{"/>
                              <m:endChr m:val="}"/>
                            </m:dPr>
                            <m:e>
                              <m:r>
                                <w:rPr>
                                  <w:rFonts w:ascii="Cambria Math" w:hAnsi="Cambria Math"/>
                                </w:rPr>
                                <m:t xml:space="preserve">ij</m:t>
                              </m:r>
                            </m:e>
                          </m:d>
                        </m:sub>
                        <m:sup>
                          <m:r>
                            <w:rPr>
                              <w:rFonts w:ascii="Cambria Math" w:hAnsi="Cambria Math"/>
                            </w:rP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L</m:t>
              </m:r>
            </m:e>
            <m:sub>
              <m:d>
                <m:dPr>
                  <m:begChr m:val="{"/>
                  <m:endChr m:val="}"/>
                </m:dPr>
                <m:e>
                  <m:r>
                    <w:rPr>
                      <w:rFonts w:ascii="Cambria Math" w:hAnsi="Cambria Math"/>
                    </w:rPr>
                    <m:t xml:space="preserve">Grad</m:t>
                  </m:r>
                  <m:r>
                    <m:rPr>
                      <m:lit/>
                      <m:nor/>
                    </m:rPr>
                    <w:rPr>
                      <w:rFonts w:ascii="Cambria Math" w:hAnsi="Cambria Math"/>
                    </w:rPr>
                    <m:t xml:space="preserve">-</m:t>
                  </m:r>
                  <m:r>
                    <w:rPr>
                      <w:rFonts w:ascii="Cambria Math" w:hAnsi="Cambria Math"/>
                    </w:rPr>
                    <m:t xml:space="preserve">CAM</m:t>
                  </m:r>
                </m:e>
              </m:d>
            </m:sub>
            <m:sup>
              <m:r>
                <w:rPr>
                  <w:rFonts w:ascii="Cambria Math" w:hAnsi="Cambria Math"/>
                </w:rPr>
                <m:t xml:space="preserve">c</m:t>
              </m:r>
            </m:sup>
          </m:sSubSup>
          <m:r>
            <m:rPr>
              <m:lit/>
              <m:nor/>
            </m:rPr>
            <w:rPr>
              <w:rFonts w:ascii="Cambria Math" w:hAnsi="Cambria Math"/>
            </w:rPr>
            <m:t xml:space="preserve">=</m:t>
          </m:r>
          <m:r>
            <w:rPr>
              <w:rFonts w:ascii="Cambria Math" w:hAnsi="Cambria Math"/>
            </w:rPr>
            <m:t xml:space="preserve">ReLU</m:t>
          </m:r>
          <m:d>
            <m:dPr>
              <m:begChr m:val="("/>
              <m:endChr m:val=")"/>
            </m:dPr>
            <m:e>
              <m:nary>
                <m:naryPr>
                  <m:chr m:val="∑"/>
                  <m:supHide m:val="1"/>
                </m:naryPr>
                <m:sub>
                  <m:r>
                    <w:rPr>
                      <w:rFonts w:ascii="Cambria Math" w:hAnsi="Cambria Math"/>
                    </w:rPr>
                    <m:t xml:space="preserve">k</m:t>
                  </m:r>
                </m:sub>
                <m:sup/>
                <m:e>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sSup>
                    <m:e>
                      <m:r>
                        <w:rPr>
                          <w:rFonts w:ascii="Cambria Math" w:hAnsi="Cambria Math"/>
                        </w:rPr>
                        <m:t xml:space="preserve">A</m:t>
                      </m:r>
                    </m:e>
                    <m:sup>
                      <m:r>
                        <w:rPr>
                          <w:rFonts w:ascii="Cambria Math" w:hAnsi="Cambria Math"/>
                        </w:rP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y</m:t>
            </m:r>
          </m:e>
          <m:sup>
            <m:r>
              <w:rPr>
                <w:rFonts w:ascii="Cambria Math" w:hAnsi="Cambria Math"/>
              </w:rPr>
              <m:t xml:space="preserve">c</m:t>
            </m:r>
          </m:sup>
        </m:sSup>
      </m:oMath>
      <w:r>
        <w:rPr>
          <w:rFonts w:eastAsia="" w:eastAsiaTheme="minorEastAsia"/>
        </w:rPr>
        <w:t xml:space="preserve"> </w:t>
      </w:r>
      <w:r>
        <w:rPr>
          <w:rFonts w:eastAsia="" w:eastAsiaTheme="minorEastAsia"/>
        </w:rPr>
        <w:t xml:space="preserve">oznacza wynik surowy (logit) uzyskany przez sieć dla analizowanej klasy </w:t>
      </w:r>
      <w:r>
        <w:rPr/>
      </w:r>
      <m:oMath xmlns:m="http://schemas.openxmlformats.org/officeDocument/2006/math">
        <m:r>
          <w:rPr>
            <w:rFonts w:ascii="Cambria Math" w:hAnsi="Cambria Math"/>
          </w:rPr>
          <m:t xml:space="preserve">c</m:t>
        </m:r>
      </m:oMath>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A</m:t>
            </m:r>
          </m:e>
          <m:sup>
            <m:r>
              <w:rPr>
                <w:rFonts w:ascii="Cambria Math" w:hAnsi="Cambria Math"/>
              </w:rPr>
              <m:t xml:space="preserve">k</m:t>
            </m:r>
          </m:sup>
        </m:sSup>
      </m:oMath>
      <w:r>
        <w:rPr>
          <w:rFonts w:eastAsia="" w:eastAsiaTheme="minorEastAsia"/>
        </w:rPr>
        <w:t xml:space="preserve">  </w:t>
      </w:r>
      <w:r>
        <w:rPr>
          <w:rFonts w:eastAsia="" w:eastAsiaTheme="minorEastAsia"/>
        </w:rPr>
        <w:t>reprezentuje aktywację k-tej mapy cech w ostatniej warstwie splotowej.</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i</m:t>
        </m:r>
      </m:oMath>
      <w:r>
        <w:rPr>
          <w:rFonts w:eastAsia="" w:eastAsiaTheme="minorEastAsia"/>
        </w:rPr>
        <w:t xml:space="preserve"> </w:t>
      </w:r>
      <w:r>
        <w:rPr>
          <w:rFonts w:eastAsia="" w:eastAsiaTheme="minorEastAsia"/>
        </w:rPr>
        <w:t xml:space="preserve">oraz </w:t>
      </w:r>
      <w:r>
        <w:rPr/>
      </w:r>
      <m:oMath xmlns:m="http://schemas.openxmlformats.org/officeDocument/2006/math">
        <m:r>
          <w:rPr>
            <w:rFonts w:ascii="Cambria Math" w:hAnsi="Cambria Math"/>
          </w:rPr>
          <m:t xml:space="preserve">j</m:t>
        </m:r>
      </m:oMath>
      <w:r>
        <w:rPr>
          <w:rFonts w:eastAsia="" w:eastAsiaTheme="minorEastAsia"/>
        </w:rPr>
        <w:t xml:space="preserve">  to współrzędne przestrzenne pikseli w obrębie mapy cech.</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Z</m:t>
        </m:r>
      </m:oMath>
      <w:r>
        <w:rPr>
          <w:rFonts w:eastAsia="" w:eastAsiaTheme="minorEastAsia"/>
        </w:rPr>
        <w:t xml:space="preserve"> </w:t>
      </w:r>
      <w:r>
        <w:rPr>
          <w:rFonts w:eastAsia="" w:eastAsiaTheme="minorEastAsia"/>
        </w:rPr>
        <w:t>określa całkowitą liczbę pikseli w mapie aktywacji, co wynika z operacji uśredniania.</w:t>
      </w:r>
    </w:p>
    <w:p>
      <w:pPr>
        <w:pStyle w:val="ListParagraph"/>
        <w:numPr>
          <w:ilvl w:val="0"/>
          <w:numId w:val="15"/>
        </w:numPr>
        <w:rPr>
          <w:rFonts w:eastAsia="" w:eastAsiaTheme="minorEastAsia"/>
        </w:rPr>
      </w:pPr>
      <w:r>
        <w:rPr/>
      </w:r>
      <m:oMath xmlns:m="http://schemas.openxmlformats.org/officeDocument/2006/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oMath>
      <w:r>
        <w:rPr>
          <w:rFonts w:eastAsia="" w:eastAsiaTheme="minorEastAsia"/>
        </w:rPr>
        <w:t xml:space="preserve"> </w:t>
      </w:r>
      <w:r>
        <w:rPr>
          <w:rFonts w:eastAsia="" w:eastAsiaTheme="minorEastAsia"/>
        </w:rPr>
        <w:t xml:space="preserve">stanowi wagę przypisaną k-tej mapie cech dla klasy </w:t>
      </w:r>
      <w:r>
        <w:rPr/>
      </w:r>
      <m:oMath xmlns:m="http://schemas.openxmlformats.org/officeDocument/2006/math">
        <m:r>
          <w:rPr>
            <w:rFonts w:ascii="Cambria Math" w:hAnsi="Cambria Math"/>
          </w:rPr>
          <m:t xml:space="preserve">c</m:t>
        </m:r>
      </m:oMath>
      <w:r>
        <w:rPr>
          <w:rFonts w:eastAsia="" w:eastAsiaTheme="minorEastAsia"/>
        </w:rPr>
        <w:t>, określającą jej istotność.</w:t>
      </w:r>
    </w:p>
    <w:p>
      <w:pPr>
        <w:pStyle w:val="Normal"/>
        <w:keepNext w:val="true"/>
        <w:ind w:hanging="0" w:left="360"/>
        <w:rPr/>
      </w:pPr>
      <w:r>
        <w:rPr/>
      </w:r>
      <m:oMath xmlns:m="http://schemas.openxmlformats.org/officeDocument/2006/math">
        <m:r>
          <w:rPr>
            <w:rFonts w:ascii="Cambria Math" w:hAnsi="Cambria Math"/>
          </w:rPr>
          <m:t xml:space="preserve">ReLU</m:t>
        </m:r>
      </m:oMath>
      <w:r>
        <w:rPr>
          <w:rFonts w:eastAsia="" w:ascii="Cambria Math" w:hAnsi="Cambria Math" w:eastAsiaTheme="minorEastAsia"/>
          <w:i/>
        </w:rPr>
        <w:t xml:space="preserve"> </w:t>
      </w:r>
      <w:r>
        <w:rPr>
          <w:rFonts w:eastAsia=""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17"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30"/>
                    <pic:cNvPicPr>
                      <a:picLocks noChangeAspect="1" noChangeArrowheads="1"/>
                    </pic:cNvPicPr>
                  </pic:nvPicPr>
                  <pic:blipFill>
                    <a:blip r:embed="rId20"/>
                    <a:stretch>
                      <a:fillRect/>
                    </a:stretch>
                  </pic:blipFill>
                  <pic:spPr bwMode="auto">
                    <a:xfrm>
                      <a:off x="0" y="0"/>
                      <a:ext cx="5760720" cy="2373630"/>
                    </a:xfrm>
                    <a:prstGeom prst="rect">
                      <a:avLst/>
                    </a:prstGeom>
                    <a:noFill/>
                  </pic:spPr>
                </pic:pic>
              </a:graphicData>
            </a:graphic>
          </wp:inline>
        </w:drawing>
      </w:r>
      <w:r>
        <w:rPr/>
        <w:t xml:space="preserve"> </w:t>
      </w:r>
      <w:r>
        <w:rPr/>
        <w:t xml:space="preserve">Rysunek </w:t>
      </w:r>
      <w:r>
        <w:rPr/>
        <w:fldChar w:fldCharType="begin"/>
      </w:r>
      <w:r>
        <w:rPr/>
        <w:instrText xml:space="preserve"> SEQ Rysunek \* ARABIC </w:instrText>
      </w:r>
      <w:r>
        <w:rPr/>
        <w:fldChar w:fldCharType="separate"/>
      </w:r>
      <w:r>
        <w:rPr/>
        <w:t>16</w:t>
      </w:r>
      <w:r>
        <w:rPr/>
        <w:fldChar w:fldCharType="end"/>
      </w:r>
      <w:r>
        <w:rPr/>
        <w:t xml:space="preserve"> Z lewej strony oryginalne zdjęcie pacjenta z Krowianką, po lewej GRAD-CAM modelu mobilNetV3, pokazujący gdzie skupił największą uwagę podczas oceny.</w:t>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bookmarkStart w:id="13" w:name="_Toc137420675_kopia_1"/>
      <w:bookmarkStart w:id="14" w:name="_Toc137420675_kopia_1"/>
      <w:bookmarkEnd w:id="8"/>
      <w:bookmarkEnd w:id="14"/>
      <w:r>
        <w:br w:type="page"/>
      </w:r>
    </w:p>
    <w:p>
      <w:pPr>
        <w:pStyle w:val="Heading1"/>
        <w:numPr>
          <w:ilvl w:val="0"/>
          <w:numId w:val="2"/>
        </w:numPr>
        <w:spacing w:before="0" w:after="840"/>
        <w:ind w:hanging="851" w:left="851"/>
        <w:rPr/>
      </w:pPr>
      <w:bookmarkStart w:id="15" w:name="_Toc225177322"/>
      <w:r>
        <w:rPr/>
        <w:t>Implementacja</w:t>
      </w:r>
      <w:bookmarkEnd w:id="15"/>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(Deep Learning) z przystępnym i responsywnym interfejsem użytkownika.</w:t>
      </w:r>
    </w:p>
    <w:p>
      <w:pPr>
        <w:pStyle w:val="Normal"/>
        <w:ind w:hanging="0"/>
        <w:rPr/>
      </w:pPr>
      <w:r>
        <w:rPr/>
        <w:t>Proces budowy systemu został podzielony na trzy kluczowe obszary:</w:t>
      </w:r>
    </w:p>
    <w:p>
      <w:pPr>
        <w:pStyle w:val="ListParagraph"/>
        <w:numPr>
          <w:ilvl w:val="0"/>
          <w:numId w:val="17"/>
        </w:numPr>
        <w:rPr/>
      </w:pPr>
      <w:r>
        <w:rPr/>
        <w:t>Moduł analityczny (AI Core): Obejmujący definicję architektur sieciowych w środowisku PyTorch, proces ich douczania (fine-tuning) oraz implementację algorytmów wyjaśnialności (Grad-CAM).</w:t>
      </w:r>
    </w:p>
    <w:p>
      <w:pPr>
        <w:pStyle w:val="ListParagraph"/>
        <w:numPr>
          <w:ilvl w:val="0"/>
          <w:numId w:val="17"/>
        </w:numPr>
        <w:rPr/>
      </w:pPr>
      <w:r>
        <w:rPr/>
        <w:t>Warstwa serwerowa (Backend): Zrealizowana w frameworku FastAPI, pełniąca rolę pośrednika między modelami matematycznymi a aplikacją końcową.</w:t>
      </w:r>
    </w:p>
    <w:p>
      <w:pPr>
        <w:pStyle w:val="ListParagraph"/>
        <w:numPr>
          <w:ilvl w:val="0"/>
          <w:numId w:val="17"/>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(Clean Code) oraz wzorcami projektowymi, co zapewnia łatwą rozbudowę systemu w przyszłości.</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numPr>
          <w:ilvl w:val="1"/>
          <w:numId w:val="8"/>
        </w:numPr>
        <w:rPr/>
      </w:pPr>
      <w:bookmarkStart w:id="16" w:name="_Toc225177323"/>
      <w:r>
        <w:rPr/>
        <w:t>Struktura projektu i modułowość</w:t>
      </w:r>
      <w:bookmarkEnd w:id="16"/>
    </w:p>
    <w:p>
      <w:pPr>
        <w:pStyle w:val="BodyText"/>
        <w:spacing w:lineRule="auto" w:line="360"/>
        <w:rPr/>
      </w:pPr>
      <w:r>
        <w:rPr/>
        <w:t>Opracowany system został zaprojektowany zgodnie z zasadą separacji odpowiedzialności, co oznacza wyraźne rozgraniczenie poszczególnych warstw aplikacji na odrębne, niezależne moduły. Takie podejście znacząco ułatwia utrzymanie kodu, jego testowanie oraz ewentualną rozbudowę w przyszłości. Całość projektu podzielono na dwa główne obszary: warstwę serwerową odpowiedzialną za logikę biznesową, inferencję modeli oraz dostęp do danych, a także warstwę klienta realizującą interfejs użytkownika i komunikację z backendem.</w:t>
      </w:r>
    </w:p>
    <w:p>
      <w:pPr>
        <w:pStyle w:val="BodyText"/>
        <w:spacing w:lineRule="auto" w:line="360"/>
        <w:rPr/>
      </w:pPr>
      <w:r>
        <w:rPr/>
        <w:t>Prace nad modelami sieci neuronowych zostały przeprowadzone w odizolowanym środowisku treningowym, niezależnym od docelowej aplikacji produkcyjnej. Pozwoliło to na swobodne eksperymentowanie z różnymi architekturami bez ryzyka naruszenia stabilności systemu. Wytrenowane modele zostały następnie wyeksportowane i zintegrowane z warstwą serwerową w postaci gotowych plików wag.</w:t>
      </w:r>
    </w:p>
    <w:p>
      <w:pPr>
        <w:pStyle w:val="BodyText"/>
        <w:spacing w:lineRule="auto" w:line="360"/>
        <w:rPr/>
      </w:pPr>
      <w:r>
        <w:rPr/>
        <w:t>W kolejnych podrozdziałach omówiono szczegółowo każdy z wymienionych obszarów, ze szczególnym uwzględnieniem przyjętych rozwiązań technicznych oraz uzasadnienia dokonanych wyborów projektowych.</w:t>
      </w:r>
    </w:p>
    <w:p>
      <w:pPr>
        <w:pStyle w:val="Heading3"/>
        <w:numPr>
          <w:ilvl w:val="2"/>
          <w:numId w:val="8"/>
        </w:numPr>
        <w:rPr/>
      </w:pPr>
      <w:r>
        <w:rPr/>
        <w:t>Środowisko treningowe</w:t>
      </w:r>
    </w:p>
    <w:p>
      <w:pPr>
        <w:pStyle w:val="Normal"/>
        <w:ind w:hanging="0"/>
        <w:rPr/>
      </w:pPr>
      <w:r>
        <w:rPr/>
        <w:t>Proces badawczy i treningowy został odizolowany od głównej aplikacji. Wykorzystanie środowiska Kaggle pozwoliło na:</w:t>
      </w:r>
    </w:p>
    <w:p>
      <w:pPr>
        <w:pStyle w:val="ListParagraph"/>
        <w:numPr>
          <w:ilvl w:val="0"/>
          <w:numId w:val="18"/>
        </w:numPr>
        <w:rPr/>
      </w:pPr>
      <w:r>
        <w:rPr/>
        <w:t>Przeprowadzenie czyszczenia i augmentacji danych w izolowanym kontenerze.</w:t>
      </w:r>
    </w:p>
    <w:p>
      <w:pPr>
        <w:pStyle w:val="ListParagraph"/>
        <w:numPr>
          <w:ilvl w:val="0"/>
          <w:numId w:val="18"/>
        </w:numPr>
        <w:rPr/>
      </w:pPr>
      <w:r>
        <w:rPr/>
        <w:t>Wykorzystanie akceleracji GPU do trenowania pięciu różnych architektur sieciowych.</w:t>
      </w:r>
    </w:p>
    <w:p>
      <w:pPr>
        <w:pStyle w:val="ListParagraph"/>
        <w:numPr>
          <w:ilvl w:val="0"/>
          <w:numId w:val="18"/>
        </w:numPr>
        <w:rPr/>
      </w:pPr>
      <w:r>
        <w:rPr/>
        <w:t>Eksport wytrenowanych wag modeli do formatu .pth, które następnie zostały zaimplementowane w warstwie produkcyjnej backendu.</w:t>
      </w:r>
    </w:p>
    <w:p>
      <w:pPr>
        <w:pStyle w:val="Heading3"/>
        <w:numPr>
          <w:ilvl w:val="2"/>
          <w:numId w:val="8"/>
        </w:numPr>
        <w:rPr/>
      </w:pPr>
      <w:r>
        <w:rPr/>
        <w:t>Architektura warstwy serwerowej</w:t>
      </w:r>
    </w:p>
    <w:p>
      <w:pPr>
        <w:pStyle w:val="Normal"/>
        <w:ind w:hanging="0"/>
        <w:rPr/>
      </w:pPr>
      <w:r>
        <w:rPr/>
        <w:t>Backend aplikacji został ustrukturyzowany w sposób modularny, co odzwierciedla katalog backend/app. Zastosowano podział na logiczne pakiety, co minimalizuje powiązania (ang. coupling) między modułami:</w:t>
      </w:r>
    </w:p>
    <w:p>
      <w:pPr>
        <w:pStyle w:val="ListParagraph"/>
        <w:numPr>
          <w:ilvl w:val="0"/>
          <w:numId w:val="19"/>
        </w:numPr>
        <w:rPr/>
      </w:pPr>
      <w:r>
        <w:rPr/>
        <w:t>api/: Zawiera definicje punktów końcowych (routes) oraz zależności (deps.py). Moduł ten odpowiada za obsługę żądań HTTP i walidację danych wejściowych.</w:t>
      </w:r>
    </w:p>
    <w:p>
      <w:pPr>
        <w:pStyle w:val="ListParagraph"/>
        <w:numPr>
          <w:ilvl w:val="0"/>
          <w:numId w:val="19"/>
        </w:numPr>
        <w:rPr/>
      </w:pPr>
      <w:r>
        <w:rPr/>
        <w:t>core/: Miejsce konfiguracji globalnej aplikacji (config.py), obsługi wyjątków oraz logowania zdarzeń. Zapewnia spójne działanie systemu niezależnie od środowiska.</w:t>
      </w:r>
    </w:p>
    <w:p>
      <w:pPr>
        <w:pStyle w:val="ListParagraph"/>
        <w:numPr>
          <w:ilvl w:val="0"/>
          <w:numId w:val="19"/>
        </w:numPr>
        <w:rPr/>
      </w:pPr>
      <w:r>
        <w:rPr/>
        <w:t>ml/: Kluczowy moduł zawierający definicje architektur sieciowych oraz logikę ładowania wag modeli. To tutaj odbywa się właściwa inferencja i generowanie map Grad-CAM.</w:t>
      </w:r>
    </w:p>
    <w:p>
      <w:pPr>
        <w:pStyle w:val="ListParagraph"/>
        <w:numPr>
          <w:ilvl w:val="0"/>
          <w:numId w:val="19"/>
        </w:numPr>
        <w:rPr/>
      </w:pPr>
      <w:r>
        <w:rPr/>
        <w:t>db/: Warstwa dostępu do danych, odpowiedzialna za komunikację z bazą SQLite (skinscanner.db). Przechowuje ona historię badań i metadane użytkowników.</w:t>
      </w:r>
    </w:p>
    <w:p>
      <w:pPr>
        <w:pStyle w:val="ListParagraph"/>
        <w:numPr>
          <w:ilvl w:val="0"/>
          <w:numId w:val="19"/>
        </w:numPr>
        <w:rPr/>
      </w:pPr>
      <w:r>
        <w:rPr/>
        <w:t>schemas/: Definicje modeli Pydantic, które zapewniają ścisłe typowanie danych przesyłanych w formacie JSON między klientem a serwerem.</w:t>
      </w:r>
    </w:p>
    <w:p>
      <w:pPr>
        <w:pStyle w:val="ListParagraph"/>
        <w:numPr>
          <w:ilvl w:val="0"/>
          <w:numId w:val="19"/>
        </w:numPr>
        <w:rPr/>
      </w:pPr>
      <w:r>
        <w:rPr/>
        <w:t>services/: Warstwa logiki biznesowej, która agreguje funkcjonalności z modułów ML i bazy danych, dostarczając gotowe dane do warstwy API.</w:t>
      </w:r>
    </w:p>
    <w:p>
      <w:pPr>
        <w:pStyle w:val="Heading3"/>
        <w:numPr>
          <w:ilvl w:val="2"/>
          <w:numId w:val="8"/>
        </w:numPr>
        <w:rPr/>
      </w:pPr>
      <w:r>
        <w:rPr/>
        <w:t>Architektura warstwy klienta</w:t>
      </w:r>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20"/>
        </w:numPr>
        <w:rPr/>
      </w:pPr>
      <w:r>
        <w:rPr/>
        <w:t>components/: Reużywalne elementy interfejsu (np. przyciski, modale, widżety kamery).</w:t>
      </w:r>
    </w:p>
    <w:p>
      <w:pPr>
        <w:pStyle w:val="ListParagraph"/>
        <w:numPr>
          <w:ilvl w:val="0"/>
          <w:numId w:val="20"/>
        </w:numPr>
        <w:rPr/>
      </w:pPr>
      <w:r>
        <w:rPr/>
        <w:t>pages/: Główne widoki aplikacji, takie jak ekran diagnostyczny, historia badań czy schemat anatomiczny.</w:t>
      </w:r>
    </w:p>
    <w:p>
      <w:pPr>
        <w:pStyle w:val="ListParagraph"/>
        <w:numPr>
          <w:ilvl w:val="0"/>
          <w:numId w:val="20"/>
        </w:numPr>
        <w:rPr/>
      </w:pPr>
      <w:r>
        <w:rPr/>
        <w:t>hooks/: Autorskie haki Reactowe, izolujące logikę (np. obsługę aparatu czy komunikację z API) od warstwy wizualnej.</w:t>
      </w:r>
    </w:p>
    <w:p>
      <w:pPr>
        <w:pStyle w:val="ListParagraph"/>
        <w:numPr>
          <w:ilvl w:val="0"/>
          <w:numId w:val="20"/>
        </w:numPr>
        <w:rPr/>
      </w:pPr>
      <w:r>
        <w:rPr/>
        <w:t>api/: Centralny moduł obsługujący zapytania asynchroniczne do backendu, zapewniający spójną strukturę przesyłania zdjęć.</w:t>
      </w:r>
    </w:p>
    <w:p>
      <w:pPr>
        <w:pStyle w:val="ListParagraph"/>
        <w:numPr>
          <w:ilvl w:val="0"/>
          <w:numId w:val="20"/>
        </w:numPr>
        <w:rPr/>
      </w:pPr>
      <w:r>
        <w:rPr/>
        <w:t>store/: Zarządzanie stanem globalnym aplikacji (np. dane aktualnej sesji, wyniki ostatniego badania).</w:t>
      </w:r>
    </w:p>
    <w:p>
      <w:pPr>
        <w:pStyle w:val="ListParagraph"/>
        <w:numPr>
          <w:ilvl w:val="0"/>
          <w:numId w:val="20"/>
        </w:numPr>
        <w:rPr/>
      </w:pPr>
      <w:r>
        <w:rPr/>
        <w:t>i18n/: Moduł internacjonalizacji, umożliwiający łatwą zmianę języka interfejsu.</w:t>
      </w:r>
    </w:p>
    <w:p>
      <w:pPr>
        <w:pStyle w:val="ListParagraph"/>
        <w:numPr>
          <w:ilvl w:val="0"/>
          <w:numId w:val="20"/>
        </w:numPr>
        <w:rPr/>
      </w:pPr>
      <w:r>
        <w:rPr/>
        <w:t>types/: Definicje interfejsów TypeScript, które odzwierciedlają schematy z backendu, eliminując błędy niezgodności danych na etapie kompilacji.</w:t>
      </w:r>
    </w:p>
    <w:p>
      <w:pPr>
        <w:pStyle w:val="Heading3"/>
        <w:numPr>
          <w:ilvl w:val="2"/>
          <w:numId w:val="8"/>
        </w:numPr>
        <w:rPr/>
      </w:pPr>
      <w:r>
        <w:rPr/>
        <w:t>Warstwa persystencji</w:t>
      </w:r>
    </w:p>
    <w:p>
      <w:pPr>
        <w:pStyle w:val="Normal"/>
        <w:rPr/>
      </w:pPr>
      <w:r>
        <w:rPr/>
        <w:t>Jako silnik bazy danych wybrano SQLite.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 (</w:t>
      </w:r>
      <w:r>
        <w:rPr/>
        <w:fldChar w:fldCharType="begin"/>
      </w:r>
      <w:r>
        <w:rPr/>
        <w:instrText xml:space="preserve"> REF _Ref225790753 \h </w:instrText>
      </w:r>
      <w:r>
        <w:rPr/>
        <w:fldChar w:fldCharType="separate"/>
      </w:r>
      <w:r>
        <w:rPr/>
        <w:t>Rysunek 17</w:t>
      </w:r>
      <w:r>
        <w:rPr/>
        <w:fldChar w:fldCharType="end"/>
      </w:r>
      <w:r>
        <w:rPr/>
        <w:t>).</w:t>
      </w:r>
    </w:p>
    <w:p>
      <w:pPr>
        <w:pStyle w:val="Normal"/>
        <w:keepNext w:val="true"/>
        <w:jc w:val="center"/>
        <w:rPr/>
      </w:pPr>
      <w:r>
        <w:rPr/>
        <w:drawing>
          <wp:inline distT="0" distB="0" distL="0" distR="0">
            <wp:extent cx="5613400" cy="5934710"/>
            <wp:effectExtent l="0" t="0" r="0" b="0"/>
            <wp:docPr id="18"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4"/>
                    <pic:cNvPicPr>
                      <a:picLocks noChangeAspect="1" noChangeArrowheads="1"/>
                    </pic:cNvPicPr>
                  </pic:nvPicPr>
                  <pic:blipFill>
                    <a:blip r:embed="rId21"/>
                    <a:stretch>
                      <a:fillRect/>
                    </a:stretch>
                  </pic:blipFill>
                  <pic:spPr bwMode="auto">
                    <a:xfrm>
                      <a:off x="0" y="0"/>
                      <a:ext cx="5613400" cy="5934710"/>
                    </a:xfrm>
                    <a:prstGeom prst="rect">
                      <a:avLst/>
                    </a:prstGeom>
                    <a:noFill/>
                  </pic:spPr>
                </pic:pic>
              </a:graphicData>
            </a:graphic>
          </wp:inline>
        </w:drawing>
      </w:r>
    </w:p>
    <w:p>
      <w:pPr>
        <w:pStyle w:val="Caption"/>
        <w:rPr/>
      </w:pPr>
      <w:bookmarkStart w:id="17" w:name="_Ref225790746"/>
      <w:bookmarkStart w:id="18" w:name="_Ref225790753"/>
      <w:r>
        <w:rPr/>
        <w:t xml:space="preserve">Rysunek </w:t>
      </w:r>
      <w:r>
        <w:rPr/>
        <w:fldChar w:fldCharType="begin"/>
      </w:r>
      <w:r>
        <w:rPr/>
        <w:instrText xml:space="preserve"> SEQ Rysunek \* ARABIC </w:instrText>
      </w:r>
      <w:r>
        <w:rPr/>
        <w:fldChar w:fldCharType="separate"/>
      </w:r>
      <w:r>
        <w:rPr/>
        <w:t>17</w:t>
      </w:r>
      <w:r>
        <w:rPr/>
        <w:fldChar w:fldCharType="end"/>
      </w:r>
      <w:bookmarkEnd w:id="18"/>
      <w:r>
        <w:rPr/>
        <w:t xml:space="preserve"> Model bazy danych</w:t>
      </w:r>
      <w:bookmarkEnd w:id="17"/>
    </w:p>
    <w:p>
      <w:pPr>
        <w:pStyle w:val="Heading3"/>
        <w:numPr>
          <w:ilvl w:val="2"/>
          <w:numId w:val="8"/>
        </w:numPr>
        <w:rPr/>
      </w:pPr>
      <w:r>
        <w:rPr/>
        <w:t>Użyte biblioteki</w:t>
      </w:r>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1"/>
        </w:numPr>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1"/>
        </w:numPr>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1"/>
        </w:numPr>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1"/>
        </w:numPr>
        <w:rPr/>
      </w:pPr>
      <w:r>
        <w:rPr/>
        <w:t>OpenCV (opencv-python) &amp;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1"/>
        </w:numPr>
        <w:rPr/>
      </w:pPr>
      <w:r>
        <w:rPr/>
        <w:t>NumPy: Biblioteka do obliczeń macierzowych, stanowiąca fundament dla wszystkich operacji na wagach sieci oraz reprezentacji obrazów w formie numerycznej.</w:t>
      </w:r>
    </w:p>
    <w:p>
      <w:pPr>
        <w:pStyle w:val="ListParagraph"/>
        <w:numPr>
          <w:ilvl w:val="0"/>
          <w:numId w:val="21"/>
        </w:numPr>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1"/>
        </w:numPr>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1"/>
        </w:numPr>
        <w:rPr/>
      </w:pPr>
      <w:r>
        <w:rPr/>
        <w:t>Pydantic (pydantic-settings): Biblioteka wykorzystana do walidacji danych wejściowych oraz zarządzania konfiguracją systemu (zmienne środowiskowe), co zwiększyło bezpieczeństwo i odporność aplikacji na błędne dane.</w:t>
      </w:r>
    </w:p>
    <w:p>
      <w:pPr>
        <w:pStyle w:val="ListParagraph"/>
        <w:numPr>
          <w:ilvl w:val="0"/>
          <w:numId w:val="21"/>
        </w:numPr>
        <w:rPr/>
      </w:pPr>
      <w:r>
        <w:rPr/>
        <w:t>React &amp;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1"/>
        </w:numPr>
        <w:rPr/>
      </w:pPr>
      <w:r>
        <w:rPr/>
        <w:t>Zustand: Lekki system zarządzania stanem aplikacji, wykorzystany do przechowywania wyników bieżącej analizy oraz ustawień użytkownika (np. motyw graficzny, język).</w:t>
      </w:r>
    </w:p>
    <w:p>
      <w:pPr>
        <w:pStyle w:val="ListParagraph"/>
        <w:numPr>
          <w:ilvl w:val="0"/>
          <w:numId w:val="21"/>
        </w:numPr>
        <w:rPr/>
      </w:pPr>
      <w:r>
        <w:rPr/>
        <w:t>TanStack Query (React Query): Narzędzie do obsługi asynchronicznych zapytań do API. Zapewnia ono automatyczne zarządzanie stanem ładowania (loading state) oraz buforowanie wyników, co znacząco poprawiło komfort użytkowania aplikacji (UX).</w:t>
      </w:r>
    </w:p>
    <w:p>
      <w:pPr>
        <w:pStyle w:val="ListParagraph"/>
        <w:numPr>
          <w:ilvl w:val="0"/>
          <w:numId w:val="21"/>
        </w:numPr>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19" w:name="_Toc225177324"/>
      <w:r>
        <w:rPr/>
        <w:t>Architektura systemu i przepływ danych</w:t>
      </w:r>
      <w:bookmarkEnd w:id="19"/>
    </w:p>
    <w:p>
      <w:pPr>
        <w:pStyle w:val="Normal"/>
        <w:rPr/>
      </w:pPr>
      <w:r>
        <w:rPr/>
        <w:t>System został zaprojektowany w modelu klient-serwer, gdzie kluczowym aspektem jest separacja ciężkich obliczeń AI od lekkiego interfejsu użytkownika. Przepływ danych w aplikacji przebiega w następujących etapach:</w:t>
      </w:r>
    </w:p>
    <w:p>
      <w:pPr>
        <w:pStyle w:val="ListParagraph"/>
        <w:numPr>
          <w:ilvl w:val="0"/>
          <w:numId w:val="22"/>
        </w:numPr>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2"/>
        </w:numPr>
        <w:rPr/>
      </w:pPr>
      <w:r>
        <w:rPr/>
        <w:t>Żądanie API: Obraz w formie binarnej trafia na serwer w FastAPI.</w:t>
      </w:r>
    </w:p>
    <w:p>
      <w:pPr>
        <w:pStyle w:val="ListParagraph"/>
        <w:numPr>
          <w:ilvl w:val="0"/>
          <w:numId w:val="22"/>
        </w:numPr>
        <w:rPr/>
      </w:pPr>
      <w:r>
        <w:rPr/>
        <w:t>Przetwarzanie i Inferencja: Backend normalizuje zdjęcie i przekazuje je do zespołu pięciu modeli (Ensemble). Każdy model generuje niezależną predykcję oraz mapę aktywacji Grad-CAM.</w:t>
      </w:r>
    </w:p>
    <w:p>
      <w:pPr>
        <w:pStyle w:val="ListParagraph"/>
        <w:numPr>
          <w:ilvl w:val="0"/>
          <w:numId w:val="22"/>
        </w:numPr>
        <w:rPr/>
      </w:pPr>
      <w:r>
        <w:rPr/>
        <w:t>Persystencja i Odpowiedź: Wyniki (diagnoza, pewność, heatmapy) są zapisywane w bazie SQLite,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19"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5"/>
                    <pic:cNvPicPr>
                      <a:picLocks noChangeAspect="1" noChangeArrowheads="1"/>
                    </pic:cNvPicPr>
                  </pic:nvPicPr>
                  <pic:blipFill>
                    <a:blip r:embed="rId22"/>
                    <a:stretch>
                      <a:fillRect/>
                    </a:stretch>
                  </pic:blipFill>
                  <pic:spPr bwMode="auto">
                    <a:xfrm>
                      <a:off x="0" y="0"/>
                      <a:ext cx="5760720" cy="5330825"/>
                    </a:xfrm>
                    <a:prstGeom prst="rect">
                      <a:avLst/>
                    </a:prstGeom>
                    <a:noFill/>
                  </pic:spPr>
                </pic:pic>
              </a:graphicData>
            </a:graphic>
          </wp:inline>
        </w:drawing>
      </w:r>
    </w:p>
    <w:p>
      <w:pPr>
        <w:pStyle w:val="Caption"/>
        <w:rPr/>
      </w:pPr>
      <w:bookmarkStart w:id="20" w:name="_Toc184814645"/>
      <w:r>
        <w:rPr/>
        <w:t xml:space="preserve">Rysunek </w:t>
      </w:r>
      <w:r>
        <w:rPr/>
        <w:fldChar w:fldCharType="begin"/>
      </w:r>
      <w:r>
        <w:rPr/>
        <w:instrText xml:space="preserve"> SEQ Rysunek \* ARABIC </w:instrText>
      </w:r>
      <w:r>
        <w:rPr/>
        <w:fldChar w:fldCharType="separate"/>
      </w:r>
      <w:r>
        <w:rPr/>
        <w:t>18</w:t>
      </w:r>
      <w:r>
        <w:rPr/>
        <w:fldChar w:fldCharType="end"/>
      </w:r>
      <w:r>
        <w:rPr/>
        <w:t xml:space="preserve"> </w:t>
      </w:r>
      <w:bookmarkEnd w:id="20"/>
      <w:r>
        <w:rPr/>
        <w:t>Schemat przepływu danych</w:t>
      </w:r>
    </w:p>
    <w:p>
      <w:pPr>
        <w:pStyle w:val="Heading2"/>
        <w:numPr>
          <w:ilvl w:val="1"/>
          <w:numId w:val="8"/>
        </w:numPr>
        <w:rPr/>
      </w:pPr>
      <w:bookmarkStart w:id="21" w:name="_Toc225177325"/>
      <w:bookmarkEnd w:id="21"/>
      <w:r>
        <w:rPr/>
        <w:t xml:space="preserve">Zbiór danych i przygotowanie materiału badawczego </w:t>
      </w:r>
    </w:p>
    <w:p>
      <w:pPr>
        <w:pStyle w:val="Normal"/>
        <w:rPr/>
      </w:pPr>
      <w:r>
        <w:rPr/>
        <w:t>Do treningu oraz ewaluacji opracowanych modeli wykorzystano publicznie dostępny zbiór Skin Lesions Classification Dataset.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BodyText"/>
        <w:spacing w:lineRule="auto" w:line="360"/>
        <w:rPr/>
      </w:pPr>
      <w:r>
        <w:rPr/>
        <w:t>Istotnym wyzwaniem podczas pracy z tym zbiorem był znaczący brak równowagi klas. Najliczniej reprezentowaną kategorią są znamiona melanocytarne liczące ponad 10 000 przykładów, podczas gdy włókniak skóry zawiera jedynie 193 obrazy.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BodyText"/>
        <w:spacing w:lineRule="auto" w:line="360"/>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w:t>
      </w:r>
      <w:r>
        <w:rPr/>
        <w:t>[12]</w:t>
      </w:r>
      <w:r>
        <w:rPr/>
        <w:t>.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tbl>
      <w:tblPr>
        <w:tblW w:w="9067" w:type="dxa"/>
        <w:jc w:val="left"/>
        <w:tblInd w:w="55" w:type="dxa"/>
        <w:tblLayout w:type="fixed"/>
        <w:tblCellMar>
          <w:top w:w="55" w:type="dxa"/>
          <w:left w:w="55" w:type="dxa"/>
          <w:bottom w:w="55" w:type="dxa"/>
          <w:right w:w="55" w:type="dxa"/>
        </w:tblCellMar>
      </w:tblPr>
      <w:tblGrid>
        <w:gridCol w:w="505"/>
        <w:gridCol w:w="4031"/>
        <w:gridCol w:w="2266"/>
        <w:gridCol w:w="2265"/>
      </w:tblGrid>
      <w:tr>
        <w:trPr/>
        <w:tc>
          <w:tcPr>
            <w:tcW w:w="505" w:type="dxa"/>
            <w:tcBorders>
              <w:top w:val="single" w:sz="4" w:space="0" w:color="000000"/>
              <w:left w:val="single" w:sz="4" w:space="0" w:color="000000"/>
              <w:bottom w:val="single" w:sz="4" w:space="0" w:color="000000"/>
            </w:tcBorders>
          </w:tcPr>
          <w:p>
            <w:pPr>
              <w:pStyle w:val="Zawartotabeli"/>
              <w:ind w:hanging="0" w:left="0"/>
              <w:rPr>
                <w:rFonts w:eastAsia="Calibri" w:cs="Arial"/>
              </w:rPr>
            </w:pPr>
            <w:r>
              <w:rPr>
                <w:rFonts w:eastAsia="Calibri" w:cs="Arial"/>
              </w:rPr>
              <w:t>#</w:t>
            </w:r>
          </w:p>
        </w:tc>
        <w:tc>
          <w:tcPr>
            <w:tcW w:w="4031" w:type="dxa"/>
            <w:tcBorders>
              <w:top w:val="single" w:sz="4" w:space="0" w:color="000000"/>
              <w:left w:val="single" w:sz="4" w:space="0" w:color="000000"/>
              <w:bottom w:val="single" w:sz="4" w:space="0" w:color="000000"/>
            </w:tcBorders>
          </w:tcPr>
          <w:p>
            <w:pPr>
              <w:pStyle w:val="Zawartotabeli"/>
              <w:ind w:hanging="0" w:left="0"/>
              <w:rPr>
                <w:rFonts w:eastAsia="Calibri" w:cs="Arial"/>
              </w:rPr>
            </w:pPr>
            <w:r>
              <w:rPr>
                <w:rFonts w:eastAsia="Calibri" w:cs="Arial"/>
              </w:rPr>
              <w:t>Nazwa polska</w:t>
            </w:r>
          </w:p>
        </w:tc>
        <w:tc>
          <w:tcPr>
            <w:tcW w:w="2266" w:type="dxa"/>
            <w:tcBorders>
              <w:top w:val="single" w:sz="4" w:space="0" w:color="000000"/>
              <w:left w:val="single" w:sz="4" w:space="0" w:color="000000"/>
              <w:bottom w:val="single" w:sz="4" w:space="0" w:color="000000"/>
            </w:tcBorders>
          </w:tcPr>
          <w:p>
            <w:pPr>
              <w:pStyle w:val="Zawartotabeli"/>
              <w:ind w:hanging="0" w:left="0"/>
              <w:rPr>
                <w:rFonts w:eastAsia="Calibri" w:cs="Arial"/>
                <w:u w:val="none"/>
              </w:rPr>
            </w:pPr>
            <w:r>
              <w:rPr>
                <w:rFonts w:eastAsia="Calibri" w:cs="Arial"/>
                <w:u w:val="none"/>
              </w:rP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Liczba obrazów</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Znamiona melanocytarne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Melanocytic nevi</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10 300</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2</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Czerniak złośliwy</w:t>
            </w:r>
          </w:p>
        </w:tc>
        <w:tc>
          <w:tcPr>
            <w:tcW w:w="2266" w:type="dxa"/>
            <w:tcBorders>
              <w:left w:val="single" w:sz="4" w:space="0" w:color="000000"/>
              <w:bottom w:val="single" w:sz="4" w:space="0" w:color="000000"/>
            </w:tcBorders>
          </w:tcPr>
          <w:p>
            <w:pPr>
              <w:pStyle w:val="Zawartotabeli"/>
              <w:ind w:hanging="0" w:left="0"/>
              <w:rPr>
                <w:rFonts w:ascii="Times New Roman" w:hAnsi="Times New Roman" w:eastAsia="Calibri" w:cs="Arial"/>
                <w:color w:val="000000"/>
                <w:sz w:val="24"/>
                <w:szCs w:val="24"/>
              </w:rPr>
            </w:pPr>
            <w:r>
              <w:rPr>
                <w:rFonts w:eastAsia="Calibri" w:cs="Arial"/>
                <w:b w:val="false"/>
                <w:i w:val="false"/>
                <w:caps w:val="false"/>
                <w:smallCaps w:val="false"/>
                <w:color w:val="000000"/>
                <w:spacing w:val="0"/>
                <w:sz w:val="24"/>
                <w:szCs w:val="24"/>
              </w:rPr>
              <w:t>Melanoma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3617</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3</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Małpia ospa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Monkeypox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3408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4</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Rak podstawnokomórkowy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Basal cell carcinoma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2658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5</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Łagodne zmiany rogowaciejące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Benign keratosis-like lesions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2099</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6</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Choroba dłoni, stóp i ust</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HFMD</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1932</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7</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Skóra zdrowa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Healthy</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1368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8</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Ospa wietrzna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Chickenpox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900</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9</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Krowianka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Cowpox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792</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10</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Rogowacenie słoneczne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Actinic keratoses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693</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11</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Odra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Measles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660</w:t>
            </w:r>
          </w:p>
        </w:tc>
      </w:tr>
      <w:tr>
        <w:trPr/>
        <w:tc>
          <w:tcPr>
            <w:tcW w:w="505" w:type="dxa"/>
            <w:tcBorders>
              <w:left w:val="single" w:sz="4" w:space="0" w:color="000000"/>
              <w:bottom w:val="single" w:sz="4" w:space="0" w:color="000000"/>
            </w:tcBorders>
          </w:tcPr>
          <w:p>
            <w:pPr>
              <w:pStyle w:val="Zawartotabeli"/>
              <w:ind w:hanging="0" w:left="0"/>
              <w:jc w:val="right"/>
              <w:rPr>
                <w:rFonts w:eastAsia="Calibri" w:cs="Arial"/>
              </w:rPr>
            </w:pPr>
            <w:r>
              <w:rPr>
                <w:rFonts w:eastAsia="Calibri" w:cs="Arial"/>
              </w:rPr>
              <w:t>12</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Rak płaskonabłonkowy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Squamous cell carcinoma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502</w:t>
            </w:r>
          </w:p>
        </w:tc>
      </w:tr>
      <w:tr>
        <w:trPr>
          <w:trHeight w:val="548" w:hRule="atLeast"/>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13</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Zmiany naczyniowe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Vascular lesions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202</w:t>
            </w:r>
          </w:p>
        </w:tc>
      </w:tr>
      <w:tr>
        <w:trPr>
          <w:trHeight w:val="548" w:hRule="atLeast"/>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14</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Włókniak skóry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Dermatofibroma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191</w:t>
            </w:r>
          </w:p>
        </w:tc>
      </w:tr>
      <w:tr>
        <w:trPr>
          <w:trHeight w:val="548" w:hRule="atLeast"/>
        </w:trPr>
        <w:tc>
          <w:tcPr>
            <w:tcW w:w="505" w:type="dxa"/>
            <w:tcBorders>
              <w:left w:val="single" w:sz="4" w:space="0" w:color="000000"/>
              <w:bottom w:val="single" w:sz="4" w:space="0" w:color="000000"/>
            </w:tcBorders>
          </w:tcPr>
          <w:p>
            <w:pPr>
              <w:pStyle w:val="Zawartotabeli"/>
              <w:ind w:hanging="0" w:left="0"/>
              <w:rPr>
                <w:rFonts w:eastAsia="Calibri" w:cs="Arial"/>
              </w:rPr>
            </w:pPr>
            <w:r>
              <w:rPr>
                <w:rFonts w:eastAsia="Calibri" w:cs="Arial"/>
              </w:rPr>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Łącznie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29 322</w:t>
            </w:r>
          </w:p>
        </w:tc>
        <w:tc>
          <w:tcPr>
            <w:tcW w:w="2265" w:type="dxa"/>
            <w:tcBorders>
              <w:left w:val="single" w:sz="4" w:space="0" w:color="000000"/>
              <w:bottom w:val="single" w:sz="4" w:space="0" w:color="000000"/>
              <w:right w:val="single" w:sz="4" w:space="0" w:color="000000"/>
            </w:tcBorders>
          </w:tcPr>
          <w:p>
            <w:pPr>
              <w:pStyle w:val="Zawartotabeli"/>
              <w:rPr>
                <w:rFonts w:eastAsia="Calibri" w:cs="Arial"/>
              </w:rPr>
            </w:pPr>
            <w:r>
              <w:rPr>
                <w:rFonts w:eastAsia="Calibri" w:cs="Arial"/>
              </w:rPr>
            </w:r>
          </w:p>
        </w:tc>
      </w:tr>
    </w:tbl>
    <w:p>
      <w:pPr>
        <w:pStyle w:val="BodyText"/>
        <w:spacing w:lineRule="auto" w:line="360"/>
        <w:rPr/>
      </w:pPr>
      <w:r>
        <w:rPr/>
      </w:r>
    </w:p>
    <w:p>
      <w:pPr>
        <w:pStyle w:val="Heading2"/>
        <w:numPr>
          <w:ilvl w:val="1"/>
          <w:numId w:val="8"/>
        </w:numPr>
        <w:rPr/>
      </w:pPr>
      <w:bookmarkStart w:id="22" w:name="_Toc225177326"/>
      <w:bookmarkEnd w:id="22"/>
      <w:r>
        <w:rPr/>
        <w:t xml:space="preserve">Środowisko treningowe i konfiguracja eksperymentów </w:t>
      </w:r>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w:t>
      </w:r>
    </w:p>
    <w:p>
      <w:pPr>
        <w:pStyle w:val="BodyText"/>
        <w:spacing w:lineRule="auto" w:line="360"/>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rPr/>
      </w:pPr>
      <w:r>
        <w:rPr/>
        <mc:AlternateContent>
          <mc:Choice Requires="wps">
            <w:drawing>
              <wp:inline distT="0" distB="0" distL="0" distR="0">
                <wp:extent cx="2686050" cy="3796030"/>
                <wp:effectExtent l="0" t="0" r="0" b="0"/>
                <wp:docPr id="20" name="Ramka1"/>
                <a:graphic xmlns:a="http://schemas.openxmlformats.org/drawingml/2006/main">
                  <a:graphicData uri="http://schemas.microsoft.com/office/word/2010/wordprocessingShape">
                    <wps:wsp>
                      <wps:cNvSpPr/>
                      <wps:spPr>
                        <a:xfrm>
                          <a:off x="0" y="0"/>
                          <a:ext cx="2685960" cy="379620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2686050" cy="3162300"/>
                                  <wp:effectExtent l="0" t="0" r="0" b="0"/>
                                  <wp:docPr id="21"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23"/>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wps:txbx>
                      <wps:bodyPr lIns="0" rIns="0" tIns="0" bIns="0" anchor="t">
                        <a:noAutofit/>
                      </wps:bodyPr>
                    </wps:wsp>
                  </a:graphicData>
                </a:graphic>
              </wp:inline>
            </w:drawing>
          </mc:Choice>
          <mc:Fallback>
            <w:pict>
              <v:rect id="shape_0" fillcolor="white" stroked="f" o:allowincell="f" style="position:absolute;margin-left:0pt;margin-top:-298.95pt;width:211.45pt;height:298.85pt;mso-wrap-style:square;v-text-anchor:top;mso-position-vertical:top">
                <v:fill o:detectmouseclick="t" type="solid" color2="black"/>
                <v:stroke color="#3465a4" joinstyle="round" endcap="flat"/>
                <v:textbox>
                  <w:txbxContent>
                    <w:p>
                      <w:pPr>
                        <w:pStyle w:val="Rysunek"/>
                        <w:spacing w:before="120" w:after="360"/>
                        <w:rPr/>
                      </w:pPr>
                      <w:r>
                        <w:rPr>
                          <w:color w:val="000000"/>
                        </w:rPr>
                        <w:drawing>
                          <wp:inline distT="0" distB="0" distL="0" distR="0">
                            <wp:extent cx="2686050" cy="3162300"/>
                            <wp:effectExtent l="0" t="0" r="0" b="0"/>
                            <wp:docPr id="22"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3"/>
                                    <pic:cNvPicPr>
                                      <a:picLocks noChangeAspect="1" noChangeArrowheads="1"/>
                                    </pic:cNvPicPr>
                                  </pic:nvPicPr>
                                  <pic:blipFill>
                                    <a:blip r:embed="rId24"/>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v:textbox>
                <w10:wrap type="square"/>
              </v:rect>
            </w:pict>
          </mc:Fallback>
        </mc:AlternateContent>
      </w:r>
    </w:p>
    <w:p>
      <w:pPr>
        <w:pStyle w:val="Heading2"/>
        <w:numPr>
          <w:ilvl w:val="1"/>
          <w:numId w:val="8"/>
        </w:numPr>
        <w:rPr/>
      </w:pPr>
      <w:bookmarkStart w:id="23" w:name="_Toc225177327"/>
      <w:bookmarkEnd w:id="23"/>
      <w:r>
        <w:rPr/>
        <w:t xml:space="preserve">Implementacja i adaptacja architektur sieciowych </w:t>
      </w:r>
    </w:p>
    <w:p>
      <w:pPr>
        <w:pStyle w:val="Normal"/>
        <w:ind w:hanging="0"/>
        <w:rPr/>
      </w:pPr>
      <w:r>
        <w:rPr/>
        <w:t>Wszystkie pięć modeli zostało zaimplementowanych w ramach wspólnej funkcji get_model(), która na podstawie nazwy architektury buduje odpowiednią sieć i przenosi ją na dostępne urządzenie obliczeniowe. Zastosowanie mechanizmu nn.DataParallel umożliwiło automatyczne rozdzielenie obliczeń między dwa dostępne procesory graficzne, co skróciło łączny czas treningu.</w:t>
      </w:r>
    </w:p>
    <w:p>
      <w:pPr>
        <w:pStyle w:val="Heading3"/>
        <w:numPr>
          <w:ilvl w:val="0"/>
          <w:numId w:val="0"/>
        </w:numPr>
        <w:ind w:hanging="0" w:left="0"/>
        <w:rPr/>
      </w:pPr>
      <w:r>
        <w:rPr/>
        <w:t>3.5.1 Custom CNN</w:t>
      </w:r>
    </w:p>
    <w:p>
      <w:pPr>
        <w:pStyle w:val="Normal"/>
        <w:ind w:hanging="0"/>
        <w:rPr/>
      </w:pPr>
      <w:r>
        <w:rPr/>
        <w:t>Jedyną architekturą zbudowaną od podstaw bez wstępnych wag jest CustomCNN. Sieć składa się z dwóch bloków funkcjonalnych. Część konwolucyjna (features) zawiera trzy warstwy splotowe z filtrami o rozmiarze 3x3 i narastającą liczbą kanałów (32, 64, 128), z których każda poprzedzona jest funkcją aktywacji ReLU i zakończona warstwą MaxPooling redukującą wymiarowość przestrzenną o połowę. Część klasyfikacyjna (classifier) spłaszcza wynikową mapę cech do wektora o 512 elementach, po czym stosuje regularyzację Dropout (p=0,5) i warstwę liniową mapującą na 14 klas wyjściowych. Sieć ta pełni rolę punktu odniesienia (ang. baseline) dla modeli pretrenowanych.</w:t>
      </w:r>
    </w:p>
    <w:p>
      <w:pPr>
        <w:pStyle w:val="Heading3"/>
        <w:numPr>
          <w:ilvl w:val="0"/>
          <w:numId w:val="0"/>
        </w:numPr>
        <w:ind w:hanging="0" w:left="0"/>
        <w:rPr/>
      </w:pPr>
      <w:r>
        <w:rPr/>
        <w:t>3.5.2 ResNet-50</w:t>
      </w:r>
    </w:p>
    <w:p>
      <w:pPr>
        <w:pStyle w:val="Normal"/>
        <w:ind w:hanging="0"/>
        <w:rPr/>
      </w:pPr>
      <w:r>
        <w:rPr/>
        <w:t xml:space="preserve">Model załadowano z wagami </w:t>
      </w:r>
      <w:r>
        <w:rPr>
          <w:rStyle w:val="Tekstrdowyuser"/>
        </w:rPr>
        <w:t>ResNet50_Weights.DEFAULT</w:t>
      </w:r>
      <w:r>
        <w:rPr/>
        <w:t xml:space="preserve">, czyli pretrenowanymi na zbiorze ImageNet. Adaptacja do zadania klasyfikacji 14 klas polegała na zastąpieniu oryginalnej warstwy </w:t>
      </w:r>
      <w:r>
        <w:rPr>
          <w:rStyle w:val="Tekstrdowyuser"/>
        </w:rPr>
        <w:t>model.fc</w:t>
      </w:r>
      <w:r>
        <w:rPr/>
        <w:t xml:space="preserve"> nową warstwą liniową o rozmiarze wyjściowym równym liczbie klas:</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model.fc.in_features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model.fc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Normal"/>
        <w:ind w:hanging="0"/>
        <w:rPr/>
      </w:pPr>
      <w:r>
        <w:rPr/>
        <w:t>Pozostałe warstwy sieci były w pełni odmrożone, co pozwoliło na dostrojenie wszystkich wag podczas fine-tuningu.</w:t>
      </w:r>
    </w:p>
    <w:p>
      <w:pPr>
        <w:pStyle w:val="Heading3"/>
        <w:numPr>
          <w:ilvl w:val="0"/>
          <w:numId w:val="0"/>
        </w:numPr>
        <w:ind w:hanging="0" w:left="0"/>
        <w:rPr/>
      </w:pPr>
      <w:r>
        <w:rPr/>
        <w:t xml:space="preserve">3.5.3 MobileNetV3-Large </w:t>
      </w:r>
    </w:p>
    <w:p>
      <w:pPr>
        <w:pStyle w:val="Normal"/>
        <w:ind w:hanging="0"/>
        <w:rPr/>
      </w:pPr>
      <w:r>
        <w:rPr/>
        <w:t>W przypadku MobileNetV3 punkt wejścia klasyfikatora znajduje się w głębszej warstwie sekwencyjnej, dlatego zamieniono element model.classifier[3] zamiast całego bloku:</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Taki zabieg zachowuje oryginalną strukturę warstwy normalizacyjnej i aktywacji poprzedzającej klasyfikator, co jest zalecane przy fine-tuningu tej architektury.</w:t>
      </w:r>
    </w:p>
    <w:p>
      <w:pPr>
        <w:pStyle w:val="Heading3"/>
        <w:numPr>
          <w:ilvl w:val="0"/>
          <w:numId w:val="0"/>
        </w:numPr>
        <w:ind w:hanging="0" w:left="0"/>
        <w:rPr/>
      </w:pPr>
      <w:r>
        <w:rPr/>
        <w:t xml:space="preserve">3.5.4 EfficientNet-B0 </w:t>
      </w:r>
    </w:p>
    <w:p>
      <w:pPr>
        <w:pStyle w:val="Normal"/>
        <w:ind w:hanging="0"/>
        <w:rPr/>
      </w:pPr>
      <w:r>
        <w:rPr/>
        <w:t>EfficientNet posiada podobną strukturę sekwencyjną klasyfikatora. Zastąpiono warstwę model.classifier[1], zachowując warstwę Dropout wbudowaną pod indeksem 0:</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Heading3"/>
        <w:numPr>
          <w:ilvl w:val="0"/>
          <w:numId w:val="0"/>
        </w:numPr>
        <w:ind w:hanging="0" w:left="0"/>
        <w:rPr/>
      </w:pPr>
      <w:r>
        <w:rPr/>
        <w:t xml:space="preserve">3.5.5 Vision Transformer (ViT-B/16) </w:t>
      </w:r>
    </w:p>
    <w:p>
      <w:pPr>
        <w:pStyle w:val="Normal"/>
        <w:ind w:hanging="0"/>
        <w:rPr/>
      </w:pPr>
      <w:r>
        <w:rPr/>
        <w:t>Dostosowanie ViT wymagało odwołania się do wewnętrznego modułu heads, który w tej architekturze grupuje warstwy klasyfikacyjne. Zamieniono warstwę model.heads.head:</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model.heads.head.in_features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model.heads.head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Przy eksporcie modelu do formatu TorchScript konieczne było wyłączenie weryfikacji śladów (check_trace=False, strict=False), ponieważ mechanizm atencji w ViT generuje operacje niedeterministyczne, których standardowy tracer nie akceptuje.</w:t>
      </w:r>
    </w:p>
    <w:p>
      <w:pPr>
        <w:pStyle w:val="Normal"/>
        <w:ind w:hanging="0"/>
        <w:rPr/>
      </w:pPr>
      <w:r>
        <w:rPr/>
      </w:r>
    </w:p>
    <w:p>
      <w:pPr>
        <w:pStyle w:val="Normal"/>
        <w:ind w:hanging="0"/>
        <w:rPr/>
      </w:pPr>
      <w:r>
        <w:rPr/>
      </w:r>
    </w:p>
    <w:p>
      <w:pPr>
        <w:pStyle w:val="Normal"/>
        <w:ind w:hanging="0"/>
        <w:rPr/>
      </w:pPr>
      <w:r>
        <w:rPr/>
      </w:r>
    </w:p>
    <w:p>
      <w:pPr>
        <w:pStyle w:val="Normal"/>
        <w:ind w:hanging="0"/>
        <w:rPr/>
      </w:pPr>
      <w:r>
        <w:rPr/>
      </w:r>
    </w:p>
    <w:tbl>
      <w:tblPr>
        <w:tblW w:w="5000" w:type="pct"/>
        <w:jc w:val="left"/>
        <w:tblInd w:w="55" w:type="dxa"/>
        <w:tblLayout w:type="fixed"/>
        <w:tblCellMar>
          <w:top w:w="55" w:type="dxa"/>
          <w:left w:w="55" w:type="dxa"/>
          <w:bottom w:w="55" w:type="dxa"/>
          <w:right w:w="55" w:type="dxa"/>
        </w:tblCellMar>
      </w:tblPr>
      <w:tblGrid>
        <w:gridCol w:w="1814"/>
        <w:gridCol w:w="1812"/>
        <w:gridCol w:w="1817"/>
        <w:gridCol w:w="1811"/>
        <w:gridCol w:w="1818"/>
      </w:tblGrid>
      <w:tr>
        <w:trPr/>
        <w:tc>
          <w:tcPr>
            <w:tcW w:w="1814" w:type="dxa"/>
            <w:tcBorders>
              <w:top w:val="single" w:sz="4" w:space="0" w:color="000000"/>
              <w:left w:val="single" w:sz="4" w:space="0" w:color="000000"/>
              <w:bottom w:val="single" w:sz="4" w:space="0" w:color="000000"/>
            </w:tcBorders>
          </w:tcPr>
          <w:p>
            <w:pPr>
              <w:pStyle w:val="Zawartotabeliuser"/>
              <w:ind w:hanging="0" w:left="0"/>
              <w:rPr/>
            </w:pPr>
            <w:r>
              <w:rPr/>
              <w:t>Model</w:t>
            </w:r>
          </w:p>
        </w:tc>
        <w:tc>
          <w:tcPr>
            <w:tcW w:w="1812" w:type="dxa"/>
            <w:tcBorders>
              <w:top w:val="single" w:sz="4" w:space="0" w:color="000000"/>
              <w:left w:val="single" w:sz="4" w:space="0" w:color="000000"/>
              <w:bottom w:val="single" w:sz="4" w:space="0" w:color="000000"/>
            </w:tcBorders>
          </w:tcPr>
          <w:p>
            <w:pPr>
              <w:pStyle w:val="Zawartotabeliuser"/>
              <w:ind w:hanging="0" w:left="0"/>
              <w:rPr/>
            </w:pPr>
            <w:r>
              <w:rPr/>
              <w:t>Parametry</w:t>
            </w:r>
          </w:p>
        </w:tc>
        <w:tc>
          <w:tcPr>
            <w:tcW w:w="1817" w:type="dxa"/>
            <w:tcBorders>
              <w:top w:val="single" w:sz="4" w:space="0" w:color="000000"/>
              <w:left w:val="single" w:sz="4" w:space="0" w:color="000000"/>
              <w:bottom w:val="single" w:sz="4" w:space="0" w:color="000000"/>
            </w:tcBorders>
          </w:tcPr>
          <w:p>
            <w:pPr>
              <w:pStyle w:val="Zawartotabeliuser"/>
              <w:ind w:hanging="0" w:left="0"/>
              <w:rPr/>
            </w:pPr>
            <w:r>
              <w:rPr/>
              <w:t>Pretrenowany</w:t>
            </w:r>
          </w:p>
        </w:tc>
        <w:tc>
          <w:tcPr>
            <w:tcW w:w="1811" w:type="dxa"/>
            <w:tcBorders>
              <w:top w:val="single" w:sz="4" w:space="0" w:color="000000"/>
              <w:left w:val="single" w:sz="4" w:space="0" w:color="000000"/>
              <w:bottom w:val="single" w:sz="4" w:space="0" w:color="000000"/>
            </w:tcBorders>
          </w:tcPr>
          <w:p>
            <w:pPr>
              <w:pStyle w:val="Zawartotabeliuser"/>
              <w:ind w:hanging="0" w:left="0"/>
              <w:rPr/>
            </w:pPr>
            <w:r>
              <w:rPr/>
              <w:t xml:space="preserve"> </w:t>
            </w:r>
            <w:r>
              <w:rPr/>
              <w:t>Warstwy</w:t>
            </w:r>
          </w:p>
        </w:tc>
        <w:tc>
          <w:tcPr>
            <w:tcW w:w="1818"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Learning rate</w:t>
            </w:r>
          </w:p>
        </w:tc>
      </w:tr>
      <w:tr>
        <w:trPr/>
        <w:tc>
          <w:tcPr>
            <w:tcW w:w="1814" w:type="dxa"/>
            <w:tcBorders>
              <w:left w:val="single" w:sz="4" w:space="0" w:color="000000"/>
              <w:bottom w:val="single" w:sz="4" w:space="0" w:color="000000"/>
            </w:tcBorders>
          </w:tcPr>
          <w:p>
            <w:pPr>
              <w:pStyle w:val="Zawartotabeliuser"/>
              <w:ind w:hanging="0" w:left="0"/>
              <w:rPr/>
            </w:pPr>
            <w:r>
              <w:rPr/>
              <w:t>CustomCNN</w:t>
            </w:r>
          </w:p>
        </w:tc>
        <w:tc>
          <w:tcPr>
            <w:tcW w:w="1812" w:type="dxa"/>
            <w:tcBorders>
              <w:left w:val="single" w:sz="4" w:space="0" w:color="000000"/>
              <w:bottom w:val="single" w:sz="4" w:space="0" w:color="000000"/>
            </w:tcBorders>
          </w:tcPr>
          <w:p>
            <w:pPr>
              <w:pStyle w:val="Zawartotabeliuser"/>
              <w:ind w:hanging="0" w:left="0"/>
              <w:rPr/>
            </w:pPr>
            <w:r>
              <w:rPr/>
              <w:t>51.48M</w:t>
            </w:r>
          </w:p>
        </w:tc>
        <w:tc>
          <w:tcPr>
            <w:tcW w:w="1817" w:type="dxa"/>
            <w:tcBorders>
              <w:left w:val="single" w:sz="4" w:space="0" w:color="000000"/>
              <w:bottom w:val="single" w:sz="4" w:space="0" w:color="000000"/>
            </w:tcBorders>
          </w:tcPr>
          <w:p>
            <w:pPr>
              <w:pStyle w:val="Zawartotabeliuser"/>
              <w:ind w:hanging="0" w:left="0"/>
              <w:rPr/>
            </w:pPr>
            <w:r>
              <w:rPr/>
              <w:t>Uczony od zera</w:t>
            </w:r>
          </w:p>
        </w:tc>
        <w:tc>
          <w:tcPr>
            <w:tcW w:w="1811" w:type="dxa"/>
            <w:tcBorders>
              <w:left w:val="single" w:sz="4" w:space="0" w:color="000000"/>
              <w:bottom w:val="single" w:sz="4" w:space="0" w:color="000000"/>
            </w:tcBorders>
          </w:tcPr>
          <w:p>
            <w:pPr>
              <w:pStyle w:val="Zawartotabeliuser"/>
              <w:ind w:hanging="0" w:left="0"/>
              <w:rPr/>
            </w:pPr>
            <w:r>
              <w:rPr/>
              <w:t>5</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ResNet50</w:t>
            </w:r>
          </w:p>
        </w:tc>
        <w:tc>
          <w:tcPr>
            <w:tcW w:w="1812" w:type="dxa"/>
            <w:tcBorders>
              <w:left w:val="single" w:sz="4" w:space="0" w:color="000000"/>
              <w:bottom w:val="single" w:sz="4" w:space="0" w:color="000000"/>
            </w:tcBorders>
          </w:tcPr>
          <w:p>
            <w:pPr>
              <w:pStyle w:val="Zawartotabeliuser"/>
              <w:ind w:hanging="0" w:left="0"/>
              <w:rPr/>
            </w:pPr>
            <w:r>
              <w:rPr/>
              <w:t>23.59M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107</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MobileNetV3-Large</w:t>
            </w:r>
          </w:p>
        </w:tc>
        <w:tc>
          <w:tcPr>
            <w:tcW w:w="1812" w:type="dxa"/>
            <w:tcBorders>
              <w:left w:val="single" w:sz="4" w:space="0" w:color="000000"/>
              <w:bottom w:val="single" w:sz="4" w:space="0" w:color="000000"/>
            </w:tcBorders>
          </w:tcPr>
          <w:p>
            <w:pPr>
              <w:pStyle w:val="Zawartotabeliuser"/>
              <w:ind w:hanging="0" w:left="0"/>
              <w:rPr/>
            </w:pPr>
            <w:r>
              <w:rPr/>
              <w:t>4.24M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110</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EfficientNet-B0</w:t>
            </w:r>
          </w:p>
        </w:tc>
        <w:tc>
          <w:tcPr>
            <w:tcW w:w="1812" w:type="dxa"/>
            <w:tcBorders>
              <w:left w:val="single" w:sz="4" w:space="0" w:color="000000"/>
              <w:bottom w:val="single" w:sz="4" w:space="0" w:color="000000"/>
            </w:tcBorders>
          </w:tcPr>
          <w:p>
            <w:pPr>
              <w:pStyle w:val="Zawartotabeliuser"/>
              <w:ind w:hanging="0" w:left="0"/>
              <w:rPr/>
            </w:pPr>
            <w:r>
              <w:rPr/>
              <w:t>4.07M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131</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0.0001</w:t>
            </w:r>
          </w:p>
        </w:tc>
      </w:tr>
      <w:tr>
        <w:trPr/>
        <w:tc>
          <w:tcPr>
            <w:tcW w:w="1814" w:type="dxa"/>
            <w:tcBorders>
              <w:left w:val="single" w:sz="4" w:space="0" w:color="000000"/>
              <w:bottom w:val="single" w:sz="4" w:space="0" w:color="000000"/>
            </w:tcBorders>
          </w:tcPr>
          <w:p>
            <w:pPr>
              <w:pStyle w:val="Zawartotabeliuser"/>
              <w:ind w:hanging="0" w:left="0"/>
              <w:rPr/>
            </w:pPr>
            <w:r>
              <w:rPr/>
              <w:t>ViT-B/16</w:t>
            </w:r>
          </w:p>
        </w:tc>
        <w:tc>
          <w:tcPr>
            <w:tcW w:w="1812" w:type="dxa"/>
            <w:tcBorders>
              <w:left w:val="single" w:sz="4" w:space="0" w:color="000000"/>
              <w:bottom w:val="single" w:sz="4" w:space="0" w:color="000000"/>
            </w:tcBorders>
          </w:tcPr>
          <w:p>
            <w:pPr>
              <w:pStyle w:val="Zawartotabeliuser"/>
              <w:ind w:hanging="0" w:left="0"/>
              <w:rPr/>
            </w:pPr>
            <w:r>
              <w:rPr/>
              <w:t>85.81M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77</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0.0001</w:t>
            </w:r>
          </w:p>
        </w:tc>
      </w:tr>
    </w:tbl>
    <w:p>
      <w:pPr>
        <w:pStyle w:val="Heading2"/>
        <w:numPr>
          <w:ilvl w:val="1"/>
          <w:numId w:val="8"/>
        </w:numPr>
        <w:rPr/>
      </w:pPr>
      <w:bookmarkStart w:id="24" w:name="_Toc225177328_kopia_3"/>
      <w:bookmarkEnd w:id="24"/>
      <w:r>
        <w:rPr/>
        <w:t>Implementacja testu odporności modeli na lekkie zniekształcenia zdjęć</w:t>
      </w:r>
    </w:p>
    <w:p>
      <w:pPr>
        <w:pStyle w:val="Normal"/>
        <w:ind w:hanging="0" w:left="0"/>
        <w:rPr/>
      </w:pPr>
      <w:r>
        <w:rPr/>
        <w:tab/>
        <w:t>Po zakończeniu procesu treningu przeprowadzono dodatkowy test mający na celu ocenę odporności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br/>
        <w:t>W tym celu zaimplementowano dwa rodzaje sztucznych deformacji obrazu:</w:t>
        <w:br/>
        <w:br/>
        <w:t>szum Gaussowski – symulujący drobne zakłócenia wynikające z jakości sensora aparatu lub warunków oświetleniowych,</w:t>
        <w:br/>
        <w:t>rozmycie Gaussa – odpowiadające nieostremu ustawieniu ostrości lub niewielkim ruchom ręki podczas wykonywania zdjęcia.</w:t>
        <w:br/>
        <w:b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br/>
        <w:t>Wyniki testu odporności zestawiono w postaci tabeli porównawczej, prezentującej dokładność klasyfikacji (accuracy)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25" w:name="_Toc225177328"/>
      <w:bookmarkEnd w:id="25"/>
      <w:r>
        <w:rPr/>
        <w:t xml:space="preserve">Implementacja mechanizmu Grad-CAM i generowania map aktywacji </w:t>
      </w:r>
    </w:p>
    <w:p>
      <w:pPr>
        <w:pStyle w:val="Normal"/>
        <w:keepNext w:val="true"/>
        <w:jc w:val="left"/>
        <w:rPr/>
      </w:pPr>
      <w:r>
        <w:rPr/>
        <w:t>Kluczowym elementem warstwy ML systemu jest moduł wyjaśnialności, zrealizowany w klasie ImageProcessor. Jego zadaniem jest nie tylko klasyfikacja obrazu, lecz również wskazanie obszarów, które w największym stopniu wpłynęły na decyzję modelu. W praktyce medycznej ma to zasadnicze znaczenie, ponieważ lekarz lub użytkownik może zweryfikować, czy sieć rzeczywiście „patrzy" na zmianę skórną, a nie na artefakt fotograficzny w tle.</w:t>
        <w:br/>
        <w:t>Do generowania map aktywacji zastosowano bibliotekę pytorch-grad-cam, która implementuje algorytm Gradient-weighted Class Activation Mapping. Metoda ta oblicza gradienty sygnału wyjściowego klasy docelowej względem aktywacji wybranej warstwy konwolucyjnej, a następnie waży każdy kanał tej warstwy odpowiadającym mu gradientem. Tak powstały obraz ciepła (ang. heatmap) jest nakładany na oryginalne zdjęcie za pomocą funkcji show_cam_on_image, tworząc finalną wizualizację zwracaną do frontendu w formacie PNG zakodowanym jako Base64.</w:t>
        <w:br/>
        <w:t>Ponieważ każda z pięciu architektur ma inną strukturę wewnętrzną, wybór warstwy docelowej musiał być dostosowany indywidualnie:</w:t>
      </w:r>
    </w:p>
    <w:p>
      <w:pPr>
        <w:pStyle w:val="Normal"/>
        <w:numPr>
          <w:ilvl w:val="0"/>
          <w:numId w:val="24"/>
        </w:numPr>
        <w:jc w:val="left"/>
        <w:rPr/>
      </w:pPr>
      <w:r>
        <w:rPr/>
        <w:t>Dla modelu ResNet-50 jako warstwę docelową wskazano ostatni blok residualny czwartego modułu (model.layer4[-1]), który zawiera cechy o najwyższym poziomie abstrakcji przed klasyfikatorem.</w:t>
      </w:r>
    </w:p>
    <w:p>
      <w:pPr>
        <w:pStyle w:val="Normal"/>
        <w:numPr>
          <w:ilvl w:val="0"/>
          <w:numId w:val="24"/>
        </w:numPr>
        <w:jc w:val="left"/>
        <w:rPr/>
      </w:pPr>
      <w:r>
        <w:rPr/>
        <w:t>W przypadku MobileNetV3 oraz EfficientNet-B0 zastosowano ostatnią warstwę bloku ekstrakcji cech (model.features[-1]). Obie architektury dzielą podobną strukturę sekwencyjną, co pozwoliło na ujednolicenie sposobu wydobywania gradientów.</w:t>
      </w:r>
    </w:p>
    <w:p>
      <w:pPr>
        <w:pStyle w:val="Normal"/>
        <w:numPr>
          <w:ilvl w:val="0"/>
          <w:numId w:val="24"/>
        </w:numPr>
        <w:jc w:val="left"/>
        <w:rPr/>
      </w:pPr>
      <w:r>
        <w:rPr/>
        <w:t>Model CustomCNN wymaga odmiennego podejścia ze względu na ręcznie zdefiniowaną strukturę. Implementacja najpierw przeszukuje sekwencję model.features w odwrotnej kolejności i wybiera ostatnią warstwę Conv2d. Jeśli taka nie zostanie odnaleziona, algorytm przegląda całe drzewo modułów i wybiera ostatnią warstwę konwolucyjną. Takie dwuetapowe wyszukiwanie zapewnia odporność na ewentualne zmiany w definicji architektury.</w:t>
      </w:r>
    </w:p>
    <w:p>
      <w:pPr>
        <w:pStyle w:val="Normal"/>
        <w:numPr>
          <w:ilvl w:val="0"/>
          <w:numId w:val="23"/>
        </w:numPr>
        <w:jc w:val="left"/>
        <w:rPr/>
      </w:pPr>
      <w:r>
        <w:rPr/>
        <w:t>Największe wyzwanie stanowił Vision Transformer, który nie posiada warstw konwolucyjnych. W tym przypadku zastosowano ostatnią warstwę normalizacji enkodera (model.encoder.layers[-1].ln_1) jako punkt zaczepienia dla gradientów. Ponieważ ViT operuje na tokenach sekwencyjnych, a nie na mapach przestrzennych, konieczne było zastosowanie funkcji _reshape_transform_vit. Przekształca ona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numPr>
          <w:ilvl w:val="0"/>
          <w:numId w:val="0"/>
        </w:numPr>
        <w:ind w:hanging="0" w:left="0"/>
        <w:jc w:val="left"/>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ind w:hanging="0" w:left="0"/>
        <w:jc w:val="left"/>
        <w:rPr/>
      </w:pPr>
      <w:r>
        <w:rPr/>
        <mc:AlternateContent>
          <mc:Choice Requires="wps">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760720" cy="2747645"/>
                <wp:effectExtent l="0" t="0" r="0" b="0"/>
                <wp:wrapSquare wrapText="largest"/>
                <wp:docPr id="23" name="Ramka2"/>
                <a:graphic xmlns:a="http://schemas.openxmlformats.org/drawingml/2006/main">
                  <a:graphicData uri="http://schemas.microsoft.com/office/word/2010/wordprocessingShape">
                    <wps:wsp>
                      <wps:cNvSpPr/>
                      <wps:spPr>
                        <a:xfrm>
                          <a:off x="0" y="0"/>
                          <a:ext cx="5760720" cy="27475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color w:val="000000"/>
                              </w:rPr>
                              <w:drawing>
                                <wp:inline distT="0" distB="0" distL="0" distR="0">
                                  <wp:extent cx="5760720" cy="2354580"/>
                                  <wp:effectExtent l="0" t="0" r="0" b="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25"/>
                                          <a:stretch>
                                            <a:fillRect/>
                                          </a:stretch>
                                        </pic:blipFill>
                                        <pic:spPr bwMode="auto">
                                          <a:xfrm>
                                            <a:off x="0" y="0"/>
                                            <a:ext cx="5760720" cy="235458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20</w:t>
                            </w:r>
                            <w:r>
                              <w:rPr>
                                <w:color w:val="000000"/>
                              </w:rPr>
                              <w:fldChar w:fldCharType="end"/>
                            </w:r>
                            <w:r>
                              <w:rPr>
                                <w:color w:val="000000"/>
                              </w:rPr>
                              <w:t>: GradCam modelu mobilenetv3 chorba chikenpox</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16.3pt;mso-wrap-style:square;v-text-anchor:top;mso-position-horizontal:center">
                <v:fill o:detectmouseclick="t" type="solid" color2="black"/>
                <v:stroke color="#3465a4" joinstyle="round" endcap="flat"/>
                <v:textbox>
                  <w:txbxContent>
                    <w:p>
                      <w:pPr>
                        <w:pStyle w:val="Rysunekuser"/>
                        <w:spacing w:before="120" w:after="360"/>
                        <w:rPr/>
                      </w:pPr>
                      <w:r>
                        <w:rPr>
                          <w:color w:val="000000"/>
                        </w:rPr>
                        <w:drawing>
                          <wp:inline distT="0" distB="0" distL="0" distR="0">
                            <wp:extent cx="5760720" cy="2354580"/>
                            <wp:effectExtent l="0" t="0" r="0" b="0"/>
                            <wp:docPr id="25"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6"/>
                                    <pic:cNvPicPr>
                                      <a:picLocks noChangeAspect="1" noChangeArrowheads="1"/>
                                    </pic:cNvPicPr>
                                  </pic:nvPicPr>
                                  <pic:blipFill>
                                    <a:blip r:embed="rId26"/>
                                    <a:stretch>
                                      <a:fillRect/>
                                    </a:stretch>
                                  </pic:blipFill>
                                  <pic:spPr bwMode="auto">
                                    <a:xfrm>
                                      <a:off x="0" y="0"/>
                                      <a:ext cx="5760720" cy="235458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20</w:t>
                      </w:r>
                      <w:r>
                        <w:rPr>
                          <w:color w:val="000000"/>
                        </w:rPr>
                        <w:fldChar w:fldCharType="end"/>
                      </w:r>
                      <w:r>
                        <w:rPr>
                          <w:color w:val="000000"/>
                        </w:rPr>
                        <w:t>: GradCam modelu mobilenetv3 chorba chikenpox</w:t>
                      </w:r>
                    </w:p>
                  </w:txbxContent>
                </v:textbox>
                <w10:wrap type="square" side="largest"/>
              </v:rect>
            </w:pict>
          </mc:Fallback>
        </mc:AlternateContent>
      </w:r>
    </w:p>
    <w:p>
      <w:pPr>
        <w:pStyle w:val="Heading2"/>
        <w:numPr>
          <w:ilvl w:val="1"/>
          <w:numId w:val="8"/>
        </w:numPr>
        <w:rPr/>
      </w:pPr>
      <w:bookmarkStart w:id="26" w:name="_Toc225177329"/>
      <w:bookmarkEnd w:id="26"/>
      <w:r>
        <w:rPr/>
        <w:t xml:space="preserve">Implementacja systemu ensemble i mechanizmu głosowania </w:t>
      </w:r>
    </w:p>
    <w:p>
      <w:pPr>
        <w:pStyle w:val="Normal"/>
        <w:rPr/>
      </w:pPr>
      <w:r>
        <w:rPr/>
        <w:t>W 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b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(ang. logits) przekształca funkcją softmax na rozkład prawdopodobieństwa po wszystkich 14 klasach. Zwracane są trzy najlepsze klasy wraz z ich prawdopodobieństwami(top-3).</w:t>
        <w:br/>
        <w:t>Agregacja wyników odbywa się w funkcji _compute_consensus. Każdy model oddaje jeden głos na klasę, którą wskazał jako najbardziej prawdopodobną (pozycja pierwsza z top-3). Głosy zliczane są przy użyciu struktury Counter, po czym wybierana jest klasa z największą liczbą głosów. Dla zwycięskiej klasy obliczana jest następnie średnia arytmetyczna pewności ze wszystkich modeli, które na nią głosowały. Wartość ta stanowi wynikową pewność konsensusu prezentowaną użytkownikowi.</w:t>
        <w:br/>
        <w:t>Warto podkreślić, że zastosowane głosowanie ma charakter nieważony – każdy z pięciu modeli ma jednakowy wpływ na wynik końcowy, niezależnie od jego indywidualnej skuteczności zmierzonej na zbiorze testowym. Takie uproszczenie było świadomą decyzją projektową: różnice w dokładności między modelami, choć mierzalne, nie są na tyle duże, by uzasadniać złożony schemat ważenia, który wymagałby dodatkowej kalibracji i zmniejszałby interpretowalność systemu.</w:t>
        <w:br/>
        <w:t>W przypadku gdy inferencja któregoś z modeli zakończy się błędem, model ten jest pomijany w głosowaniu bez przerywania całego potoku. Konsensus obliczany jest wtedy na podstawie pozostałych dostępnych modeli, a informacja o błędzie rejestrowana jest w logu systemowym.</w:t>
        <w:br/>
        <w:t>Wynik konsensusu, wraz z poziomem ryzyka przypisanym zwycięskiej klasie, jest następnie zapisywany w bazie danych jako główne pole rekordu badania. Indywidualne wyniki każdego modelu przechowywane są osobno w tabeli ModelResultRow, co umożliwia późniejszą analizę rozbieżności między modelami w historii badań.</w:t>
      </w:r>
    </w:p>
    <w:p>
      <w:pPr>
        <w:pStyle w:val="Heading2"/>
        <w:numPr>
          <w:ilvl w:val="1"/>
          <w:numId w:val="8"/>
        </w:numPr>
        <w:rPr/>
      </w:pPr>
      <w:r>
        <w:drawing>
          <wp:anchor distT="0" distB="0" distL="0" distR="0" simplePos="0" relativeHeight="28" behindDoc="0" locked="0" layoutInCell="0" allowOverlap="1">
            <wp:simplePos x="0" y="0"/>
            <wp:positionH relativeFrom="column">
              <wp:posOffset>65405</wp:posOffset>
            </wp:positionH>
            <wp:positionV relativeFrom="paragraph">
              <wp:posOffset>227965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27"/>
                    <a:stretch>
                      <a:fillRect/>
                    </a:stretch>
                  </pic:blipFill>
                  <pic:spPr bwMode="auto">
                    <a:xfrm>
                      <a:off x="0" y="0"/>
                      <a:ext cx="5760720" cy="3641090"/>
                    </a:xfrm>
                    <a:prstGeom prst="rect">
                      <a:avLst/>
                    </a:prstGeom>
                    <a:noFill/>
                  </pic:spPr>
                </pic:pic>
              </a:graphicData>
            </a:graphic>
          </wp:anchor>
        </w:drawing>
      </w:r>
      <w:r>
        <w:rPr/>
        <w:t>Interfejs użytkownika</w:t>
      </w:r>
    </w:p>
    <w:p>
      <w:pPr>
        <w:pStyle w:val="Normal"/>
        <w:rPr/>
      </w:pPr>
      <w:r>
        <w:rPr/>
        <w:t>Główny interfejs aplikacji został zaprojektowany z myślą o prostocie obsługi oraz intuicyjności, tak aby mógł być wygodnie wykorzystywany zarówno przez lekarzy, jak i osoby prowadzące   badania.</w:t>
        <w:br/>
        <w:t>Na górze okna znajduje się pasek nawigacji umożliwiający szybkie przełączanie się między poszczególnymi zakładkami aplikacji.</w:t>
      </w:r>
    </w:p>
    <w:p>
      <w:pPr>
        <w:pStyle w:val="Heading3"/>
        <w:numPr>
          <w:ilvl w:val="0"/>
          <w:numId w:val="0"/>
        </w:numPr>
        <w:ind w:hanging="0" w:left="0"/>
        <w:rPr/>
      </w:pPr>
      <w:r>
        <w:rPr/>
        <w:t>3.8.1 Zakładka skaner</w:t>
      </w:r>
    </w:p>
    <w:p>
      <w:pPr>
        <w:pStyle w:val="Normal"/>
        <w:ind w:hanging="0" w:left="0"/>
        <w:rPr/>
      </w:pPr>
      <w:r>
        <w:rPr/>
        <w:t>stanowi główny moduł diagnostyczny aplikacji. Użytkownik może wczytać zdjęcie dermatoskopowe na dwa sposoby: poprzez wybór pliku z urządzenia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br/>
        <w:t xml:space="preserve"> Wyniki analizy prezentowane są w formie zbiorczego głosowania wszystkich wykorzystanych modeli sieci neuronowych.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p>
    <w:p>
      <w:pPr>
        <w:pStyle w:val="Normal"/>
        <w:ind w:hanging="0" w:left="0"/>
        <w:rPr/>
      </w:pPr>
      <w:r>
        <w:rPr/>
        <mc:AlternateContent>
          <mc:Choice Requires="wps">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760720" cy="4230370"/>
                <wp:effectExtent l="0" t="0" r="0" b="0"/>
                <wp:wrapSquare wrapText="largest"/>
                <wp:docPr id="27" name="Ramka4"/>
                <a:graphic xmlns:a="http://schemas.openxmlformats.org/drawingml/2006/main">
                  <a:graphicData uri="http://schemas.microsoft.com/office/word/2010/wordprocessingShape">
                    <wps:wsp>
                      <wps:cNvSpPr/>
                      <wps:spPr>
                        <a:xfrm>
                          <a:off x="0" y="0"/>
                          <a:ext cx="5760720" cy="42303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3837305"/>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28"/>
                                          <a:stretch>
                                            <a:fillRect/>
                                          </a:stretch>
                                        </pic:blipFill>
                                        <pic:spPr bwMode="auto">
                                          <a:xfrm>
                                            <a:off x="0" y="0"/>
                                            <a:ext cx="5760720" cy="383730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21</w:t>
                            </w:r>
                            <w:r>
                              <w:rPr>
                                <w:color w:val="000000"/>
                              </w:rPr>
                              <w:fldChar w:fldCharType="end"/>
                            </w:r>
                            <w:r>
                              <w:rPr>
                                <w:color w:val="000000"/>
                              </w:rPr>
                              <w:t>: Przed wybraniem zdjęcia do analizy, wybór zakładki Wgraj z urządzenia lub aparat.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33.0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3837305"/>
                            <wp:effectExtent l="0" t="0" r="0" b="0"/>
                            <wp:docPr id="29"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9"/>
                                    <pic:cNvPicPr>
                                      <a:picLocks noChangeAspect="1" noChangeArrowheads="1"/>
                                    </pic:cNvPicPr>
                                  </pic:nvPicPr>
                                  <pic:blipFill>
                                    <a:blip r:embed="rId29"/>
                                    <a:stretch>
                                      <a:fillRect/>
                                    </a:stretch>
                                  </pic:blipFill>
                                  <pic:spPr bwMode="auto">
                                    <a:xfrm>
                                      <a:off x="0" y="0"/>
                                      <a:ext cx="5760720" cy="383730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21</w:t>
                      </w:r>
                      <w:r>
                        <w:rPr>
                          <w:color w:val="000000"/>
                        </w:rPr>
                        <w:fldChar w:fldCharType="end"/>
                      </w:r>
                      <w:r>
                        <w:rPr>
                          <w:color w:val="000000"/>
                        </w:rPr>
                        <w:t>: Przed wybraniem zdjęcia do analizy, wybór zakładki Wgraj z urządzenia lub aparat.</w:t>
                      </w:r>
                    </w:p>
                  </w:txbxContent>
                </v:textbox>
                <w10:wrap type="square" side="largest"/>
              </v:rect>
            </w:pict>
          </mc:Fallback>
        </mc:AlternateContent>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mc:AlternateContent>
          <mc:Choice Requires="wps">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760720" cy="5562600"/>
                <wp:effectExtent l="0" t="0" r="0" b="0"/>
                <wp:wrapSquare wrapText="largest"/>
                <wp:docPr id="30" name="Ramka3"/>
                <a:graphic xmlns:a="http://schemas.openxmlformats.org/drawingml/2006/main">
                  <a:graphicData uri="http://schemas.microsoft.com/office/word/2010/wordprocessingShape">
                    <wps:wsp>
                      <wps:cNvSpPr/>
                      <wps:spPr>
                        <a:xfrm>
                          <a:off x="0" y="0"/>
                          <a:ext cx="5760720" cy="55627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5169535"/>
                                  <wp:effectExtent l="0" t="0" r="0" b="0"/>
                                  <wp:docPr id="31"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0"/>
                                          <a:stretch>
                                            <a:fillRect/>
                                          </a:stretch>
                                        </pic:blipFill>
                                        <pic:spPr bwMode="auto">
                                          <a:xfrm>
                                            <a:off x="0" y="0"/>
                                            <a:ext cx="5760720" cy="516953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23</w:t>
                            </w:r>
                            <w:r>
                              <w:rPr>
                                <w:color w:val="000000"/>
                              </w:rPr>
                              <w:fldChar w:fldCharType="end"/>
                            </w:r>
                            <w:r>
                              <w:rPr>
                                <w:color w:val="000000"/>
                              </w:rPr>
                              <w:t>: Wybranie i podgląd zdjęcia przed analizą</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437.9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5169535"/>
                            <wp:effectExtent l="0" t="0" r="0" b="0"/>
                            <wp:docPr id="32"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8"/>
                                    <pic:cNvPicPr>
                                      <a:picLocks noChangeAspect="1" noChangeArrowheads="1"/>
                                    </pic:cNvPicPr>
                                  </pic:nvPicPr>
                                  <pic:blipFill>
                                    <a:blip r:embed="rId31"/>
                                    <a:stretch>
                                      <a:fillRect/>
                                    </a:stretch>
                                  </pic:blipFill>
                                  <pic:spPr bwMode="auto">
                                    <a:xfrm>
                                      <a:off x="0" y="0"/>
                                      <a:ext cx="5760720" cy="516953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23</w:t>
                      </w:r>
                      <w:r>
                        <w:rPr>
                          <w:color w:val="000000"/>
                        </w:rPr>
                        <w:fldChar w:fldCharType="end"/>
                      </w:r>
                      <w:r>
                        <w:rPr>
                          <w:color w:val="000000"/>
                        </w:rPr>
                        <w:t>: Wybranie i podgląd zdjęcia przed analizą</w:t>
                      </w:r>
                    </w:p>
                  </w:txbxContent>
                </v:textbox>
                <w10:wrap type="square" side="largest"/>
              </v:rect>
            </w:pict>
          </mc:Fallback>
        </mc:AlternateContent>
        <mc:AlternateContent>
          <mc:Choice Requires="wps">
            <w:drawing>
              <wp:anchor distT="0" distB="0" distL="0" distR="0" simplePos="0" relativeHeight="34" behindDoc="0" locked="0" layoutInCell="0" allowOverlap="1">
                <wp:simplePos x="0" y="0"/>
                <wp:positionH relativeFrom="column">
                  <wp:posOffset>66040</wp:posOffset>
                </wp:positionH>
                <wp:positionV relativeFrom="paragraph">
                  <wp:posOffset>5683885</wp:posOffset>
                </wp:positionV>
                <wp:extent cx="5760720" cy="2037715"/>
                <wp:effectExtent l="0" t="0" r="0" b="0"/>
                <wp:wrapTopAndBottom/>
                <wp:docPr id="33" name="Ramka5"/>
                <a:graphic xmlns:a="http://schemas.openxmlformats.org/drawingml/2006/main">
                  <a:graphicData uri="http://schemas.microsoft.com/office/word/2010/wordprocessingShape">
                    <wps:wsp>
                      <wps:cNvSpPr/>
                      <wps:spPr>
                        <a:xfrm>
                          <a:off x="0" y="0"/>
                          <a:ext cx="5760720" cy="203760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1644650"/>
                                  <wp:effectExtent l="0" t="0" r="0" b="0"/>
                                  <wp:docPr id="34"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2"/>
                                          <a:stretch>
                                            <a:fillRect/>
                                          </a:stretch>
                                        </pic:blipFill>
                                        <pic:spPr bwMode="auto">
                                          <a:xfrm>
                                            <a:off x="0" y="0"/>
                                            <a:ext cx="5760720" cy="16446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24</w:t>
                            </w:r>
                            <w:r>
                              <w:rPr>
                                <w:color w:val="000000"/>
                              </w:rPr>
                              <w:fldChar w:fldCharType="end"/>
                            </w:r>
                            <w:r>
                              <w:rPr>
                                <w:color w:val="000000"/>
                              </w:rPr>
                              <w:t>: Wynik konsensusu modeli</w:t>
                            </w:r>
                          </w:p>
                        </w:txbxContent>
                      </wps:txbx>
                      <wps:bodyPr lIns="0" rIns="0" tIns="0" bIns="0" anchor="t">
                        <a:noAutofit/>
                      </wps:bodyPr>
                    </wps:wsp>
                  </a:graphicData>
                </a:graphic>
              </wp:anchor>
            </w:drawing>
          </mc:Choice>
          <mc:Fallback>
            <w:pict>
              <v:rect id="shape_0" fillcolor="white" stroked="f" o:allowincell="f" style="position:absolute;margin-left:5.2pt;margin-top:447.55pt;width:453.55pt;height:160.4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1644650"/>
                            <wp:effectExtent l="0" t="0" r="0" b="0"/>
                            <wp:docPr id="35"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10"/>
                                    <pic:cNvPicPr>
                                      <a:picLocks noChangeAspect="1" noChangeArrowheads="1"/>
                                    </pic:cNvPicPr>
                                  </pic:nvPicPr>
                                  <pic:blipFill>
                                    <a:blip r:embed="rId33"/>
                                    <a:stretch>
                                      <a:fillRect/>
                                    </a:stretch>
                                  </pic:blipFill>
                                  <pic:spPr bwMode="auto">
                                    <a:xfrm>
                                      <a:off x="0" y="0"/>
                                      <a:ext cx="5760720" cy="16446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24</w:t>
                      </w:r>
                      <w:r>
                        <w:rPr>
                          <w:color w:val="000000"/>
                        </w:rPr>
                        <w:fldChar w:fldCharType="end"/>
                      </w:r>
                      <w:r>
                        <w:rPr>
                          <w:color w:val="000000"/>
                        </w:rPr>
                        <w:t>: Wynik konsensusu modeli</w:t>
                      </w:r>
                    </w:p>
                  </w:txbxContent>
                </v:textbox>
                <w10:wrap type="topAndBottom"/>
              </v:rect>
            </w:pict>
          </mc:Fallback>
        </mc:AlternateContent>
        <mc:AlternateContent>
          <mc:Choice Requires="wps">
            <w:drawing>
              <wp:inline distT="0" distB="0" distL="0" distR="0">
                <wp:extent cx="5760720" cy="3142615"/>
                <wp:effectExtent l="0" t="0" r="0" b="0"/>
                <wp:docPr id="36" name="Ramka6"/>
                <a:graphic xmlns:a="http://schemas.openxmlformats.org/drawingml/2006/main">
                  <a:graphicData uri="http://schemas.microsoft.com/office/word/2010/wordprocessingShape">
                    <wps:wsp>
                      <wps:cNvSpPr/>
                      <wps:spPr>
                        <a:xfrm>
                          <a:off x="0" y="0"/>
                          <a:ext cx="5760720" cy="314244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749550"/>
                                  <wp:effectExtent l="0" t="0" r="0" b="0"/>
                                  <wp:docPr id="3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34"/>
                                          <a:stretch>
                                            <a:fillRect/>
                                          </a:stretch>
                                        </pic:blipFill>
                                        <pic:spPr bwMode="auto">
                                          <a:xfrm>
                                            <a:off x="0" y="0"/>
                                            <a:ext cx="5760720" cy="27495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22</w:t>
                            </w:r>
                            <w:r>
                              <w:rPr>
                                <w:color w:val="000000"/>
                              </w:rPr>
                              <w:fldChar w:fldCharType="end"/>
                            </w:r>
                            <w:r>
                              <w:rPr>
                                <w:color w:val="000000"/>
                              </w:rPr>
                              <w:t>: Wyniki poszczególnych modeli</w:t>
                            </w:r>
                          </w:p>
                        </w:txbxContent>
                      </wps:txbx>
                      <wps:bodyPr lIns="0" rIns="0" tIns="0" bIns="0" anchor="t">
                        <a:noAutofit/>
                      </wps:bodyPr>
                    </wps:wsp>
                  </a:graphicData>
                </a:graphic>
              </wp:inline>
            </w:drawing>
          </mc:Choice>
          <mc:Fallback>
            <w:pict>
              <v:rect id="shape_0" fillcolor="white" stroked="f" o:allowincell="f" style="position:absolute;margin-left:0pt;margin-top:-247.5pt;width:453.55pt;height:247.4pt;mso-wrap-style:square;v-text-anchor:top;mso-position-vertical: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749550"/>
                            <wp:effectExtent l="0" t="0" r="0" b="0"/>
                            <wp:docPr id="38"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11"/>
                                    <pic:cNvPicPr>
                                      <a:picLocks noChangeAspect="1" noChangeArrowheads="1"/>
                                    </pic:cNvPicPr>
                                  </pic:nvPicPr>
                                  <pic:blipFill>
                                    <a:blip r:embed="rId35"/>
                                    <a:stretch>
                                      <a:fillRect/>
                                    </a:stretch>
                                  </pic:blipFill>
                                  <pic:spPr bwMode="auto">
                                    <a:xfrm>
                                      <a:off x="0" y="0"/>
                                      <a:ext cx="5760720" cy="27495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22</w:t>
                      </w:r>
                      <w:r>
                        <w:rPr>
                          <w:color w:val="000000"/>
                        </w:rPr>
                        <w:fldChar w:fldCharType="end"/>
                      </w:r>
                      <w:r>
                        <w:rPr>
                          <w:color w:val="000000"/>
                        </w:rPr>
                        <w:t>: Wyniki poszczególnych modeli</w:t>
                      </w:r>
                    </w:p>
                  </w:txbxContent>
                </v:textbox>
                <w10:wrap type="square"/>
              </v:rect>
            </w:pict>
          </mc:Fallback>
        </mc:AlternateContent>
      </w:r>
    </w:p>
    <w:p>
      <w:pPr>
        <w:pStyle w:val="Heading3"/>
        <w:numPr>
          <w:ilvl w:val="0"/>
          <w:numId w:val="0"/>
        </w:numPr>
        <w:ind w:hanging="0" w:left="0"/>
        <w:rPr/>
      </w:pPr>
      <w:r>
        <mc:AlternateContent>
          <mc:Choice Requires="wps">
            <w:drawing>
              <wp:anchor distT="0" distB="0" distL="0" distR="0" simplePos="0" relativeHeight="36" behindDoc="0" locked="0" layoutInCell="0" allowOverlap="1">
                <wp:simplePos x="0" y="0"/>
                <wp:positionH relativeFrom="column">
                  <wp:posOffset>-26035</wp:posOffset>
                </wp:positionH>
                <wp:positionV relativeFrom="paragraph">
                  <wp:posOffset>-45720</wp:posOffset>
                </wp:positionV>
                <wp:extent cx="5760720" cy="5114290"/>
                <wp:effectExtent l="0" t="0" r="0" b="0"/>
                <wp:wrapTopAndBottom/>
                <wp:docPr id="39" name="Ramka7"/>
                <a:graphic xmlns:a="http://schemas.openxmlformats.org/drawingml/2006/main">
                  <a:graphicData uri="http://schemas.microsoft.com/office/word/2010/wordprocessingShape">
                    <wps:wsp>
                      <wps:cNvSpPr/>
                      <wps:spPr>
                        <a:xfrm>
                          <a:off x="0" y="0"/>
                          <a:ext cx="5760720" cy="51141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5114290"/>
                                  <wp:effectExtent l="0" t="0" r="0" b="0"/>
                                  <wp:docPr id="40"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36"/>
                                          <a:stretch>
                                            <a:fillRect/>
                                          </a:stretch>
                                        </pic:blipFill>
                                        <pic:spPr bwMode="auto">
                                          <a:xfrm>
                                            <a:off x="0" y="0"/>
                                            <a:ext cx="5760720" cy="511429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25</w:t>
                            </w:r>
                            <w:r>
                              <w:rPr>
                                <w:color w:val="000000"/>
                              </w:rPr>
                              <w:fldChar w:fldCharType="end"/>
                            </w:r>
                            <w:r>
                              <w:rPr>
                                <w:color w:val="000000"/>
                              </w:rPr>
                              <w:t>: Wynik konkretnego modelu z Grad-cam</w:t>
                            </w:r>
                          </w:p>
                        </w:txbxContent>
                      </wps:txbx>
                      <wps:bodyPr lIns="0" rIns="0" tIns="0" bIns="0" anchor="t">
                        <a:noAutofit/>
                      </wps:bodyPr>
                    </wps:wsp>
                  </a:graphicData>
                </a:graphic>
              </wp:anchor>
            </w:drawing>
          </mc:Choice>
          <mc:Fallback>
            <w:pict>
              <v:rect id="shape_0" fillcolor="white" stroked="f" o:allowincell="f" style="position:absolute;margin-left:-2.05pt;margin-top:-3.6pt;width:453.55pt;height:402.65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5114290"/>
                            <wp:effectExtent l="0" t="0" r="0" b="0"/>
                            <wp:docPr id="41"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32"/>
                                    <pic:cNvPicPr>
                                      <a:picLocks noChangeAspect="1" noChangeArrowheads="1"/>
                                    </pic:cNvPicPr>
                                  </pic:nvPicPr>
                                  <pic:blipFill>
                                    <a:blip r:embed="rId37"/>
                                    <a:stretch>
                                      <a:fillRect/>
                                    </a:stretch>
                                  </pic:blipFill>
                                  <pic:spPr bwMode="auto">
                                    <a:xfrm>
                                      <a:off x="0" y="0"/>
                                      <a:ext cx="5760720" cy="511429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25</w:t>
                      </w:r>
                      <w:r>
                        <w:rPr>
                          <w:color w:val="000000"/>
                        </w:rPr>
                        <w:fldChar w:fldCharType="end"/>
                      </w:r>
                      <w:r>
                        <w:rPr>
                          <w:color w:val="000000"/>
                        </w:rPr>
                        <w:t>: Wynik konkretnego modelu z Grad-cam</w:t>
                      </w:r>
                    </w:p>
                  </w:txbxContent>
                </v:textbox>
                <w10:wrap type="topAndBottom"/>
              </v:rect>
            </w:pict>
          </mc:Fallback>
        </mc:AlternateContent>
      </w:r>
      <w:r>
        <w:rPr/>
        <w:t>3.8.2 Zakładka historia</w:t>
      </w:r>
    </w:p>
    <w:p>
      <w:pPr>
        <w:pStyle w:val="Normal"/>
        <w:ind w:hanging="0" w:left="0"/>
        <w:rPr/>
      </w:pPr>
      <w:r>
        <w:rPr/>
        <w:t>Zawiera archiwum wszystkich przeprowadzonych badań. Wyniki prezentowane są w formie tabeli, w której każdy wiersz odpowiada jednemu badaniu. W kolumnach widoczny jest podgląd miniatury zdjęcia, postawiona diagnoza, liczba modeli biorących udział w głosowaniu oraz ikony umożliwiające szybkie wyświetlenie map Grad-CAM poszczególnych modeli.</w:t>
      </w:r>
    </w:p>
    <w:p>
      <w:pPr>
        <w:pStyle w:val="Normal"/>
        <w:ind w:hanging="0" w:left="0"/>
        <w:rPr/>
      </w:pPr>
      <w:r>
        <w:rPr/>
        <mc:AlternateContent>
          <mc:Choice Requires="wps">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5760720" cy="4327525"/>
                <wp:effectExtent l="0" t="0" r="0" b="0"/>
                <wp:wrapSquare wrapText="largest"/>
                <wp:docPr id="42" name="Ramka8"/>
                <a:graphic xmlns:a="http://schemas.openxmlformats.org/drawingml/2006/main">
                  <a:graphicData uri="http://schemas.microsoft.com/office/word/2010/wordprocessingShape">
                    <wps:wsp>
                      <wps:cNvSpPr/>
                      <wps:spPr>
                        <a:xfrm>
                          <a:off x="0" y="0"/>
                          <a:ext cx="5760720" cy="43275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3934460"/>
                                  <wp:effectExtent l="0" t="0" r="0" b="0"/>
                                  <wp:docPr id="4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38"/>
                                          <a:stretch>
                                            <a:fillRect/>
                                          </a:stretch>
                                        </pic:blipFill>
                                        <pic:spPr bwMode="auto">
                                          <a:xfrm>
                                            <a:off x="0" y="0"/>
                                            <a:ext cx="5760720" cy="393446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26</w:t>
                            </w:r>
                            <w:r>
                              <w:rPr>
                                <w:color w:val="000000"/>
                              </w:rPr>
                              <w:fldChar w:fldCharType="end"/>
                            </w:r>
                            <w:r>
                              <w:rPr>
                                <w:color w:val="000000"/>
                              </w:rPr>
                              <w:t>: Widok zakładki 'Historia'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40.7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3934460"/>
                            <wp:effectExtent l="0" t="0" r="0" b="0"/>
                            <wp:docPr id="44"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33"/>
                                    <pic:cNvPicPr>
                                      <a:picLocks noChangeAspect="1" noChangeArrowheads="1"/>
                                    </pic:cNvPicPr>
                                  </pic:nvPicPr>
                                  <pic:blipFill>
                                    <a:blip r:embed="rId39"/>
                                    <a:stretch>
                                      <a:fillRect/>
                                    </a:stretch>
                                  </pic:blipFill>
                                  <pic:spPr bwMode="auto">
                                    <a:xfrm>
                                      <a:off x="0" y="0"/>
                                      <a:ext cx="5760720" cy="393446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26</w:t>
                      </w:r>
                      <w:r>
                        <w:rPr>
                          <w:color w:val="000000"/>
                        </w:rPr>
                        <w:fldChar w:fldCharType="end"/>
                      </w:r>
                      <w:r>
                        <w:rPr>
                          <w:color w:val="000000"/>
                        </w:rPr>
                        <w:t>: Widok zakładki 'Historia'</w:t>
                      </w:r>
                    </w:p>
                  </w:txbxContent>
                </v:textbox>
                <w10:wrap type="square" side="largest"/>
              </v:rect>
            </w:pict>
          </mc:Fallback>
        </mc:AlternateContent>
        <mc:AlternateContent>
          <mc:Choice Requires="wps">
            <w:drawing>
              <wp:anchor distT="0" distB="0" distL="0" distR="0" simplePos="0" relativeHeight="42" behindDoc="0" locked="0" layoutInCell="0" allowOverlap="1">
                <wp:simplePos x="0" y="0"/>
                <wp:positionH relativeFrom="column">
                  <wp:posOffset>0</wp:posOffset>
                </wp:positionH>
                <wp:positionV relativeFrom="paragraph">
                  <wp:posOffset>4428490</wp:posOffset>
                </wp:positionV>
                <wp:extent cx="5760720" cy="3369310"/>
                <wp:effectExtent l="0" t="0" r="0" b="0"/>
                <wp:wrapTopAndBottom/>
                <wp:docPr id="45" name="Ramka9"/>
                <a:graphic xmlns:a="http://schemas.openxmlformats.org/drawingml/2006/main">
                  <a:graphicData uri="http://schemas.microsoft.com/office/word/2010/wordprocessingShape">
                    <wps:wsp>
                      <wps:cNvSpPr/>
                      <wps:spPr>
                        <a:xfrm>
                          <a:off x="0" y="0"/>
                          <a:ext cx="5760720" cy="336924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976245"/>
                                  <wp:effectExtent l="0" t="0" r="0" b="0"/>
                                  <wp:docPr id="46"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0"/>
                                          <a:stretch>
                                            <a:fillRect/>
                                          </a:stretch>
                                        </pic:blipFill>
                                        <pic:spPr bwMode="auto">
                                          <a:xfrm>
                                            <a:off x="0" y="0"/>
                                            <a:ext cx="5760720" cy="297624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27</w:t>
                            </w:r>
                            <w:r>
                              <w:rPr>
                                <w:color w:val="000000"/>
                              </w:rPr>
                              <w:fldChar w:fldCharType="end"/>
                            </w:r>
                            <w:r>
                              <w:rPr>
                                <w:color w:val="000000"/>
                              </w:rPr>
                              <w:t>: Podgląd historycznej analizy</w:t>
                            </w:r>
                          </w:p>
                        </w:txbxContent>
                      </wps:txbx>
                      <wps:bodyPr lIns="0" rIns="0" tIns="0" bIns="0" anchor="t">
                        <a:noAutofit/>
                      </wps:bodyPr>
                    </wps:wsp>
                  </a:graphicData>
                </a:graphic>
              </wp:anchor>
            </w:drawing>
          </mc:Choice>
          <mc:Fallback>
            <w:pict>
              <v:rect id="shape_0" fillcolor="white" stroked="f" o:allowincell="f" style="position:absolute;margin-left:0pt;margin-top:348.7pt;width:453.55pt;height:265.25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976245"/>
                            <wp:effectExtent l="0" t="0" r="0" b="0"/>
                            <wp:docPr id="4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34"/>
                                    <pic:cNvPicPr>
                                      <a:picLocks noChangeAspect="1" noChangeArrowheads="1"/>
                                    </pic:cNvPicPr>
                                  </pic:nvPicPr>
                                  <pic:blipFill>
                                    <a:blip r:embed="rId41"/>
                                    <a:stretch>
                                      <a:fillRect/>
                                    </a:stretch>
                                  </pic:blipFill>
                                  <pic:spPr bwMode="auto">
                                    <a:xfrm>
                                      <a:off x="0" y="0"/>
                                      <a:ext cx="5760720" cy="297624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27</w:t>
                      </w:r>
                      <w:r>
                        <w:rPr>
                          <w:color w:val="000000"/>
                        </w:rPr>
                        <w:fldChar w:fldCharType="end"/>
                      </w:r>
                      <w:r>
                        <w:rPr>
                          <w:color w:val="000000"/>
                        </w:rPr>
                        <w:t>: Podgląd historycznej analizy</w:t>
                      </w:r>
                    </w:p>
                  </w:txbxContent>
                </v:textbox>
                <w10:wrap type="topAndBottom"/>
              </v:rect>
            </w:pict>
          </mc:Fallback>
        </mc:AlternateContent>
      </w:r>
    </w:p>
    <w:p>
      <w:pPr>
        <w:pStyle w:val="Heading3"/>
        <w:numPr>
          <w:ilvl w:val="0"/>
          <w:numId w:val="0"/>
        </w:numPr>
        <w:ind w:hanging="0" w:left="0"/>
        <w:rPr/>
      </w:pPr>
      <w:r>
        <w:rPr/>
        <mc:AlternateContent>
          <mc:Choice Requires="wps">
            <w:drawing>
              <wp:anchor distT="0" distB="0" distL="0" distR="0" simplePos="0" relativeHeight="45" behindDoc="0" locked="0" layoutInCell="0" allowOverlap="1">
                <wp:simplePos x="0" y="0"/>
                <wp:positionH relativeFrom="column">
                  <wp:align>center</wp:align>
                </wp:positionH>
                <wp:positionV relativeFrom="paragraph">
                  <wp:posOffset>635</wp:posOffset>
                </wp:positionV>
                <wp:extent cx="5760720" cy="3107690"/>
                <wp:effectExtent l="0" t="0" r="0" b="0"/>
                <wp:wrapSquare wrapText="largest"/>
                <wp:docPr id="48" name="Ramka10"/>
                <a:graphic xmlns:a="http://schemas.openxmlformats.org/drawingml/2006/main">
                  <a:graphicData uri="http://schemas.microsoft.com/office/word/2010/wordprocessingShape">
                    <wps:wsp>
                      <wps:cNvSpPr/>
                      <wps:spPr>
                        <a:xfrm>
                          <a:off x="0" y="0"/>
                          <a:ext cx="5760720" cy="31075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714625"/>
                                  <wp:effectExtent l="0" t="0" r="0" b="0"/>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2"/>
                                          <a:stretch>
                                            <a:fillRect/>
                                          </a:stretch>
                                        </pic:blipFill>
                                        <pic:spPr bwMode="auto">
                                          <a:xfrm>
                                            <a:off x="0" y="0"/>
                                            <a:ext cx="5760720" cy="271462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28</w:t>
                            </w:r>
                            <w:r>
                              <w:rPr>
                                <w:color w:val="000000"/>
                              </w:rPr>
                              <w:fldChar w:fldCharType="end"/>
                            </w:r>
                            <w:r>
                              <w:rPr>
                                <w:color w:val="000000"/>
                              </w:rPr>
                              <w:t>: Podgląd Grad-Cam dla historycznego badania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44.6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714625"/>
                            <wp:effectExtent l="0" t="0" r="0" b="0"/>
                            <wp:docPr id="50"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az35"/>
                                    <pic:cNvPicPr>
                                      <a:picLocks noChangeAspect="1" noChangeArrowheads="1"/>
                                    </pic:cNvPicPr>
                                  </pic:nvPicPr>
                                  <pic:blipFill>
                                    <a:blip r:embed="rId43"/>
                                    <a:stretch>
                                      <a:fillRect/>
                                    </a:stretch>
                                  </pic:blipFill>
                                  <pic:spPr bwMode="auto">
                                    <a:xfrm>
                                      <a:off x="0" y="0"/>
                                      <a:ext cx="5760720" cy="271462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28</w:t>
                      </w:r>
                      <w:r>
                        <w:rPr>
                          <w:color w:val="000000"/>
                        </w:rPr>
                        <w:fldChar w:fldCharType="end"/>
                      </w:r>
                      <w:r>
                        <w:rPr>
                          <w:color w:val="000000"/>
                        </w:rPr>
                        <w:t>: Podgląd Grad-Cam dla historycznego badania</w:t>
                      </w:r>
                    </w:p>
                  </w:txbxContent>
                </v:textbox>
                <w10:wrap type="square" side="largest"/>
              </v:rect>
            </w:pict>
          </mc:Fallback>
        </mc:AlternateContent>
      </w:r>
    </w:p>
    <w:p>
      <w:pPr>
        <w:pStyle w:val="Heading3"/>
        <w:numPr>
          <w:ilvl w:val="0"/>
          <w:numId w:val="0"/>
        </w:numPr>
        <w:ind w:hanging="0" w:left="0"/>
        <w:rPr/>
      </w:pPr>
      <w:r>
        <w:rPr/>
        <w:t>3.8.3 Zakładka „Kamera na żywo”</w:t>
      </w:r>
    </w:p>
    <w:p>
      <w:pPr>
        <w:pStyle w:val="Normal"/>
        <w:ind w:hanging="0" w:left="0"/>
        <w:rPr/>
      </w:pPr>
      <w:r>
        <w:rPr/>
        <w:t>Umożliwia przeprowadzanie analizy w trybie strumieniowania obrazu w czasie rzeczywistym. Aplikacja wspiera dwa tryby pracy: nadajnik i odbiornik. Tryb nadajnika pozwala wykorzystać urządzenie mobilne (np. telefon) jako źródło obrazu –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Heading3"/>
        <w:numPr>
          <w:ilvl w:val="0"/>
          <w:numId w:val="0"/>
        </w:numPr>
        <w:ind w:hanging="0" w:left="0"/>
        <w:rPr/>
      </w:pPr>
      <w:r>
        <mc:AlternateContent>
          <mc:Choice Requires="wps">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760720" cy="5370195"/>
                <wp:effectExtent l="0" t="0" r="0" b="0"/>
                <wp:wrapSquare wrapText="largest"/>
                <wp:docPr id="51" name="Ramka11"/>
                <a:graphic xmlns:a="http://schemas.openxmlformats.org/drawingml/2006/main">
                  <a:graphicData uri="http://schemas.microsoft.com/office/word/2010/wordprocessingShape">
                    <wps:wsp>
                      <wps:cNvSpPr/>
                      <wps:spPr>
                        <a:xfrm>
                          <a:off x="0" y="0"/>
                          <a:ext cx="5760720" cy="53701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4977130"/>
                                  <wp:effectExtent l="0" t="0" r="0" b="0"/>
                                  <wp:docPr id="52"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4"/>
                                          <a:stretch>
                                            <a:fillRect/>
                                          </a:stretch>
                                        </pic:blipFill>
                                        <pic:spPr bwMode="auto">
                                          <a:xfrm>
                                            <a:off x="0" y="0"/>
                                            <a:ext cx="5760720" cy="497713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29</w:t>
                            </w:r>
                            <w:r>
                              <w:rPr>
                                <w:color w:val="000000"/>
                              </w:rPr>
                              <w:fldChar w:fldCharType="end"/>
                            </w:r>
                            <w:r>
                              <w:rPr>
                                <w:color w:val="000000"/>
                              </w:rPr>
                              <w:t>: Przechytywanie strumienia nadawanego z telefonu</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422.8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4977130"/>
                            <wp:effectExtent l="0" t="0" r="0" b="0"/>
                            <wp:docPr id="5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36"/>
                                    <pic:cNvPicPr>
                                      <a:picLocks noChangeAspect="1" noChangeArrowheads="1"/>
                                    </pic:cNvPicPr>
                                  </pic:nvPicPr>
                                  <pic:blipFill>
                                    <a:blip r:embed="rId45"/>
                                    <a:stretch>
                                      <a:fillRect/>
                                    </a:stretch>
                                  </pic:blipFill>
                                  <pic:spPr bwMode="auto">
                                    <a:xfrm>
                                      <a:off x="0" y="0"/>
                                      <a:ext cx="5760720" cy="497713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29</w:t>
                      </w:r>
                      <w:r>
                        <w:rPr>
                          <w:color w:val="000000"/>
                        </w:rPr>
                        <w:fldChar w:fldCharType="end"/>
                      </w:r>
                      <w:r>
                        <w:rPr>
                          <w:color w:val="000000"/>
                        </w:rPr>
                        <w:t>: Przechytywanie strumienia nadawanego z telefonu</w:t>
                      </w:r>
                    </w:p>
                  </w:txbxContent>
                </v:textbox>
                <w10:wrap type="square" side="largest"/>
              </v:rect>
            </w:pict>
          </mc:Fallback>
        </mc:AlternateContent>
      </w:r>
      <w:r>
        <w:rPr/>
        <w:t>3.8.4 Zakładka „Mapa ciała”</w:t>
      </w:r>
    </w:p>
    <w:p>
      <w:pPr>
        <w:pStyle w:val="Normal"/>
        <w:ind w:hanging="0" w:left="0"/>
        <w:rPr/>
      </w:pPr>
      <w:r>
        <w:rPr/>
        <w:t>Służy do dokumentacji lokalizacji zmian skórnych. Użytkownik może dodać nowego pacjenta, a następnie oznaczyć na schematycznym rysunku ludzkiego ciała miejsce, w którym wykonano zdjęcie. Do każdego oznaczenia istnieje możliwość dodania notatki lub etykiety opisowej.</w:t>
      </w:r>
    </w:p>
    <w:p>
      <w:pPr>
        <w:pStyle w:val="Heading3"/>
        <w:numPr>
          <w:ilvl w:val="0"/>
          <w:numId w:val="0"/>
        </w:numPr>
        <w:ind w:hanging="0" w:left="0"/>
        <w:rPr/>
      </w:pPr>
      <w:r>
        <mc:AlternateContent>
          <mc:Choice Requires="wps">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5760720" cy="4540885"/>
                <wp:effectExtent l="0" t="0" r="0" b="0"/>
                <wp:wrapSquare wrapText="largest"/>
                <wp:docPr id="54" name="Ramka12"/>
                <a:graphic xmlns:a="http://schemas.openxmlformats.org/drawingml/2006/main">
                  <a:graphicData uri="http://schemas.microsoft.com/office/word/2010/wordprocessingShape">
                    <wps:wsp>
                      <wps:cNvSpPr/>
                      <wps:spPr>
                        <a:xfrm>
                          <a:off x="0" y="0"/>
                          <a:ext cx="5760720" cy="454104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4147820"/>
                                  <wp:effectExtent l="0" t="0" r="0" b="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6"/>
                                          <a:stretch>
                                            <a:fillRect/>
                                          </a:stretch>
                                        </pic:blipFill>
                                        <pic:spPr bwMode="auto">
                                          <a:xfrm>
                                            <a:off x="0" y="0"/>
                                            <a:ext cx="5760720" cy="414782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30</w:t>
                            </w:r>
                            <w:r>
                              <w:rPr>
                                <w:color w:val="000000"/>
                              </w:rPr>
                              <w:fldChar w:fldCharType="end"/>
                            </w:r>
                            <w:r>
                              <w:rPr>
                                <w:color w:val="000000"/>
                              </w:rPr>
                              <w:t>: Podgląd zakładki "Mapy ciała"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57.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4147820"/>
                            <wp:effectExtent l="0" t="0" r="0" b="0"/>
                            <wp:docPr id="56"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Obraz37"/>
                                    <pic:cNvPicPr>
                                      <a:picLocks noChangeAspect="1" noChangeArrowheads="1"/>
                                    </pic:cNvPicPr>
                                  </pic:nvPicPr>
                                  <pic:blipFill>
                                    <a:blip r:embed="rId47"/>
                                    <a:stretch>
                                      <a:fillRect/>
                                    </a:stretch>
                                  </pic:blipFill>
                                  <pic:spPr bwMode="auto">
                                    <a:xfrm>
                                      <a:off x="0" y="0"/>
                                      <a:ext cx="5760720" cy="414782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30</w:t>
                      </w:r>
                      <w:r>
                        <w:rPr>
                          <w:color w:val="000000"/>
                        </w:rPr>
                        <w:fldChar w:fldCharType="end"/>
                      </w:r>
                      <w:r>
                        <w:rPr>
                          <w:color w:val="000000"/>
                        </w:rPr>
                        <w:t>: Podgląd zakładki "Mapy ciała"</w:t>
                      </w:r>
                    </w:p>
                  </w:txbxContent>
                </v:textbox>
                <w10:wrap type="square" side="largest"/>
              </v:rect>
            </w:pict>
          </mc:Fallback>
        </mc:AlternateContent>
      </w:r>
      <w:r>
        <w:rPr/>
        <w:t>3.8.5 Zakładka „Informacje”</w:t>
      </w:r>
    </w:p>
    <w:p>
      <w:pPr>
        <w:pStyle w:val="Normal"/>
        <w:ind w:hanging="0" w:left="0"/>
        <w:rPr/>
      </w:pPr>
      <w:r>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0"/>
          <w:numId w:val="0"/>
        </w:numPr>
        <w:ind w:hanging="0" w:left="0"/>
        <w:rPr/>
      </w:pPr>
      <w:r>
        <w:rPr/>
        <w:t>3.8.6 Ustawienia</w:t>
      </w:r>
    </w:p>
    <w:p>
      <w:pPr>
        <w:pStyle w:val="Normal"/>
        <w:ind w:hanging="0" w:left="0"/>
        <w:rPr/>
      </w:pPr>
      <w:r>
        <w:rPr/>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w:t>
      </w:r>
    </w:p>
    <w:p>
      <w:pPr>
        <w:pStyle w:val="Normal"/>
        <w:ind w:hanging="0" w:left="0"/>
        <w:rPr/>
      </w:pPr>
      <w:r>
        <w:rPr/>
        <mc:AlternateContent>
          <mc:Choice Requires="wps">
            <w:drawing>
              <wp:anchor distT="0" distB="0" distL="0" distR="0" simplePos="0" relativeHeight="52" behindDoc="0" locked="0" layoutInCell="0" allowOverlap="1">
                <wp:simplePos x="0" y="0"/>
                <wp:positionH relativeFrom="column">
                  <wp:posOffset>1272540</wp:posOffset>
                </wp:positionH>
                <wp:positionV relativeFrom="paragraph">
                  <wp:posOffset>-822960</wp:posOffset>
                </wp:positionV>
                <wp:extent cx="3581400" cy="9281160"/>
                <wp:effectExtent l="0" t="0" r="0" b="0"/>
                <wp:wrapTopAndBottom/>
                <wp:docPr id="57" name="Ramka13"/>
                <a:graphic xmlns:a="http://schemas.openxmlformats.org/drawingml/2006/main">
                  <a:graphicData uri="http://schemas.microsoft.com/office/word/2010/wordprocessingShape">
                    <wps:wsp>
                      <wps:cNvSpPr/>
                      <wps:spPr>
                        <a:xfrm>
                          <a:off x="0" y="0"/>
                          <a:ext cx="3581280" cy="92811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3581400" cy="8888095"/>
                                  <wp:effectExtent l="0" t="0" r="0" b="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8"/>
                                          <a:stretch>
                                            <a:fillRect/>
                                          </a:stretch>
                                        </pic:blipFill>
                                        <pic:spPr bwMode="auto">
                                          <a:xfrm>
                                            <a:off x="0" y="0"/>
                                            <a:ext cx="3581400" cy="888809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31</w:t>
                            </w:r>
                            <w:r>
                              <w:rPr>
                                <w:color w:val="000000"/>
                              </w:rPr>
                              <w:fldChar w:fldCharType="end"/>
                            </w:r>
                            <w:r>
                              <w:rPr>
                                <w:color w:val="000000"/>
                              </w:rPr>
                              <w:t>: Widok ustawień</w:t>
                            </w:r>
                          </w:p>
                        </w:txbxContent>
                      </wps:txbx>
                      <wps:bodyPr lIns="0" rIns="0" tIns="0" bIns="0" anchor="t">
                        <a:noAutofit/>
                      </wps:bodyPr>
                    </wps:wsp>
                  </a:graphicData>
                </a:graphic>
              </wp:anchor>
            </w:drawing>
          </mc:Choice>
          <mc:Fallback>
            <w:pict>
              <v:rect id="shape_0" fillcolor="white" stroked="f" o:allowincell="f" style="position:absolute;margin-left:100.2pt;margin-top:-64.8pt;width:281.95pt;height:730.75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3581400" cy="8888095"/>
                            <wp:effectExtent l="0" t="0" r="0" b="0"/>
                            <wp:docPr id="59"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Obraz38"/>
                                    <pic:cNvPicPr>
                                      <a:picLocks noChangeAspect="1" noChangeArrowheads="1"/>
                                    </pic:cNvPicPr>
                                  </pic:nvPicPr>
                                  <pic:blipFill>
                                    <a:blip r:embed="rId49"/>
                                    <a:stretch>
                                      <a:fillRect/>
                                    </a:stretch>
                                  </pic:blipFill>
                                  <pic:spPr bwMode="auto">
                                    <a:xfrm>
                                      <a:off x="0" y="0"/>
                                      <a:ext cx="3581400" cy="888809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31</w:t>
                      </w:r>
                      <w:r>
                        <w:rPr>
                          <w:color w:val="000000"/>
                        </w:rPr>
                        <w:fldChar w:fldCharType="end"/>
                      </w:r>
                      <w:r>
                        <w:rPr>
                          <w:color w:val="000000"/>
                        </w:rPr>
                        <w:t>: Widok ustawień</w:t>
                      </w:r>
                    </w:p>
                  </w:txbxContent>
                </v:textbox>
                <w10:wrap type="topAndBottom"/>
              </v:rect>
            </w:pict>
          </mc:Fallback>
        </mc:AlternateContent>
      </w:r>
    </w:p>
    <w:p>
      <w:pPr>
        <w:pStyle w:val="Caption"/>
        <w:rPr/>
      </w:pPr>
      <w:r>
        <w:rPr/>
      </w:r>
    </w:p>
    <w:p>
      <w:pPr>
        <w:pStyle w:val="Heading1"/>
        <w:numPr>
          <w:ilvl w:val="0"/>
          <w:numId w:val="2"/>
        </w:numPr>
        <w:ind w:hanging="851" w:left="851"/>
        <w:rPr/>
      </w:pPr>
      <w:r>
        <w:rPr/>
        <w:t>Wyniki eksperymentów i analiza porównawcza</w:t>
      </w:r>
    </w:p>
    <w:p>
      <w:pPr>
        <w:pStyle w:val="BodyText"/>
        <w:ind w:hanging="851" w:left="851"/>
        <w:rPr/>
      </w:pPr>
      <w:r>
        <w:rP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b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pPr>
        <w:pStyle w:val="Heading2"/>
        <w:numPr>
          <w:ilvl w:val="0"/>
          <w:numId w:val="0"/>
        </w:numPr>
        <w:ind w:hanging="0" w:left="0"/>
        <w:rPr/>
      </w:pPr>
      <w:r>
        <w:rPr/>
        <w:t>4.1  Metodyka oceny modeli</w:t>
      </w:r>
    </w:p>
    <w:p>
      <w:pPr>
        <w:pStyle w:val="Normal"/>
        <w:spacing w:lineRule="auto" w:line="360" w:before="80" w:after="80"/>
        <w:ind w:firstLine="720"/>
        <w:jc w:val="both"/>
        <w:rPr/>
      </w:pPr>
      <w:r>
        <w:rPr>
          <w:rFonts w:eastAsia="Times New Roman" w:cs="Times New Roman"/>
          <w:sz w:val="24"/>
          <w:szCs w:val="24"/>
        </w:rPr>
        <w:t>Ocena wytrenowanych modeli opierała się na zestawie metryk powszechnie stosowanych w zadaniach klasyfikacji wieloklasowej. Dla każdego modelu wyznaczono dokładność (ang. accuracy), precyzję (ang. precision), czułość (ang. recall) oraz miarę F1, zarówno w wariancie makro uśrednionym, jak i ważonym. Wybór tych miar nie był przypadkowy: każda ujawnia inny aspekt zachowania klasyfikatora, co ma szczególne znaczenie w zastosowaniach medycznych.</w:t>
      </w:r>
    </w:p>
    <w:p>
      <w:pPr>
        <w:pStyle w:val="Normal"/>
        <w:spacing w:lineRule="auto" w:line="360" w:before="80" w:after="80"/>
        <w:ind w:firstLine="720"/>
        <w:jc w:val="both"/>
        <w:rPr/>
      </w:pPr>
      <w:r>
        <w:rPr>
          <w:rFonts w:eastAsia="Times New Roman" w:cs="Times New Roman"/>
          <w:sz w:val="24"/>
          <w:szCs w:val="24"/>
        </w:rP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(Dermatofibroma) do 1288 (Melanocytic nevi), co sprawia, że sama dokładność nie jest miarą wystarczającą.</w:t>
      </w:r>
    </w:p>
    <w:p>
      <w:pPr>
        <w:pStyle w:val="Normal"/>
        <w:spacing w:lineRule="auto" w:line="360" w:before="80" w:after="80"/>
        <w:ind w:firstLine="720"/>
        <w:jc w:val="both"/>
        <w:rPr/>
      </w:pPr>
      <w:r>
        <w:rPr>
          <w:rFonts w:eastAsia="Times New Roman" w:cs="Times New Roman"/>
          <w:sz w:val="24"/>
          <w:szCs w:val="24"/>
        </w:rPr>
        <w:t>Czułość informuje o tym, jaki odsetek rzeczywistych przypadków danej klasy model zdołał poprawnie rozpoznać. Z klinicznego punktu widzenia jest to miara krytyczna: przeoczenie czerniaka lub raka podstawnokomórkowego niesie poważne konsekwencje dla pacjenta. Dlatego przy analizie wyników szczególną uwagę poświęcono klasom onkologicznym, tj. Melanoma, Basal cell carcinoma i Squamous cell carcinoma, dla których niska czułość jest bardziej niepożądana niż obniżona precyzja.</w:t>
      </w:r>
    </w:p>
    <w:p>
      <w:pPr>
        <w:pStyle w:val="Normal"/>
        <w:spacing w:lineRule="auto" w:line="360" w:before="80" w:after="80"/>
        <w:ind w:firstLine="720"/>
        <w:jc w:val="both"/>
        <w:rPr/>
      </w:pPr>
      <w:r>
        <w:rPr>
          <w:rFonts w:eastAsia="Times New Roman" w:cs="Times New Roman"/>
          <w:sz w:val="24"/>
          <w:szCs w:val="24"/>
        </w:rPr>
        <w:t>Precyzja określa, jaka część klasyfikacji przypisanych do danej klasy była faktycznie trafna. Wysoka precyzja przy niskiej czułości oznacza, że model rzadko myli inne zmiany z daną klasą, lecz pomija znaczną część jej rzeczywistych przypadków.</w:t>
      </w:r>
    </w:p>
    <w:p>
      <w:pPr>
        <w:pStyle w:val="Normal"/>
        <w:spacing w:lineRule="auto" w:line="360" w:before="80" w:after="80"/>
        <w:ind w:firstLine="720"/>
        <w:jc w:val="both"/>
        <w:rPr/>
      </w:pPr>
      <w:r>
        <w:rPr>
          <w:rFonts w:eastAsia="Times New Roman" w:cs="Times New Roman"/>
          <w:sz w:val="24"/>
          <w:szCs w:val="24"/>
        </w:rP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pPr>
        <w:pStyle w:val="Normal"/>
        <w:spacing w:lineRule="auto" w:line="360" w:before="80" w:after="80"/>
        <w:ind w:firstLine="720"/>
        <w:jc w:val="both"/>
        <w:rPr/>
      </w:pPr>
      <w:r>
        <w:rPr>
          <w:rFonts w:eastAsia="Times New Roman" w:cs="Times New Roman"/>
          <w:sz w:val="24"/>
          <w:szCs w:val="24"/>
        </w:rP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pPr>
        <w:pStyle w:val="Heading2"/>
        <w:numPr>
          <w:ilvl w:val="0"/>
          <w:numId w:val="0"/>
        </w:numPr>
        <w:ind w:hanging="0" w:left="0"/>
        <w:rPr/>
      </w:pPr>
      <w:r>
        <w:rPr/>
        <w:t>4.2 Wyniki treningu i krzywe uczenia</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54" behindDoc="0" locked="0" layoutInCell="0" allowOverlap="1">
                <wp:simplePos x="0" y="0"/>
                <wp:positionH relativeFrom="column">
                  <wp:posOffset>40640</wp:posOffset>
                </wp:positionH>
                <wp:positionV relativeFrom="paragraph">
                  <wp:posOffset>1076960</wp:posOffset>
                </wp:positionV>
                <wp:extent cx="5760720" cy="2691130"/>
                <wp:effectExtent l="0" t="0" r="0" b="0"/>
                <wp:wrapSquare wrapText="largest"/>
                <wp:docPr id="60" name="Ramka14"/>
                <a:graphic xmlns:a="http://schemas.openxmlformats.org/drawingml/2006/main">
                  <a:graphicData uri="http://schemas.microsoft.com/office/word/2010/wordprocessingShape">
                    <wps:wsp>
                      <wps:cNvSpPr/>
                      <wps:spPr>
                        <a:xfrm>
                          <a:off x="0" y="0"/>
                          <a:ext cx="5760720" cy="269100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2057400"/>
                                  <wp:effectExtent l="0" t="0" r="0" b="0"/>
                                  <wp:docPr id="61"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Obraz12"/>
                                          <pic:cNvPicPr>
                                            <a:picLocks noChangeAspect="1" noChangeArrowheads="1"/>
                                          </pic:cNvPicPr>
                                        </pic:nvPicPr>
                                        <pic:blipFill>
                                          <a:blip r:embed="rId50"/>
                                          <a:stretch>
                                            <a:fillRect/>
                                          </a:stretch>
                                        </pic:blipFill>
                                        <pic:spPr bwMode="auto">
                                          <a:xfrm>
                                            <a:off x="0" y="0"/>
                                            <a:ext cx="5760720" cy="205740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32</w:t>
                            </w:r>
                            <w:r>
                              <w:rPr/>
                              <w:fldChar w:fldCharType="end"/>
                            </w:r>
                            <w:r>
                              <w:rPr/>
                              <w:t>: Dokładność walidacyjna w kolejnych epokach (po lewej) oraz łączny czas treningu modeli (po prawej).</w:t>
                            </w:r>
                          </w:p>
                        </w:txbxContent>
                      </wps:txbx>
                      <wps:bodyPr lIns="0" rIns="0" tIns="0" bIns="0" anchor="t">
                        <a:noAutofit/>
                      </wps:bodyPr>
                    </wps:wsp>
                  </a:graphicData>
                </a:graphic>
              </wp:anchor>
            </w:drawing>
          </mc:Choice>
          <mc:Fallback>
            <w:pict>
              <v:rect id="shape_0" fillcolor="white" stroked="f" o:allowincell="f" style="position:absolute;margin-left:3.2pt;margin-top:84.8pt;width:453.55pt;height:211.85pt;mso-wrap-style:square;v-text-anchor:top">
                <v:fill o:detectmouseclick="t" type="solid" color2="black"/>
                <v:stroke color="#3465a4" joinstyle="round" endcap="flat"/>
                <v:textbox>
                  <w:txbxContent>
                    <w:p>
                      <w:pPr>
                        <w:pStyle w:val="Rysunekuser"/>
                        <w:spacing w:before="120" w:after="360"/>
                        <w:rPr/>
                      </w:pPr>
                      <w:r>
                        <w:rPr/>
                        <w:drawing>
                          <wp:inline distT="0" distB="0" distL="0" distR="0">
                            <wp:extent cx="5760720" cy="2057400"/>
                            <wp:effectExtent l="0" t="0" r="0" b="0"/>
                            <wp:docPr id="62"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Obraz12"/>
                                    <pic:cNvPicPr>
                                      <a:picLocks noChangeAspect="1" noChangeArrowheads="1"/>
                                    </pic:cNvPicPr>
                                  </pic:nvPicPr>
                                  <pic:blipFill>
                                    <a:blip r:embed="rId51"/>
                                    <a:stretch>
                                      <a:fillRect/>
                                    </a:stretch>
                                  </pic:blipFill>
                                  <pic:spPr bwMode="auto">
                                    <a:xfrm>
                                      <a:off x="0" y="0"/>
                                      <a:ext cx="5760720" cy="205740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32</w:t>
                      </w:r>
                      <w:r>
                        <w:rPr/>
                        <w:fldChar w:fldCharType="end"/>
                      </w:r>
                      <w:r>
                        <w:rPr/>
                        <w:t>: Dokładność walidacyjna w kolejnych epokach (po lewej) oraz łączny czas treningu modeli (po prawej).</w:t>
                      </w:r>
                    </w:p>
                  </w:txbxContent>
                </v:textbox>
                <w10:wrap type="square" side="largest"/>
              </v:rect>
            </w:pict>
          </mc:Fallback>
        </mc:AlternateContent>
      </w:r>
      <w:r>
        <w:rPr>
          <w:rFonts w:eastAsia="Times New Roman" w:cs="Times New Roman"/>
          <w:sz w:val="24"/>
          <w:szCs w:val="24"/>
        </w:rPr>
        <w:t>Poniższy wykres przedstawia przebieg dokładności walidacyjnej w kolejnych epokach oraz łączny czas treningu poszczególnych modeli.</w:t>
      </w:r>
    </w:p>
    <w:p>
      <w:pPr>
        <w:pStyle w:val="Caption"/>
        <w:rPr/>
      </w:pPr>
      <w:r>
        <w:rPr/>
      </w:r>
    </w:p>
    <w:p>
      <w:pPr>
        <w:pStyle w:val="Normal"/>
        <w:spacing w:lineRule="auto" w:line="360" w:before="80" w:after="80"/>
        <w:ind w:firstLine="720"/>
        <w:jc w:val="both"/>
        <w:rPr/>
      </w:pPr>
      <w:r>
        <w:rPr>
          <w:rFonts w:eastAsia="Times New Roman" w:cs="Times New Roman"/>
          <w:sz w:val="24"/>
          <w:szCs w:val="24"/>
        </w:rP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CustomCNN (4401 s), a zatem EfficientNet oferuje najkorzystniejszy stosunek skuteczności do kosztu obliczeniowego.</w:t>
      </w:r>
    </w:p>
    <w:p>
      <w:pPr>
        <w:pStyle w:val="Normal"/>
        <w:spacing w:lineRule="auto" w:line="360" w:before="80" w:after="80"/>
        <w:ind w:firstLine="720"/>
        <w:jc w:val="both"/>
        <w:rPr/>
      </w:pPr>
      <w:r>
        <w:rPr>
          <w:rFonts w:eastAsia="Times New Roman" w:cs="Times New Roman"/>
          <w:sz w:val="24"/>
          <w:szCs w:val="24"/>
        </w:rPr>
        <w:t>ViT wykazał wysoką dokładność walidacyjną już od pierwszej epoki (ok. 75%), co wynika z pretrenowania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EfficientNet.</w:t>
      </w:r>
    </w:p>
    <w:p>
      <w:pPr>
        <w:pStyle w:val="Normal"/>
        <w:spacing w:lineRule="auto" w:line="360" w:before="80" w:after="80"/>
        <w:ind w:firstLine="720"/>
        <w:jc w:val="both"/>
        <w:rPr/>
      </w:pPr>
      <w:r>
        <w:rPr>
          <w:rFonts w:eastAsia="Times New Roman" w:cs="Times New Roman"/>
          <w:sz w:val="24"/>
          <w:szCs w:val="24"/>
        </w:rP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potrzebował 5993 sekundy, podczas gdy MobileNetV3 ukończył proces w 4689 sekund.</w:t>
      </w:r>
    </w:p>
    <w:p>
      <w:pPr>
        <w:pStyle w:val="Normal"/>
        <w:spacing w:lineRule="auto" w:line="360" w:before="80" w:after="80"/>
        <w:ind w:firstLine="720"/>
        <w:jc w:val="both"/>
        <w:rPr/>
      </w:pPr>
      <w:r>
        <w:rPr/>
        <w:t>CustomCNN, jako jedyna architektura trenowana bez pretrenowanych wag, wykazała wyraźnie wolniejsze tempo zbieżności: dokładność walidacyjna rosła od 28% w pierwszej epoce do jedynie 62% po 25 epokach, nie wykazując oznak nasycenia. Obserwacja ta potwierdza fundamentalne ograniczenia uczenia od podstaw na stosunkowo małym zbiorze dermatoskopowym, nawet przy zastosowaniu WeightedRandomSampler kompensującego nierównomierny rozkład klas.</w:t>
      </w:r>
    </w:p>
    <w:p>
      <w:pPr>
        <w:pStyle w:val="Heading2"/>
        <w:numPr>
          <w:ilvl w:val="0"/>
          <w:numId w:val="0"/>
        </w:numPr>
        <w:ind w:hanging="0" w:left="0"/>
        <w:rPr/>
      </w:pPr>
      <w:r>
        <w:rPr/>
        <w:t>4.3 Porównanie skuteczności klasyfikacji</w:t>
      </w:r>
    </w:p>
    <w:p>
      <w:pPr>
        <w:pStyle w:val="Normal"/>
        <w:spacing w:lineRule="auto" w:line="360" w:before="80" w:after="80"/>
        <w:ind w:firstLine="720"/>
        <w:jc w:val="both"/>
        <w:rPr/>
      </w:pPr>
      <w:r>
        <w:rPr/>
        <w:t>Poniższa tabela zestawia wyniki wszystkich czterech modeli na zbiorze testowym liczącym 3674 próbki, obejmującym 14 klas zmian skórnych.</w:t>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Tabelauser"/>
        <w:rPr/>
      </w:pPr>
      <w:r>
        <w:rPr/>
        <w:t xml:space="preserve">Tabela </w:t>
      </w:r>
      <w:r>
        <w:rPr/>
        <w:fldChar w:fldCharType="begin"/>
      </w:r>
      <w:r>
        <w:rPr/>
        <w:instrText xml:space="preserve"> SEQ Tabela \* ARABIC </w:instrText>
      </w:r>
      <w:r>
        <w:rPr/>
        <w:fldChar w:fldCharType="separate"/>
      </w:r>
      <w:r>
        <w:rPr/>
        <w:t>2</w:t>
      </w:r>
      <w:r>
        <w:rPr/>
        <w:fldChar w:fldCharType="end"/>
      </w:r>
      <w:r>
        <w:rPr/>
        <w:t>: Zestawienie wyników klasyfikacji i czasu treningu dla badanych modeli. Najlepszy wynik wyróżniono pogrubieniem.</w:t>
      </w:r>
    </w:p>
    <w:tbl>
      <w:tblPr>
        <w:tblW w:w="5000" w:type="pct"/>
        <w:jc w:val="left"/>
        <w:tblInd w:w="55" w:type="dxa"/>
        <w:tblLayout w:type="fixed"/>
        <w:tblCellMar>
          <w:top w:w="55" w:type="dxa"/>
          <w:left w:w="55" w:type="dxa"/>
          <w:bottom w:w="55" w:type="dxa"/>
          <w:right w:w="55" w:type="dxa"/>
        </w:tblCellMar>
      </w:tblPr>
      <w:tblGrid>
        <w:gridCol w:w="1808"/>
        <w:gridCol w:w="1183"/>
        <w:gridCol w:w="1136"/>
        <w:gridCol w:w="1360"/>
        <w:gridCol w:w="1248"/>
        <w:gridCol w:w="1136"/>
        <w:gridCol w:w="1201"/>
      </w:tblGrid>
      <w:tr>
        <w:trPr/>
        <w:tc>
          <w:tcPr>
            <w:tcW w:w="1808" w:type="dxa"/>
            <w:tcBorders>
              <w:top w:val="single" w:sz="4" w:space="0" w:color="000000"/>
              <w:left w:val="single" w:sz="4" w:space="0" w:color="000000"/>
              <w:bottom w:val="single" w:sz="4" w:space="0" w:color="000000"/>
            </w:tcBorders>
          </w:tcPr>
          <w:p>
            <w:pPr>
              <w:pStyle w:val="Zawartotabeliuser"/>
              <w:ind w:hanging="0" w:left="0"/>
              <w:jc w:val="center"/>
              <w:rPr/>
            </w:pPr>
            <w:r>
              <w:rPr/>
              <w:t>Model</w:t>
            </w:r>
          </w:p>
        </w:tc>
        <w:tc>
          <w:tcPr>
            <w:tcW w:w="1183" w:type="dxa"/>
            <w:tcBorders>
              <w:top w:val="single" w:sz="4" w:space="0" w:color="000000"/>
              <w:left w:val="single" w:sz="4" w:space="0" w:color="000000"/>
              <w:bottom w:val="single" w:sz="4" w:space="0" w:color="000000"/>
            </w:tcBorders>
          </w:tcPr>
          <w:p>
            <w:pPr>
              <w:pStyle w:val="Zawartotabeliuser"/>
              <w:ind w:hanging="0" w:left="0"/>
              <w:jc w:val="center"/>
              <w:rPr/>
            </w:pPr>
            <w:r>
              <w:rPr/>
              <w:t>Dokładność</w:t>
            </w:r>
          </w:p>
        </w:tc>
        <w:tc>
          <w:tcPr>
            <w:tcW w:w="1136" w:type="dxa"/>
            <w:tcBorders>
              <w:top w:val="single" w:sz="4" w:space="0" w:color="000000"/>
              <w:left w:val="single" w:sz="4" w:space="0" w:color="000000"/>
              <w:bottom w:val="single" w:sz="4" w:space="0" w:color="000000"/>
            </w:tcBorders>
          </w:tcPr>
          <w:p>
            <w:pPr>
              <w:pStyle w:val="Zawartotabeliuser"/>
              <w:ind w:hanging="0" w:left="0"/>
              <w:jc w:val="center"/>
              <w:rPr/>
            </w:pPr>
            <w:r>
              <w:rPr/>
              <w:t>F1 (makro)</w:t>
            </w:r>
          </w:p>
        </w:tc>
        <w:tc>
          <w:tcPr>
            <w:tcW w:w="1360" w:type="dxa"/>
            <w:tcBorders>
              <w:top w:val="single" w:sz="4" w:space="0" w:color="000000"/>
              <w:left w:val="single" w:sz="4" w:space="0" w:color="000000"/>
              <w:bottom w:val="single" w:sz="4" w:space="0" w:color="000000"/>
            </w:tcBorders>
          </w:tcPr>
          <w:p>
            <w:pPr>
              <w:pStyle w:val="Zawartotabeliuser"/>
              <w:ind w:hanging="0" w:left="0"/>
              <w:jc w:val="center"/>
              <w:rPr/>
            </w:pPr>
            <w:r>
              <w:rPr/>
              <w:t>F1 (weight.)</w:t>
            </w:r>
          </w:p>
        </w:tc>
        <w:tc>
          <w:tcPr>
            <w:tcW w:w="1248" w:type="dxa"/>
            <w:tcBorders>
              <w:top w:val="single" w:sz="4" w:space="0" w:color="000000"/>
              <w:left w:val="single" w:sz="4" w:space="0" w:color="000000"/>
              <w:bottom w:val="single" w:sz="4" w:space="0" w:color="000000"/>
            </w:tcBorders>
          </w:tcPr>
          <w:p>
            <w:pPr>
              <w:pStyle w:val="Zawartotabeliuser"/>
              <w:ind w:hanging="0" w:left="0"/>
              <w:jc w:val="center"/>
              <w:rPr/>
            </w:pPr>
            <w:r>
              <w:rPr/>
              <w:t>Precyzja (makro)</w:t>
            </w:r>
          </w:p>
        </w:tc>
        <w:tc>
          <w:tcPr>
            <w:tcW w:w="1136" w:type="dxa"/>
            <w:tcBorders>
              <w:top w:val="single" w:sz="4" w:space="0" w:color="000000"/>
              <w:left w:val="single" w:sz="4" w:space="0" w:color="000000"/>
              <w:bottom w:val="single" w:sz="4" w:space="0" w:color="000000"/>
            </w:tcBorders>
          </w:tcPr>
          <w:p>
            <w:pPr>
              <w:pStyle w:val="Zawartotabeliuser"/>
              <w:ind w:hanging="0" w:left="0"/>
              <w:jc w:val="center"/>
              <w:rPr/>
            </w:pPr>
            <w:r>
              <w:rPr/>
              <w:t>Czułość (makro)</w:t>
            </w:r>
          </w:p>
        </w:tc>
        <w:tc>
          <w:tcPr>
            <w:tcW w:w="1201" w:type="dxa"/>
            <w:tcBorders>
              <w:top w:val="single" w:sz="4" w:space="0" w:color="000000"/>
              <w:left w:val="single" w:sz="4" w:space="0" w:color="000000"/>
              <w:bottom w:val="single" w:sz="4" w:space="0" w:color="000000"/>
              <w:right w:val="single" w:sz="4" w:space="0" w:color="000000"/>
            </w:tcBorders>
          </w:tcPr>
          <w:p>
            <w:pPr>
              <w:pStyle w:val="Zawartotabeliuser"/>
              <w:ind w:hanging="0" w:left="0"/>
              <w:jc w:val="center"/>
              <w:rPr/>
            </w:pPr>
            <w:r>
              <w:rPr/>
              <w:t>Czas treningu (s)</w:t>
            </w:r>
          </w:p>
        </w:tc>
      </w:tr>
      <w:tr>
        <w:trPr/>
        <w:tc>
          <w:tcPr>
            <w:tcW w:w="1808" w:type="dxa"/>
            <w:tcBorders>
              <w:left w:val="single" w:sz="4" w:space="0" w:color="000000"/>
              <w:bottom w:val="single" w:sz="4" w:space="0" w:color="000000"/>
            </w:tcBorders>
          </w:tcPr>
          <w:p>
            <w:pPr>
              <w:pStyle w:val="Zawartotabeliuser"/>
              <w:ind w:hanging="0" w:left="0"/>
              <w:jc w:val="center"/>
              <w:rPr>
                <w:b/>
                <w:bCs/>
              </w:rPr>
            </w:pPr>
            <w:r>
              <w:rPr>
                <w:b/>
                <w:bCs/>
              </w:rPr>
              <w:t>EfficientNet-B0</w:t>
            </w:r>
          </w:p>
        </w:tc>
        <w:tc>
          <w:tcPr>
            <w:tcW w:w="1183" w:type="dxa"/>
            <w:tcBorders>
              <w:left w:val="single" w:sz="4" w:space="0" w:color="000000"/>
              <w:bottom w:val="single" w:sz="4" w:space="0" w:color="000000"/>
            </w:tcBorders>
          </w:tcPr>
          <w:p>
            <w:pPr>
              <w:pStyle w:val="Zawartotabeliuser"/>
              <w:ind w:hanging="0" w:left="0"/>
              <w:jc w:val="center"/>
              <w:rPr>
                <w:b/>
                <w:bCs/>
              </w:rPr>
            </w:pPr>
            <w:r>
              <w:rPr>
                <w:b/>
                <w:bCs/>
              </w:rPr>
              <w:t>88%</w:t>
            </w:r>
          </w:p>
        </w:tc>
        <w:tc>
          <w:tcPr>
            <w:tcW w:w="1136" w:type="dxa"/>
            <w:tcBorders>
              <w:left w:val="single" w:sz="4" w:space="0" w:color="000000"/>
              <w:bottom w:val="single" w:sz="4" w:space="0" w:color="000000"/>
            </w:tcBorders>
          </w:tcPr>
          <w:p>
            <w:pPr>
              <w:pStyle w:val="Zawartotabeliuser"/>
              <w:ind w:hanging="0" w:left="0"/>
              <w:jc w:val="center"/>
              <w:rPr>
                <w:b/>
                <w:bCs/>
              </w:rPr>
            </w:pPr>
            <w:r>
              <w:rPr>
                <w:b/>
                <w:bCs/>
              </w:rPr>
              <w:t>0,86</w:t>
            </w:r>
          </w:p>
        </w:tc>
        <w:tc>
          <w:tcPr>
            <w:tcW w:w="1360" w:type="dxa"/>
            <w:tcBorders>
              <w:left w:val="single" w:sz="4" w:space="0" w:color="000000"/>
              <w:bottom w:val="single" w:sz="4" w:space="0" w:color="000000"/>
            </w:tcBorders>
          </w:tcPr>
          <w:p>
            <w:pPr>
              <w:pStyle w:val="Zawartotabeliuser"/>
              <w:ind w:hanging="0" w:left="0"/>
              <w:jc w:val="center"/>
              <w:rPr>
                <w:b/>
                <w:bCs/>
              </w:rPr>
            </w:pPr>
            <w:r>
              <w:rPr>
                <w:b/>
                <w:bCs/>
              </w:rPr>
              <w:t>0,88</w:t>
            </w:r>
          </w:p>
        </w:tc>
        <w:tc>
          <w:tcPr>
            <w:tcW w:w="1248" w:type="dxa"/>
            <w:tcBorders>
              <w:left w:val="single" w:sz="4" w:space="0" w:color="000000"/>
              <w:bottom w:val="single" w:sz="4" w:space="0" w:color="000000"/>
            </w:tcBorders>
          </w:tcPr>
          <w:p>
            <w:pPr>
              <w:pStyle w:val="Zawartotabeliuser"/>
              <w:ind w:hanging="0" w:left="0"/>
              <w:jc w:val="center"/>
              <w:rPr>
                <w:b/>
                <w:bCs/>
              </w:rPr>
            </w:pPr>
            <w:r>
              <w:rPr>
                <w:b/>
                <w:bCs/>
              </w:rPr>
              <w:t>0,86</w:t>
            </w:r>
          </w:p>
        </w:tc>
        <w:tc>
          <w:tcPr>
            <w:tcW w:w="1136" w:type="dxa"/>
            <w:tcBorders>
              <w:left w:val="single" w:sz="4" w:space="0" w:color="000000"/>
              <w:bottom w:val="single" w:sz="4" w:space="0" w:color="000000"/>
            </w:tcBorders>
          </w:tcPr>
          <w:p>
            <w:pPr>
              <w:pStyle w:val="Zawartotabeliuser"/>
              <w:ind w:hanging="0" w:left="0"/>
              <w:jc w:val="center"/>
              <w:rPr>
                <w:b/>
                <w:bCs/>
              </w:rPr>
            </w:pPr>
            <w:r>
              <w:rPr>
                <w:b/>
                <w:bCs/>
              </w:rPr>
              <w:t>0,88</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b/>
                <w:bCs/>
              </w:rPr>
            </w:pPr>
            <w:r>
              <w:rPr>
                <w:b/>
                <w:bCs/>
              </w:rPr>
              <w:t>4672</w:t>
            </w:r>
          </w:p>
        </w:tc>
      </w:tr>
      <w:tr>
        <w:trPr/>
        <w:tc>
          <w:tcPr>
            <w:tcW w:w="1808" w:type="dxa"/>
            <w:tcBorders>
              <w:left w:val="single" w:sz="4" w:space="0" w:color="000000"/>
              <w:bottom w:val="single" w:sz="4" w:space="0" w:color="000000"/>
            </w:tcBorders>
          </w:tcPr>
          <w:p>
            <w:pPr>
              <w:pStyle w:val="Zawartotabeliuser"/>
              <w:ind w:hanging="0" w:left="0"/>
              <w:jc w:val="center"/>
              <w:rPr/>
            </w:pPr>
            <w:r>
              <w:rPr/>
              <w:t>Vit</w:t>
            </w:r>
          </w:p>
        </w:tc>
        <w:tc>
          <w:tcPr>
            <w:tcW w:w="1183" w:type="dxa"/>
            <w:tcBorders>
              <w:left w:val="single" w:sz="4" w:space="0" w:color="000000"/>
              <w:bottom w:val="single" w:sz="4" w:space="0" w:color="000000"/>
            </w:tcBorders>
          </w:tcPr>
          <w:p>
            <w:pPr>
              <w:pStyle w:val="Zawartotabeliuser"/>
              <w:ind w:hanging="0" w:left="0"/>
              <w:jc w:val="center"/>
              <w:rPr/>
            </w:pPr>
            <w:r>
              <w:rPr/>
              <w:t>87%</w:t>
            </w:r>
          </w:p>
        </w:tc>
        <w:tc>
          <w:tcPr>
            <w:tcW w:w="1136" w:type="dxa"/>
            <w:tcBorders>
              <w:left w:val="single" w:sz="4" w:space="0" w:color="000000"/>
              <w:bottom w:val="single" w:sz="4" w:space="0" w:color="000000"/>
            </w:tcBorders>
          </w:tcPr>
          <w:p>
            <w:pPr>
              <w:pStyle w:val="Zawartotabeliuser"/>
              <w:ind w:hanging="0" w:left="0"/>
              <w:jc w:val="center"/>
              <w:rPr/>
            </w:pPr>
            <w:r>
              <w:rPr/>
              <w:t>0,87</w:t>
            </w:r>
          </w:p>
        </w:tc>
        <w:tc>
          <w:tcPr>
            <w:tcW w:w="1360" w:type="dxa"/>
            <w:tcBorders>
              <w:left w:val="single" w:sz="4" w:space="0" w:color="000000"/>
              <w:bottom w:val="single" w:sz="4" w:space="0" w:color="000000"/>
            </w:tcBorders>
          </w:tcPr>
          <w:p>
            <w:pPr>
              <w:pStyle w:val="Zawartotabeliuser"/>
              <w:ind w:hanging="0" w:left="0"/>
              <w:jc w:val="center"/>
              <w:rPr/>
            </w:pPr>
            <w:r>
              <w:rPr/>
              <w:t>0,87</w:t>
            </w:r>
          </w:p>
        </w:tc>
        <w:tc>
          <w:tcPr>
            <w:tcW w:w="1248" w:type="dxa"/>
            <w:tcBorders>
              <w:left w:val="single" w:sz="4" w:space="0" w:color="000000"/>
              <w:bottom w:val="single" w:sz="4" w:space="0" w:color="000000"/>
            </w:tcBorders>
          </w:tcPr>
          <w:p>
            <w:pPr>
              <w:pStyle w:val="Zawartotabeliuser"/>
              <w:ind w:hanging="0" w:left="0"/>
              <w:jc w:val="center"/>
              <w:rPr/>
            </w:pPr>
            <w:r>
              <w:rPr/>
              <w:t>0,87</w:t>
            </w:r>
          </w:p>
        </w:tc>
        <w:tc>
          <w:tcPr>
            <w:tcW w:w="1136" w:type="dxa"/>
            <w:tcBorders>
              <w:left w:val="single" w:sz="4" w:space="0" w:color="000000"/>
              <w:bottom w:val="single" w:sz="4" w:space="0" w:color="000000"/>
            </w:tcBorders>
          </w:tcPr>
          <w:p>
            <w:pPr>
              <w:pStyle w:val="Zawartotabeliuser"/>
              <w:ind w:hanging="0" w:left="0"/>
              <w:jc w:val="center"/>
              <w:rPr/>
            </w:pPr>
            <w:r>
              <w:rPr/>
              <w:t>0,87</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10963</w:t>
            </w:r>
          </w:p>
        </w:tc>
      </w:tr>
      <w:tr>
        <w:trPr/>
        <w:tc>
          <w:tcPr>
            <w:tcW w:w="1808" w:type="dxa"/>
            <w:tcBorders>
              <w:left w:val="single" w:sz="4" w:space="0" w:color="000000"/>
              <w:bottom w:val="single" w:sz="4" w:space="0" w:color="000000"/>
            </w:tcBorders>
          </w:tcPr>
          <w:p>
            <w:pPr>
              <w:pStyle w:val="Zawartotabeliuser"/>
              <w:ind w:hanging="0" w:left="0"/>
              <w:jc w:val="center"/>
              <w:rPr/>
            </w:pPr>
            <w:r>
              <w:rPr/>
              <w:t>ResNet50</w:t>
            </w:r>
          </w:p>
        </w:tc>
        <w:tc>
          <w:tcPr>
            <w:tcW w:w="1183" w:type="dxa"/>
            <w:tcBorders>
              <w:left w:val="single" w:sz="4" w:space="0" w:color="000000"/>
              <w:bottom w:val="single" w:sz="4" w:space="0" w:color="000000"/>
            </w:tcBorders>
          </w:tcPr>
          <w:p>
            <w:pPr>
              <w:pStyle w:val="Zawartotabeliuser"/>
              <w:ind w:hanging="0" w:left="0"/>
              <w:jc w:val="center"/>
              <w:rPr/>
            </w:pPr>
            <w:r>
              <w:rPr/>
              <w:t>84%</w:t>
            </w:r>
          </w:p>
        </w:tc>
        <w:tc>
          <w:tcPr>
            <w:tcW w:w="1136" w:type="dxa"/>
            <w:tcBorders>
              <w:left w:val="single" w:sz="4" w:space="0" w:color="000000"/>
              <w:bottom w:val="single" w:sz="4" w:space="0" w:color="000000"/>
            </w:tcBorders>
          </w:tcPr>
          <w:p>
            <w:pPr>
              <w:pStyle w:val="Zawartotabeliuser"/>
              <w:ind w:hanging="0" w:left="0"/>
              <w:jc w:val="center"/>
              <w:rPr/>
            </w:pPr>
            <w:r>
              <w:rPr/>
              <w:t>0,84</w:t>
            </w:r>
          </w:p>
        </w:tc>
        <w:tc>
          <w:tcPr>
            <w:tcW w:w="1360" w:type="dxa"/>
            <w:tcBorders>
              <w:left w:val="single" w:sz="4" w:space="0" w:color="000000"/>
              <w:bottom w:val="single" w:sz="4" w:space="0" w:color="000000"/>
            </w:tcBorders>
          </w:tcPr>
          <w:p>
            <w:pPr>
              <w:pStyle w:val="Zawartotabeliuser"/>
              <w:ind w:hanging="0" w:left="0"/>
              <w:jc w:val="center"/>
              <w:rPr/>
            </w:pPr>
            <w:r>
              <w:rPr/>
              <w:t>0,84</w:t>
            </w:r>
          </w:p>
        </w:tc>
        <w:tc>
          <w:tcPr>
            <w:tcW w:w="1248" w:type="dxa"/>
            <w:tcBorders>
              <w:left w:val="single" w:sz="4" w:space="0" w:color="000000"/>
              <w:bottom w:val="single" w:sz="4" w:space="0" w:color="000000"/>
            </w:tcBorders>
          </w:tcPr>
          <w:p>
            <w:pPr>
              <w:pStyle w:val="Zawartotabeliuser"/>
              <w:ind w:hanging="0" w:left="0"/>
              <w:jc w:val="center"/>
              <w:rPr/>
            </w:pPr>
            <w:r>
              <w:rPr/>
              <w:t>0,84</w:t>
            </w:r>
          </w:p>
        </w:tc>
        <w:tc>
          <w:tcPr>
            <w:tcW w:w="1136" w:type="dxa"/>
            <w:tcBorders>
              <w:left w:val="single" w:sz="4" w:space="0" w:color="000000"/>
              <w:bottom w:val="single" w:sz="4" w:space="0" w:color="000000"/>
            </w:tcBorders>
          </w:tcPr>
          <w:p>
            <w:pPr>
              <w:pStyle w:val="Zawartotabeliuser"/>
              <w:ind w:hanging="0" w:left="0"/>
              <w:jc w:val="center"/>
              <w:rPr/>
            </w:pPr>
            <w:r>
              <w:rPr/>
              <w:t>0,85</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3993</w:t>
            </w:r>
          </w:p>
        </w:tc>
      </w:tr>
      <w:tr>
        <w:trPr/>
        <w:tc>
          <w:tcPr>
            <w:tcW w:w="1808" w:type="dxa"/>
            <w:tcBorders>
              <w:left w:val="single" w:sz="4" w:space="0" w:color="000000"/>
              <w:bottom w:val="single" w:sz="4" w:space="0" w:color="000000"/>
            </w:tcBorders>
          </w:tcPr>
          <w:p>
            <w:pPr>
              <w:pStyle w:val="Zawartotabeliuser"/>
              <w:ind w:hanging="0" w:left="0"/>
              <w:jc w:val="center"/>
              <w:rPr/>
            </w:pPr>
            <w:r>
              <w:rPr/>
              <w:t>MobileNetV3</w:t>
            </w:r>
          </w:p>
        </w:tc>
        <w:tc>
          <w:tcPr>
            <w:tcW w:w="1183" w:type="dxa"/>
            <w:tcBorders>
              <w:left w:val="single" w:sz="4" w:space="0" w:color="000000"/>
              <w:bottom w:val="single" w:sz="4" w:space="0" w:color="000000"/>
            </w:tcBorders>
          </w:tcPr>
          <w:p>
            <w:pPr>
              <w:pStyle w:val="Zawartotabeliuser"/>
              <w:ind w:hanging="0" w:left="0"/>
              <w:jc w:val="center"/>
              <w:rPr/>
            </w:pPr>
            <w:r>
              <w:rPr/>
              <w:t>84%</w:t>
            </w:r>
          </w:p>
        </w:tc>
        <w:tc>
          <w:tcPr>
            <w:tcW w:w="1136" w:type="dxa"/>
            <w:tcBorders>
              <w:left w:val="single" w:sz="4" w:space="0" w:color="000000"/>
              <w:bottom w:val="single" w:sz="4" w:space="0" w:color="000000"/>
            </w:tcBorders>
          </w:tcPr>
          <w:p>
            <w:pPr>
              <w:pStyle w:val="Zawartotabeliuser"/>
              <w:ind w:hanging="0" w:left="0"/>
              <w:jc w:val="center"/>
              <w:rPr/>
            </w:pPr>
            <w:r>
              <w:rPr/>
              <w:t>0,82</w:t>
            </w:r>
          </w:p>
        </w:tc>
        <w:tc>
          <w:tcPr>
            <w:tcW w:w="1360" w:type="dxa"/>
            <w:tcBorders>
              <w:left w:val="single" w:sz="4" w:space="0" w:color="000000"/>
              <w:bottom w:val="single" w:sz="4" w:space="0" w:color="000000"/>
            </w:tcBorders>
          </w:tcPr>
          <w:p>
            <w:pPr>
              <w:pStyle w:val="Zawartotabeliuser"/>
              <w:ind w:hanging="0" w:left="0"/>
              <w:jc w:val="center"/>
              <w:rPr/>
            </w:pPr>
            <w:r>
              <w:rPr/>
              <w:t>0,84</w:t>
            </w:r>
          </w:p>
        </w:tc>
        <w:tc>
          <w:tcPr>
            <w:tcW w:w="1248" w:type="dxa"/>
            <w:tcBorders>
              <w:left w:val="single" w:sz="4" w:space="0" w:color="000000"/>
              <w:bottom w:val="single" w:sz="4" w:space="0" w:color="000000"/>
            </w:tcBorders>
          </w:tcPr>
          <w:p>
            <w:pPr>
              <w:pStyle w:val="Zawartotabeliuser"/>
              <w:ind w:hanging="0" w:left="0"/>
              <w:jc w:val="center"/>
              <w:rPr/>
            </w:pPr>
            <w:r>
              <w:rPr/>
              <w:t>0,81</w:t>
            </w:r>
          </w:p>
        </w:tc>
        <w:tc>
          <w:tcPr>
            <w:tcW w:w="1136" w:type="dxa"/>
            <w:tcBorders>
              <w:left w:val="single" w:sz="4" w:space="0" w:color="000000"/>
              <w:bottom w:val="single" w:sz="4" w:space="0" w:color="000000"/>
            </w:tcBorders>
          </w:tcPr>
          <w:p>
            <w:pPr>
              <w:pStyle w:val="Zawartotabeliuser"/>
              <w:ind w:hanging="0" w:left="0"/>
              <w:jc w:val="center"/>
              <w:rPr/>
            </w:pPr>
            <w:r>
              <w:rPr/>
              <w:t>0,85</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4689</w:t>
            </w:r>
          </w:p>
        </w:tc>
      </w:tr>
      <w:tr>
        <w:trPr/>
        <w:tc>
          <w:tcPr>
            <w:tcW w:w="1808" w:type="dxa"/>
            <w:tcBorders>
              <w:left w:val="single" w:sz="4" w:space="0" w:color="000000"/>
              <w:bottom w:val="single" w:sz="4" w:space="0" w:color="000000"/>
            </w:tcBorders>
          </w:tcPr>
          <w:p>
            <w:pPr>
              <w:pStyle w:val="Zawartotabeliuser"/>
              <w:ind w:hanging="0" w:left="0"/>
              <w:jc w:val="center"/>
              <w:rPr/>
            </w:pPr>
            <w:r>
              <w:rPr/>
              <w:t>CustomCnn</w:t>
            </w:r>
          </w:p>
        </w:tc>
        <w:tc>
          <w:tcPr>
            <w:tcW w:w="1183" w:type="dxa"/>
            <w:tcBorders>
              <w:left w:val="single" w:sz="4" w:space="0" w:color="000000"/>
              <w:bottom w:val="single" w:sz="4" w:space="0" w:color="000000"/>
            </w:tcBorders>
          </w:tcPr>
          <w:p>
            <w:pPr>
              <w:pStyle w:val="Zawartotabeliuser"/>
              <w:ind w:hanging="0" w:left="0"/>
              <w:jc w:val="center"/>
              <w:rPr/>
            </w:pPr>
            <w:r>
              <w:rPr/>
              <w:t>62%</w:t>
            </w:r>
          </w:p>
        </w:tc>
        <w:tc>
          <w:tcPr>
            <w:tcW w:w="1136" w:type="dxa"/>
            <w:tcBorders>
              <w:left w:val="single" w:sz="4" w:space="0" w:color="000000"/>
              <w:bottom w:val="single" w:sz="4" w:space="0" w:color="000000"/>
            </w:tcBorders>
          </w:tcPr>
          <w:p>
            <w:pPr>
              <w:pStyle w:val="Zawartotabeliuser"/>
              <w:ind w:hanging="0" w:left="0"/>
              <w:jc w:val="center"/>
              <w:rPr/>
            </w:pPr>
            <w:r>
              <w:rPr/>
              <w:t>0,57</w:t>
            </w:r>
          </w:p>
        </w:tc>
        <w:tc>
          <w:tcPr>
            <w:tcW w:w="1360" w:type="dxa"/>
            <w:tcBorders>
              <w:left w:val="single" w:sz="4" w:space="0" w:color="000000"/>
              <w:bottom w:val="single" w:sz="4" w:space="0" w:color="000000"/>
            </w:tcBorders>
          </w:tcPr>
          <w:p>
            <w:pPr>
              <w:pStyle w:val="Zawartotabeliuser"/>
              <w:ind w:hanging="0" w:left="0"/>
              <w:jc w:val="center"/>
              <w:rPr/>
            </w:pPr>
            <w:r>
              <w:rPr/>
              <w:t>0,64</w:t>
            </w:r>
          </w:p>
        </w:tc>
        <w:tc>
          <w:tcPr>
            <w:tcW w:w="1248" w:type="dxa"/>
            <w:tcBorders>
              <w:left w:val="single" w:sz="4" w:space="0" w:color="000000"/>
              <w:bottom w:val="single" w:sz="4" w:space="0" w:color="000000"/>
            </w:tcBorders>
          </w:tcPr>
          <w:p>
            <w:pPr>
              <w:pStyle w:val="Zawartotabeliuser"/>
              <w:ind w:hanging="0" w:left="0"/>
              <w:jc w:val="center"/>
              <w:rPr/>
            </w:pPr>
            <w:r>
              <w:rPr/>
              <w:t>0,55</w:t>
            </w:r>
          </w:p>
        </w:tc>
        <w:tc>
          <w:tcPr>
            <w:tcW w:w="1136" w:type="dxa"/>
            <w:tcBorders>
              <w:left w:val="single" w:sz="4" w:space="0" w:color="000000"/>
              <w:bottom w:val="single" w:sz="4" w:space="0" w:color="000000"/>
            </w:tcBorders>
          </w:tcPr>
          <w:p>
            <w:pPr>
              <w:pStyle w:val="Zawartotabeliuser"/>
              <w:ind w:hanging="0" w:left="0"/>
              <w:jc w:val="center"/>
              <w:rPr/>
            </w:pPr>
            <w:r>
              <w:rPr/>
              <w:t>0,65</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4401</w:t>
            </w:r>
          </w:p>
        </w:tc>
      </w:tr>
    </w:tbl>
    <w:p>
      <w:pPr>
        <w:pStyle w:val="Normal"/>
        <w:spacing w:lineRule="auto" w:line="360" w:before="80" w:after="80"/>
        <w:ind w:firstLine="720"/>
        <w:jc w:val="both"/>
        <w:rPr/>
      </w:pPr>
      <w:r>
        <w:rPr>
          <w:rFonts w:eastAsia="Times New Roman" w:cs="Times New Roman"/>
          <w:sz w:val="24"/>
          <w:szCs w:val="24"/>
        </w:rPr>
        <w:t>EfficientNet osiągnął najwyższą dokładność spośród wszystkich badanych modeli na poziomie 88%, przy makro F1 równym 0,86 i ważonym F1 równym 0,88. Architektura ta, oparta na skalowaniu złożonym (ang. compound scaling) jednocześnie głębokości, szerokości i rozdzielczości, oferuje silną zdolność reprezentacyjną przy stosunkowo kompaktowej liczbie parametrów. Istotne jest, że makro recall wynosi 0,88, co oznacza, że model generalnie dobrze rozpoznaje klasy rzadkie.</w:t>
      </w:r>
    </w:p>
    <w:p>
      <w:pPr>
        <w:pStyle w:val="Normal"/>
        <w:spacing w:lineRule="auto" w:line="360" w:before="80" w:after="80"/>
        <w:ind w:firstLine="720"/>
        <w:jc w:val="both"/>
        <w:rPr/>
      </w:pPr>
      <w:r>
        <w:rPr>
          <w:rFonts w:eastAsia="Times New Roman" w:cs="Times New Roman"/>
          <w:sz w:val="24"/>
          <w:szCs w:val="24"/>
        </w:rPr>
        <w:t>ViT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pPr>
        <w:pStyle w:val="Normal"/>
        <w:spacing w:lineRule="auto" w:line="360" w:before="80" w:after="80"/>
        <w:ind w:firstLine="720"/>
        <w:jc w:val="both"/>
        <w:rPr/>
      </w:pPr>
      <w:r>
        <w:rPr>
          <w:rFonts w:eastAsia="Times New Roman" w:cs="Times New Roman"/>
          <w:sz w:val="24"/>
          <w:szCs w:val="24"/>
        </w:rPr>
        <w:t>ResNet50 i MobileNetV3 osiągnęły identyczną dokładność 84%, lecz przy różnych profilach błędów widocznych w szczegółach raportów klasyfikacyjnych. MobileNetV3 wykazał makro recall 0,85 przy makro precision 0,81, co sugeruje tendencję do nadmiernego klasyfikowania próbek do niektórych klas (wyższy recall, niższa precision). ResNet50 prezentuje bardziej zrównoważony profil z makro precision 0,84.</w:t>
      </w:r>
    </w:p>
    <w:p>
      <w:pPr>
        <w:pStyle w:val="Normal"/>
        <w:spacing w:lineRule="auto" w:line="360" w:before="80" w:after="80"/>
        <w:ind w:firstLine="720"/>
        <w:jc w:val="both"/>
        <w:rPr/>
      </w:pPr>
      <w:r>
        <w:rPr>
          <w:rFonts w:eastAsia="Times New Roman" w:cs="Times New Roman"/>
          <w:sz w:val="24"/>
          <w:szCs w:val="24"/>
        </w:rPr>
        <w:t>CustomCNN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pPr>
        <w:pStyle w:val="Heading2"/>
        <w:numPr>
          <w:ilvl w:val="0"/>
          <w:numId w:val="0"/>
        </w:numPr>
        <w:ind w:hanging="0" w:left="0"/>
        <w:rPr/>
      </w:pPr>
      <w:r>
        <w:rPr/>
        <w:t>4.4 Porównanie skuteczności klasyfikacji</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Macierze konfuzji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pPr>
        <w:pStyle w:val="Heading3"/>
        <w:numPr>
          <w:ilvl w:val="0"/>
          <w:numId w:val="0"/>
        </w:numPr>
        <w:ind w:hanging="0" w:left="0"/>
        <w:rPr/>
      </w:pPr>
      <w:r>
        <w:rPr/>
        <w:t>4.4.1 Custom CNN</w:t>
      </w:r>
    </w:p>
    <w:p>
      <w:pPr>
        <w:pStyle w:val="Normal"/>
        <w:spacing w:lineRule="auto" w:line="360" w:before="80" w:after="80"/>
        <w:ind w:firstLine="720"/>
        <w:jc w:val="both"/>
        <w:rPr/>
      </w:pPr>
      <w:r>
        <w:rPr>
          <w:rFonts w:eastAsia="Times New Roman" w:cs="Times New Roman"/>
          <w:sz w:val="24"/>
          <w:szCs w:val="24"/>
        </w:rPr>
        <mc:AlternateContent>
          <mc:Choice Requires="wps">
            <w:drawing>
              <wp:anchor distT="0" distB="0" distL="0" distR="0" simplePos="0" relativeHeight="57"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3" name="Ramka15"/>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52"/>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33</w:t>
                            </w:r>
                            <w:r>
                              <w:rPr/>
                              <w:fldChar w:fldCharType="end"/>
                            </w:r>
                            <w:r>
                              <w:rPr/>
                              <w:t>: Macierz konfuzji modelu CustomCNN.</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65"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Obraz13"/>
                                    <pic:cNvPicPr>
                                      <a:picLocks noChangeAspect="1" noChangeArrowheads="1"/>
                                    </pic:cNvPicPr>
                                  </pic:nvPicPr>
                                  <pic:blipFill>
                                    <a:blip r:embed="rId53"/>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33</w:t>
                      </w:r>
                      <w:r>
                        <w:rPr/>
                        <w:fldChar w:fldCharType="end"/>
                      </w:r>
                      <w:r>
                        <w:rPr/>
                        <w:t>: Macierz konfuzji modelu CustomCNN.</w:t>
                      </w:r>
                    </w:p>
                  </w:txbxContent>
                </v:textbox>
                <w10:wrap type="square" side="largest"/>
              </v:rect>
            </w:pict>
          </mc:Fallback>
        </mc:AlternateContent>
      </w:r>
      <w:r>
        <w:rPr>
          <w:rFonts w:eastAsia="Times New Roman" w:cs="Times New Roman"/>
          <w:sz w:val="24"/>
          <w:szCs w:val="24"/>
        </w:rPr>
        <w:t>W przypadku CustomCNN macierz nie wykazuje wyraźnej struktury diagonalnej, co potwierdza brak spójnej strategii klasyfikacyjnej.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prawdopodobnie dlatego, że prezentują wizualnie charakterystyczne zmiany mniej mylone z pozostałymi klasami.</w:t>
      </w:r>
    </w:p>
    <w:p>
      <w:pPr>
        <w:pStyle w:val="Caption"/>
        <w:rPr/>
      </w:pPr>
      <w:r>
        <w:rPr/>
      </w:r>
    </w:p>
    <w:p>
      <w:pPr>
        <w:pStyle w:val="Heading3"/>
        <w:numPr>
          <w:ilvl w:val="0"/>
          <w:numId w:val="0"/>
        </w:numPr>
        <w:ind w:hanging="0" w:left="0"/>
        <w:rPr/>
      </w:pPr>
      <w:r>
        <w:rPr/>
        <w:t>4.4.2 ResNet50</w:t>
      </w:r>
    </w:p>
    <w:p>
      <w:pPr>
        <w:pStyle w:val="Normal"/>
        <w:spacing w:lineRule="auto" w:line="360" w:before="80" w:after="80"/>
        <w:ind w:firstLine="720"/>
        <w:jc w:val="both"/>
        <w:rPr/>
      </w:pPr>
      <w:r>
        <w:rPr>
          <w:rFonts w:eastAsia="Times New Roman" w:cs="Times New Roman"/>
          <w:sz w:val="24"/>
          <w:szCs w:val="24"/>
        </w:rPr>
        <mc:AlternateContent>
          <mc:Choice Requires="wps">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6" name="Ramka16"/>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54"/>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34</w:t>
                            </w:r>
                            <w:r>
                              <w:rPr/>
                              <w:fldChar w:fldCharType="end"/>
                            </w:r>
                            <w:r>
                              <w:rPr/>
                              <w:t>: Macierz konfuzji modelu ResNet50.</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68"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Obraz14"/>
                                    <pic:cNvPicPr>
                                      <a:picLocks noChangeAspect="1" noChangeArrowheads="1"/>
                                    </pic:cNvPicPr>
                                  </pic:nvPicPr>
                                  <pic:blipFill>
                                    <a:blip r:embed="rId55"/>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34</w:t>
                      </w:r>
                      <w:r>
                        <w:rPr/>
                        <w:fldChar w:fldCharType="end"/>
                      </w:r>
                      <w:r>
                        <w:rPr/>
                        <w:t>: Macierz konfuzji modelu ResNet50.</w:t>
                      </w:r>
                    </w:p>
                  </w:txbxContent>
                </v:textbox>
                <w10:wrap type="square" side="largest"/>
              </v:rect>
            </w:pict>
          </mc:Fallback>
        </mc:AlternateContent>
      </w:r>
      <w:r>
        <w:rPr>
          <w:rFonts w:eastAsia="Times New Roman" w:cs="Times New Roman"/>
          <w:sz w:val="24"/>
          <w:szCs w:val="24"/>
        </w:rPr>
        <w:t>ResNet50 prezentuje wyraźnie silniejszą diagonalę niż CustomCNN, choć z kilkoma obszarami systematycznych błędów. Najbardziej widoczną słabością jest para Melanoma i Melanocytic nevi: z 453 rzeczywistych czerniaków 77 trafiło do Melanocytic nevi, co przy czułości 72% i uwzględnieniu pozostałych pomyłek daje wynik niedostateczny z perspektywy klinicznej. Actinic keratoses uzyskały czułość 76%, z rozproszeniem pomyłek do Basal cell carcinoma i Benign keratosis-like lesions. Dermatofibroma osiągnęła czułość 60% przy 25 próbkach testowych. Klasy wirusowe i Healthy klasyfikowane są niemal bezbłędnie. Squamous cell carcinoma osiągnęła czułość 62%, z 8 przypadkami mylonymi z Melanomą.</w:t>
      </w:r>
    </w:p>
    <w:p>
      <w:pPr>
        <w:pStyle w:val="Heading3"/>
        <w:numPr>
          <w:ilvl w:val="0"/>
          <w:numId w:val="0"/>
        </w:numPr>
        <w:ind w:hanging="0" w:left="0"/>
        <w:rPr/>
      </w:pPr>
      <w:r>
        <w:rPr/>
        <w:t>4.4.3 MobileNetV3</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9" name="Ramka17"/>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56"/>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35</w:t>
                            </w:r>
                            <w:r>
                              <w:rPr/>
                              <w:fldChar w:fldCharType="end"/>
                            </w:r>
                            <w:r>
                              <w:rPr/>
                              <w:t>:  Macierz konfuzji modelu MobileNetV3.</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71"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Obraz17"/>
                                    <pic:cNvPicPr>
                                      <a:picLocks noChangeAspect="1" noChangeArrowheads="1"/>
                                    </pic:cNvPicPr>
                                  </pic:nvPicPr>
                                  <pic:blipFill>
                                    <a:blip r:embed="rId57"/>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35</w:t>
                      </w:r>
                      <w:r>
                        <w:rPr/>
                        <w:fldChar w:fldCharType="end"/>
                      </w:r>
                      <w:r>
                        <w:rPr/>
                        <w:t>:  Macierz konfuzji modelu MobileNetV3.</w:t>
                      </w:r>
                    </w:p>
                  </w:txbxContent>
                </v:textbox>
                <w10:wrap type="square" side="largest"/>
              </v:rect>
            </w:pict>
          </mc:Fallback>
        </mc:AlternateContent>
      </w:r>
      <w:r>
        <w:rPr>
          <w:rFonts w:eastAsia="Times New Roman" w:cs="Times New Roman"/>
          <w:sz w:val="24"/>
          <w:szCs w:val="24"/>
        </w:rPr>
        <w:t>MobileNetV3 wykazuje bardzo zbliżone wyniki do ResNet50, lecz z nieco innym rozkładem pomyłek. Para Melanoma i Melanocytic nevi pozostaje głównym źródłem błędów: 104 z 453 przypadków czerniaka trafiło do Melanocytic nevi, przy czułości Melanomy wynoszącj 68%. Actinic keratoses osiągnęły czułość 60%, z rozproszeniem między Basal cell carcinoma (10 przypadków), Benign keratosis-like lesions (10 przypadków) i Melanocytic nevi (4 przypadki). Dermatofibroma uzyskała czułość 80%, co jest najlepszym wynikiem dla tej klasy spośród modeli CNN, prawdopodobnie ze względu na skuteczne zastosowanie depthwise separable convolutions wychwytujących lokalne wzorce tekstury. Squamous cell carcinoma osiągnęła czułość 69%.</w:t>
      </w:r>
    </w:p>
    <w:p>
      <w:pPr>
        <w:pStyle w:val="Normal"/>
        <w:spacing w:lineRule="auto" w:line="360" w:before="80" w:after="8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80" w:after="8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Heading3"/>
        <w:numPr>
          <w:ilvl w:val="0"/>
          <w:numId w:val="0"/>
        </w:numPr>
        <w:ind w:hanging="0" w:left="0"/>
        <w:rPr/>
      </w:pPr>
      <w:r>
        <w:rPr/>
        <w:t>4.4.4 ViT</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64"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72" name="Ramka18"/>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8"/>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36</w:t>
                            </w:r>
                            <w:r>
                              <w:rPr/>
                              <w:fldChar w:fldCharType="end"/>
                            </w:r>
                            <w:r>
                              <w:rPr/>
                              <w:t>: Macierz konfuzji modelu ViT.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74"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Obraz31"/>
                                    <pic:cNvPicPr>
                                      <a:picLocks noChangeAspect="1" noChangeArrowheads="1"/>
                                    </pic:cNvPicPr>
                                  </pic:nvPicPr>
                                  <pic:blipFill>
                                    <a:blip r:embed="rId59"/>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36</w:t>
                      </w:r>
                      <w:r>
                        <w:rPr/>
                        <w:fldChar w:fldCharType="end"/>
                      </w:r>
                      <w:r>
                        <w:rPr/>
                        <w:t>: Macierz konfuzji modelu ViT.</w:t>
                      </w:r>
                    </w:p>
                  </w:txbxContent>
                </v:textbox>
                <w10:wrap type="square" side="largest"/>
              </v:rect>
            </w:pict>
          </mc:Fallback>
        </mc:AlternateContent>
      </w:r>
      <w:r>
        <w:rPr>
          <w:rFonts w:eastAsia="Times New Roman" w:cs="Times New Roman"/>
          <w:sz w:val="24"/>
          <w:szCs w:val="24"/>
        </w:rPr>
        <w:t>Transformer wizyjny wykazuje najsilniejszą diagonalę spośród modeli CNN i wyraźne zmniejszenie liczby pomyłek w niemal wszystkich klasach. Klasy wirusowe zostały sklasyfikowane bezbłędnie lub niemal bezbłędnie: HFMD 100% czułości (242/242), Measles 100% (83/83), Cowpox 98% (97/99), Chickenpox 99% (112/113), Monkeypox 99% (422/426). Melanoma uzyskała czułość 70%: 92 przypadki trafiły do Melanocytic nevi, co wciąż stanowi istotny problem kliniczny, choć jest to wyraźna poprawa względem modeli CNN. Actinic keratoses osiągnęły czułość 72%, a Squamous cell carcinoma 75%. Benign keratosis-like lesions uzyskały 71%, przy pomyłkach z Melanocytic nevi (35 przypadków) i Melanomą (12 przypadków). Dermatofibroma osiągnęła czułość 72% przy 25 próbkach testowych.</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r>
    </w:p>
    <w:p>
      <w:pPr>
        <w:pStyle w:val="Heading3"/>
        <w:numPr>
          <w:ilvl w:val="0"/>
          <w:numId w:val="0"/>
        </w:numPr>
        <w:ind w:hanging="0" w:left="0"/>
        <w:rPr/>
      </w:pPr>
      <w:r>
        <w:rPr/>
        <w:t>4.4.4 EfficientNet-B0</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67"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75" name="Ramka19"/>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60"/>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37</w:t>
                            </w:r>
                            <w:r>
                              <w:rPr/>
                              <w:fldChar w:fldCharType="end"/>
                            </w:r>
                            <w:r>
                              <w:rPr/>
                              <w:t>: Macierz konfuzji modelu EfficientNet.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77"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Obraz39"/>
                                    <pic:cNvPicPr>
                                      <a:picLocks noChangeAspect="1" noChangeArrowheads="1"/>
                                    </pic:cNvPicPr>
                                  </pic:nvPicPr>
                                  <pic:blipFill>
                                    <a:blip r:embed="rId61"/>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37</w:t>
                      </w:r>
                      <w:r>
                        <w:rPr/>
                        <w:fldChar w:fldCharType="end"/>
                      </w:r>
                      <w:r>
                        <w:rPr/>
                        <w:t>: Macierz konfuzji modelu EfficientNet.</w:t>
                      </w:r>
                    </w:p>
                  </w:txbxContent>
                </v:textbox>
                <w10:wrap type="square" side="largest"/>
              </v:rect>
            </w:pict>
          </mc:Fallback>
        </mc:AlternateContent>
      </w:r>
      <w:r>
        <w:rPr>
          <w:rFonts w:eastAsia="Times New Roman" w:cs="Times New Roman"/>
          <w:sz w:val="24"/>
          <w:szCs w:val="24"/>
        </w:rPr>
        <w:t>EfficientNet prezentuje macierz najbardziej zbliżoną do idealnej diagonali. Klasy wirusowe klasyfikowane są ze 100% lub bliską 100% czułością: Measles 100% (83/83), Chickenpox 100% (113/113), Healthy 99% (169/171), Cowpox 98% (97/99), HFMD 99% (239/242). Actinic keratoses osiągnęły czułość 76%, z 7 pomyłkami z Basal cell carcinoma i 8 z Benign keratosis-like lesions. Melanoma uzyskała czułość 68%: 103 przypadki trafiły do Melanocytic nevi, co jest wynikiem porównywalnym z ViT, przy nieco niższej wartości bezwzględnej. Squamous cell carcinoma osiągnęła czułość 80%, co jest najlepszym wynikiem dla tej klasy spośród wszystkich badanych modeli. Dermatofibroma uzyskała czułość 72%. Vascular lesions sklasyfikowano z czułością 96%, co jest wynikiem wyjątkowo dobrym przy zaledwie 26 próbkach testowych. Ogólny obraz macierzy wskazuje na bardzo dobrze wyważony kompromis między czułością i precyzją we wszystkich klasach.</w:t>
      </w:r>
    </w:p>
    <w:p>
      <w:pPr>
        <w:pStyle w:val="Heading2"/>
        <w:numPr>
          <w:ilvl w:val="0"/>
          <w:numId w:val="0"/>
        </w:numPr>
        <w:ind w:hanging="0" w:left="0"/>
        <w:rPr/>
      </w:pPr>
      <w:r>
        <w:rPr/>
        <w:t>4.5 Test w odpornościach i zakłóceniach</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warunkach laboratoryjnych. Zmienne oświetlenie, ruch ręki, ograniczona rozdzielczość obiektywu smartfona czy odbicia światła wprowadzają zakłócenia, które mogą istotnie wpłynąć na skuteczność klasyfikatora. W celu oceny odporności modeli na degradację jakości obrazu przeprowadzono test z dwoma rodzajami zniekształceń: szumem gaussowskim (odchylenie standardowe σ = 0,1 w znormalizowanej przestrzeni cech) oraz rozmyciem gaussowskim (jądro 5×5, σ = 2,0). Wyniki zestawiono w tabeli 4.2.</w:t>
      </w:r>
    </w:p>
    <w:p>
      <w:pPr>
        <w:pStyle w:val="Tabelauser"/>
        <w:rPr/>
      </w:pPr>
      <w:r>
        <w:rPr/>
        <w:t xml:space="preserve">Tabela </w:t>
      </w:r>
      <w:r>
        <w:rPr/>
        <w:fldChar w:fldCharType="begin"/>
      </w:r>
      <w:r>
        <w:rPr/>
        <w:instrText xml:space="preserve"> SEQ Tabela \* ARABIC </w:instrText>
      </w:r>
      <w:r>
        <w:rPr/>
        <w:fldChar w:fldCharType="separate"/>
      </w:r>
      <w:r>
        <w:rPr/>
        <w:t>3</w:t>
      </w:r>
      <w:r>
        <w:rPr/>
        <w:fldChar w:fldCharType="end"/>
      </w:r>
      <w:r>
        <w:rPr/>
        <w:t>: Wyniki testu odporności na zakłócenia. Wartości dokładności na zbiorze testowym po zastosowaniu szumu i rozmycia gaussowskiego wraz ze zmianą względem wyniku bez zakłóceń.</w:t>
      </w:r>
    </w:p>
    <w:tbl>
      <w:tblPr>
        <w:tblW w:w="5000" w:type="pct"/>
        <w:jc w:val="left"/>
        <w:tblInd w:w="55" w:type="dxa"/>
        <w:tblLayout w:type="fixed"/>
        <w:tblCellMar>
          <w:top w:w="55" w:type="dxa"/>
          <w:left w:w="55" w:type="dxa"/>
          <w:bottom w:w="55" w:type="dxa"/>
          <w:right w:w="55" w:type="dxa"/>
        </w:tblCellMar>
      </w:tblPr>
      <w:tblGrid>
        <w:gridCol w:w="1814"/>
        <w:gridCol w:w="1813"/>
        <w:gridCol w:w="1816"/>
        <w:gridCol w:w="1813"/>
        <w:gridCol w:w="1816"/>
      </w:tblGrid>
      <w:tr>
        <w:trPr/>
        <w:tc>
          <w:tcPr>
            <w:tcW w:w="1814" w:type="dxa"/>
            <w:tcBorders>
              <w:top w:val="single" w:sz="4" w:space="0" w:color="000000"/>
              <w:left w:val="single" w:sz="4" w:space="0" w:color="000000"/>
              <w:bottom w:val="single" w:sz="4" w:space="0" w:color="000000"/>
            </w:tcBorders>
          </w:tcPr>
          <w:p>
            <w:pPr>
              <w:pStyle w:val="Zawartotabeliuser"/>
              <w:ind w:hanging="0" w:left="0"/>
              <w:jc w:val="center"/>
              <w:rPr/>
            </w:pPr>
            <w:r>
              <w:rPr/>
              <w:t>Model</w:t>
            </w:r>
          </w:p>
        </w:tc>
        <w:tc>
          <w:tcPr>
            <w:tcW w:w="1813" w:type="dxa"/>
            <w:tcBorders>
              <w:top w:val="single" w:sz="4" w:space="0" w:color="000000"/>
              <w:left w:val="single" w:sz="4" w:space="0" w:color="000000"/>
              <w:bottom w:val="single" w:sz="4" w:space="0" w:color="000000"/>
            </w:tcBorders>
          </w:tcPr>
          <w:p>
            <w:pPr>
              <w:pStyle w:val="Zawartotabeliuser"/>
              <w:ind w:hanging="0" w:left="0"/>
              <w:jc w:val="center"/>
              <w:rPr/>
            </w:pPr>
            <w:r>
              <w:rPr/>
              <w:t>Wynik bez szumów</w:t>
            </w:r>
          </w:p>
        </w:tc>
        <w:tc>
          <w:tcPr>
            <w:tcW w:w="1816" w:type="dxa"/>
            <w:tcBorders>
              <w:top w:val="single" w:sz="4" w:space="0" w:color="000000"/>
              <w:left w:val="single" w:sz="4" w:space="0" w:color="000000"/>
              <w:bottom w:val="single" w:sz="4" w:space="0" w:color="000000"/>
            </w:tcBorders>
          </w:tcPr>
          <w:p>
            <w:pPr>
              <w:pStyle w:val="Zawartotabeliuser"/>
              <w:ind w:hanging="0" w:left="0"/>
              <w:jc w:val="center"/>
              <w:rPr/>
            </w:pPr>
            <w:r>
              <w:rPr/>
              <w:t>Szum Gaussa</w:t>
            </w:r>
          </w:p>
        </w:tc>
        <w:tc>
          <w:tcPr>
            <w:tcW w:w="1813" w:type="dxa"/>
            <w:tcBorders>
              <w:top w:val="single" w:sz="4" w:space="0" w:color="000000"/>
              <w:left w:val="single" w:sz="4" w:space="0" w:color="000000"/>
              <w:bottom w:val="single" w:sz="4" w:space="0" w:color="000000"/>
            </w:tcBorders>
          </w:tcPr>
          <w:p>
            <w:pPr>
              <w:pStyle w:val="Zawartotabeliuser"/>
              <w:ind w:hanging="0" w:left="0"/>
              <w:jc w:val="center"/>
              <w:rPr/>
            </w:pPr>
            <w:r>
              <w:rPr/>
              <w:t>Rozmycie</w:t>
            </w:r>
          </w:p>
        </w:tc>
        <w:tc>
          <w:tcPr>
            <w:tcW w:w="1816" w:type="dxa"/>
            <w:tcBorders>
              <w:top w:val="single" w:sz="4" w:space="0" w:color="000000"/>
              <w:left w:val="single" w:sz="4" w:space="0" w:color="000000"/>
              <w:bottom w:val="single" w:sz="4" w:space="0" w:color="000000"/>
              <w:right w:val="single" w:sz="4" w:space="0" w:color="000000"/>
            </w:tcBorders>
          </w:tcPr>
          <w:p>
            <w:pPr>
              <w:pStyle w:val="Zawartotabeliuser"/>
              <w:ind w:hanging="0" w:left="0"/>
              <w:jc w:val="center"/>
              <w:rPr/>
            </w:pPr>
            <w:r>
              <w:rPr/>
              <w:t>Zmiana (szum / rozmycie)</w:t>
            </w:r>
          </w:p>
        </w:tc>
      </w:tr>
      <w:tr>
        <w:trPr/>
        <w:tc>
          <w:tcPr>
            <w:tcW w:w="1814" w:type="dxa"/>
            <w:tcBorders>
              <w:left w:val="single" w:sz="4" w:space="0" w:color="000000"/>
              <w:bottom w:val="single" w:sz="4" w:space="0" w:color="000000"/>
            </w:tcBorders>
          </w:tcPr>
          <w:p>
            <w:pPr>
              <w:pStyle w:val="Zawartotabeliuser"/>
              <w:ind w:hanging="0" w:left="0"/>
              <w:jc w:val="center"/>
              <w:rPr>
                <w:b/>
                <w:bCs/>
              </w:rPr>
            </w:pPr>
            <w:r>
              <w:rPr>
                <w:b/>
                <w:bCs/>
              </w:rPr>
              <w:t>ViT</w:t>
            </w:r>
          </w:p>
        </w:tc>
        <w:tc>
          <w:tcPr>
            <w:tcW w:w="1813" w:type="dxa"/>
            <w:tcBorders>
              <w:left w:val="single" w:sz="4" w:space="0" w:color="000000"/>
              <w:bottom w:val="single" w:sz="4" w:space="0" w:color="000000"/>
            </w:tcBorders>
          </w:tcPr>
          <w:p>
            <w:pPr>
              <w:pStyle w:val="Zawartotabeliuser"/>
              <w:ind w:hanging="0" w:left="0"/>
              <w:jc w:val="center"/>
              <w:rPr>
                <w:b/>
                <w:bCs/>
              </w:rPr>
            </w:pPr>
            <w:r>
              <w:rPr>
                <w:b/>
                <w:bCs/>
              </w:rPr>
              <w:t>87%</w:t>
            </w:r>
          </w:p>
        </w:tc>
        <w:tc>
          <w:tcPr>
            <w:tcW w:w="1816" w:type="dxa"/>
            <w:tcBorders>
              <w:left w:val="single" w:sz="4" w:space="0" w:color="000000"/>
              <w:bottom w:val="single" w:sz="4" w:space="0" w:color="000000"/>
            </w:tcBorders>
          </w:tcPr>
          <w:p>
            <w:pPr>
              <w:pStyle w:val="Zawartotabeliuser"/>
              <w:ind w:hanging="0" w:left="0"/>
              <w:jc w:val="center"/>
              <w:rPr>
                <w:b/>
                <w:bCs/>
              </w:rPr>
            </w:pPr>
            <w:r>
              <w:rPr>
                <w:b/>
                <w:bCs/>
              </w:rPr>
              <w:t>86,80%</w:t>
            </w:r>
          </w:p>
        </w:tc>
        <w:tc>
          <w:tcPr>
            <w:tcW w:w="1813" w:type="dxa"/>
            <w:tcBorders>
              <w:left w:val="single" w:sz="4" w:space="0" w:color="000000"/>
              <w:bottom w:val="single" w:sz="4" w:space="0" w:color="000000"/>
            </w:tcBorders>
          </w:tcPr>
          <w:p>
            <w:pPr>
              <w:pStyle w:val="Zawartotabeliuser"/>
              <w:ind w:hanging="0" w:left="0"/>
              <w:jc w:val="center"/>
              <w:rPr>
                <w:b/>
                <w:bCs/>
              </w:rPr>
            </w:pPr>
            <w:r>
              <w:rPr>
                <w:b/>
                <w:bCs/>
              </w:rPr>
              <w:t>84,16%</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b/>
                <w:bCs/>
              </w:rPr>
            </w:pPr>
            <w:r>
              <w:rPr>
                <w:b/>
                <w:bCs/>
              </w:rPr>
              <w:t>-0,20pp/-2,84pp</w:t>
            </w:r>
          </w:p>
        </w:tc>
      </w:tr>
      <w:tr>
        <w:trPr/>
        <w:tc>
          <w:tcPr>
            <w:tcW w:w="1814" w:type="dxa"/>
            <w:tcBorders>
              <w:left w:val="single" w:sz="4" w:space="0" w:color="000000"/>
              <w:bottom w:val="single" w:sz="4" w:space="0" w:color="000000"/>
            </w:tcBorders>
          </w:tcPr>
          <w:p>
            <w:pPr>
              <w:pStyle w:val="Zawartotabeliuser"/>
              <w:ind w:hanging="0" w:left="0"/>
              <w:jc w:val="center"/>
              <w:rPr/>
            </w:pPr>
            <w:r>
              <w:rPr/>
              <w:t>EfficientNet-B0</w:t>
            </w:r>
          </w:p>
        </w:tc>
        <w:tc>
          <w:tcPr>
            <w:tcW w:w="1813" w:type="dxa"/>
            <w:tcBorders>
              <w:left w:val="single" w:sz="4" w:space="0" w:color="000000"/>
              <w:bottom w:val="single" w:sz="4" w:space="0" w:color="000000"/>
            </w:tcBorders>
          </w:tcPr>
          <w:p>
            <w:pPr>
              <w:pStyle w:val="Zawartotabeliuser"/>
              <w:ind w:hanging="0" w:left="0"/>
              <w:jc w:val="center"/>
              <w:rPr/>
            </w:pPr>
            <w:r>
              <w:rPr/>
              <w:t>88%</w:t>
            </w:r>
          </w:p>
        </w:tc>
        <w:tc>
          <w:tcPr>
            <w:tcW w:w="1816" w:type="dxa"/>
            <w:tcBorders>
              <w:left w:val="single" w:sz="4" w:space="0" w:color="000000"/>
              <w:bottom w:val="single" w:sz="4" w:space="0" w:color="000000"/>
            </w:tcBorders>
          </w:tcPr>
          <w:p>
            <w:pPr>
              <w:pStyle w:val="Zawartotabeliuser"/>
              <w:ind w:hanging="0" w:left="0"/>
              <w:jc w:val="center"/>
              <w:rPr/>
            </w:pPr>
            <w:r>
              <w:rPr/>
              <w:t>78,03%</w:t>
            </w:r>
          </w:p>
        </w:tc>
        <w:tc>
          <w:tcPr>
            <w:tcW w:w="1813" w:type="dxa"/>
            <w:tcBorders>
              <w:left w:val="single" w:sz="4" w:space="0" w:color="000000"/>
              <w:bottom w:val="single" w:sz="4" w:space="0" w:color="000000"/>
            </w:tcBorders>
          </w:tcPr>
          <w:p>
            <w:pPr>
              <w:pStyle w:val="Zawartotabeliuser"/>
              <w:ind w:hanging="0" w:left="0"/>
              <w:jc w:val="center"/>
              <w:rPr/>
            </w:pPr>
            <w:r>
              <w:rPr/>
              <w:t>74,74%</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-9,97pp/-13,26pp</w:t>
            </w:r>
          </w:p>
        </w:tc>
      </w:tr>
      <w:tr>
        <w:trPr/>
        <w:tc>
          <w:tcPr>
            <w:tcW w:w="1814" w:type="dxa"/>
            <w:tcBorders>
              <w:left w:val="single" w:sz="4" w:space="0" w:color="000000"/>
              <w:bottom w:val="single" w:sz="4" w:space="0" w:color="000000"/>
            </w:tcBorders>
          </w:tcPr>
          <w:p>
            <w:pPr>
              <w:pStyle w:val="Zawartotabeliuser"/>
              <w:ind w:hanging="0" w:left="0"/>
              <w:jc w:val="center"/>
              <w:rPr/>
            </w:pPr>
            <w:r>
              <w:rPr/>
              <w:t>ResNet50</w:t>
            </w:r>
          </w:p>
        </w:tc>
        <w:tc>
          <w:tcPr>
            <w:tcW w:w="1813" w:type="dxa"/>
            <w:tcBorders>
              <w:left w:val="single" w:sz="4" w:space="0" w:color="000000"/>
              <w:bottom w:val="single" w:sz="4" w:space="0" w:color="000000"/>
            </w:tcBorders>
          </w:tcPr>
          <w:p>
            <w:pPr>
              <w:pStyle w:val="Zawartotabeliuser"/>
              <w:ind w:hanging="0" w:left="0"/>
              <w:jc w:val="center"/>
              <w:rPr/>
            </w:pPr>
            <w:r>
              <w:rPr/>
              <w:t>84%</w:t>
            </w:r>
          </w:p>
        </w:tc>
        <w:tc>
          <w:tcPr>
            <w:tcW w:w="1816" w:type="dxa"/>
            <w:tcBorders>
              <w:left w:val="single" w:sz="4" w:space="0" w:color="000000"/>
              <w:bottom w:val="single" w:sz="4" w:space="0" w:color="000000"/>
            </w:tcBorders>
          </w:tcPr>
          <w:p>
            <w:pPr>
              <w:pStyle w:val="Zawartotabeliuser"/>
              <w:ind w:hanging="0" w:left="0"/>
              <w:jc w:val="center"/>
              <w:rPr/>
            </w:pPr>
            <w:r>
              <w:rPr/>
              <w:t>79,50%</w:t>
            </w:r>
          </w:p>
        </w:tc>
        <w:tc>
          <w:tcPr>
            <w:tcW w:w="1813" w:type="dxa"/>
            <w:tcBorders>
              <w:left w:val="single" w:sz="4" w:space="0" w:color="000000"/>
              <w:bottom w:val="single" w:sz="4" w:space="0" w:color="000000"/>
            </w:tcBorders>
          </w:tcPr>
          <w:p>
            <w:pPr>
              <w:pStyle w:val="Zawartotabeliuser"/>
              <w:ind w:hanging="0" w:left="0"/>
              <w:jc w:val="center"/>
              <w:rPr/>
            </w:pPr>
            <w:r>
              <w:rPr/>
              <w:t>75,78%</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-4,50pp/-8,22pp</w:t>
            </w:r>
          </w:p>
        </w:tc>
      </w:tr>
      <w:tr>
        <w:trPr/>
        <w:tc>
          <w:tcPr>
            <w:tcW w:w="1814" w:type="dxa"/>
            <w:tcBorders>
              <w:left w:val="single" w:sz="4" w:space="0" w:color="000000"/>
              <w:bottom w:val="single" w:sz="4" w:space="0" w:color="000000"/>
            </w:tcBorders>
          </w:tcPr>
          <w:p>
            <w:pPr>
              <w:pStyle w:val="Zawartotabeliuser"/>
              <w:ind w:hanging="0" w:left="0"/>
              <w:jc w:val="center"/>
              <w:rPr/>
            </w:pPr>
            <w:r>
              <w:rPr/>
              <w:t>MobileNetV3</w:t>
            </w:r>
          </w:p>
        </w:tc>
        <w:tc>
          <w:tcPr>
            <w:tcW w:w="1813" w:type="dxa"/>
            <w:tcBorders>
              <w:left w:val="single" w:sz="4" w:space="0" w:color="000000"/>
              <w:bottom w:val="single" w:sz="4" w:space="0" w:color="000000"/>
            </w:tcBorders>
          </w:tcPr>
          <w:p>
            <w:pPr>
              <w:pStyle w:val="Zawartotabeliuser"/>
              <w:ind w:hanging="0" w:left="0"/>
              <w:jc w:val="center"/>
              <w:rPr/>
            </w:pPr>
            <w:r>
              <w:rPr/>
              <w:t>84%</w:t>
            </w:r>
          </w:p>
        </w:tc>
        <w:tc>
          <w:tcPr>
            <w:tcW w:w="1816" w:type="dxa"/>
            <w:tcBorders>
              <w:left w:val="single" w:sz="4" w:space="0" w:color="000000"/>
              <w:bottom w:val="single" w:sz="4" w:space="0" w:color="000000"/>
            </w:tcBorders>
          </w:tcPr>
          <w:p>
            <w:pPr>
              <w:pStyle w:val="Zawartotabeliuser"/>
              <w:ind w:hanging="0" w:left="0"/>
              <w:jc w:val="center"/>
              <w:rPr/>
            </w:pPr>
            <w:r>
              <w:rPr/>
              <w:t>75,01%</w:t>
            </w:r>
          </w:p>
        </w:tc>
        <w:tc>
          <w:tcPr>
            <w:tcW w:w="1813" w:type="dxa"/>
            <w:tcBorders>
              <w:left w:val="single" w:sz="4" w:space="0" w:color="000000"/>
              <w:bottom w:val="single" w:sz="4" w:space="0" w:color="000000"/>
            </w:tcBorders>
          </w:tcPr>
          <w:p>
            <w:pPr>
              <w:pStyle w:val="Zawartotabeliuser"/>
              <w:ind w:hanging="0" w:left="0"/>
              <w:jc w:val="center"/>
              <w:rPr/>
            </w:pPr>
            <w:r>
              <w:rPr/>
              <w:t>76,46%</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-8,99pp /-7,54pp</w:t>
            </w:r>
          </w:p>
        </w:tc>
      </w:tr>
      <w:tr>
        <w:trPr/>
        <w:tc>
          <w:tcPr>
            <w:tcW w:w="1814" w:type="dxa"/>
            <w:tcBorders>
              <w:left w:val="single" w:sz="4" w:space="0" w:color="000000"/>
              <w:bottom w:val="single" w:sz="4" w:space="0" w:color="000000"/>
            </w:tcBorders>
          </w:tcPr>
          <w:p>
            <w:pPr>
              <w:pStyle w:val="Zawartotabeliuser"/>
              <w:ind w:hanging="0" w:left="0"/>
              <w:jc w:val="center"/>
              <w:rPr/>
            </w:pPr>
            <w:r>
              <w:rPr/>
              <w:t>CustomCnn</w:t>
            </w:r>
          </w:p>
        </w:tc>
        <w:tc>
          <w:tcPr>
            <w:tcW w:w="1813" w:type="dxa"/>
            <w:tcBorders>
              <w:left w:val="single" w:sz="4" w:space="0" w:color="000000"/>
              <w:bottom w:val="single" w:sz="4" w:space="0" w:color="000000"/>
            </w:tcBorders>
          </w:tcPr>
          <w:p>
            <w:pPr>
              <w:pStyle w:val="Zawartotabeliuser"/>
              <w:ind w:hanging="0" w:left="0"/>
              <w:jc w:val="center"/>
              <w:rPr/>
            </w:pPr>
            <w:r>
              <w:rPr/>
              <w:t>62%</w:t>
            </w:r>
          </w:p>
        </w:tc>
        <w:tc>
          <w:tcPr>
            <w:tcW w:w="1816" w:type="dxa"/>
            <w:tcBorders>
              <w:left w:val="single" w:sz="4" w:space="0" w:color="000000"/>
              <w:bottom w:val="single" w:sz="4" w:space="0" w:color="000000"/>
            </w:tcBorders>
          </w:tcPr>
          <w:p>
            <w:pPr>
              <w:pStyle w:val="Zawartotabeliuser"/>
              <w:ind w:hanging="0" w:left="0"/>
              <w:jc w:val="center"/>
              <w:rPr/>
            </w:pPr>
            <w:r>
              <w:rPr/>
              <w:t>61,10%</w:t>
            </w:r>
          </w:p>
        </w:tc>
        <w:tc>
          <w:tcPr>
            <w:tcW w:w="1813" w:type="dxa"/>
            <w:tcBorders>
              <w:left w:val="single" w:sz="4" w:space="0" w:color="000000"/>
              <w:bottom w:val="single" w:sz="4" w:space="0" w:color="000000"/>
            </w:tcBorders>
          </w:tcPr>
          <w:p>
            <w:pPr>
              <w:pStyle w:val="Zawartotabeliuser"/>
              <w:ind w:hanging="0" w:left="0"/>
              <w:jc w:val="center"/>
              <w:rPr/>
            </w:pPr>
            <w:r>
              <w:rPr/>
              <w:t>58,25%</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-0,90pp/-3,75pp</w:t>
            </w:r>
          </w:p>
        </w:tc>
      </w:tr>
    </w:tbl>
    <w:p>
      <w:pPr>
        <w:pStyle w:val="Normal"/>
        <w:spacing w:lineRule="auto" w:line="360" w:before="80" w:after="80"/>
        <w:ind w:firstLine="720"/>
        <w:jc w:val="both"/>
        <w:rPr/>
      </w:pPr>
      <w:r>
        <w:rPr>
          <w:rFonts w:eastAsia="Times New Roman" w:cs="Times New Roman"/>
          <w:sz w:val="24"/>
          <w:szCs w:val="24"/>
        </w:rPr>
        <w:t>Wyniki testu ujawniają zaskakującą właściwość modelu ViT: jest to jedyna architektura, której dokładność wzrosła po zastosowaniu zakłóceń. Przy szumie gaussowskim dokładność spadła z 87%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pPr>
        <w:pStyle w:val="Normal"/>
        <w:spacing w:lineRule="auto" w:line="360" w:before="80" w:after="80"/>
        <w:ind w:firstLine="720"/>
        <w:jc w:val="both"/>
        <w:rPr/>
      </w:pPr>
      <w:r>
        <w:rPr>
          <w:rFonts w:eastAsia="Times New Roman" w:cs="Times New Roman"/>
          <w:sz w:val="24"/>
          <w:szCs w:val="24"/>
        </w:rPr>
        <w:t>Modele konwolucyjne (EfficientNet, ResNet50, MobileNetV3) wykazały spadki dokładności mieszczące się w przedziale od 0,90 do 9,97 punktów procentowych. Największy spadek odnotowano dla EfficientNet przy rozmyciu (−9,97 pp), co sugeruje, że architektura ta jest w większym stopniu uzależniona od ostrości krawędzi i wysokoczęstotliwościowych szczegółów tekstury jako cech diagnostycznych. ResNet50 wykazał bardziej umiarkowaną degradację: −4,50 pp przy szumie i −8,22 pp przy rozmyciu, co plasuje go jako drugi najodporniejszy model spośród sieci konwolucyjnych.</w:t>
      </w:r>
    </w:p>
    <w:p>
      <w:pPr>
        <w:pStyle w:val="Normal"/>
        <w:spacing w:lineRule="auto" w:line="360" w:before="80" w:after="80"/>
        <w:ind w:firstLine="720"/>
        <w:jc w:val="both"/>
        <w:rPr/>
      </w:pPr>
      <w:r>
        <w:rPr>
          <w:rFonts w:eastAsia="Times New Roman" w:cs="Times New Roman"/>
          <w:sz w:val="24"/>
          <w:szCs w:val="24"/>
        </w:rPr>
        <w:t>CustomCNN prezentuje nominalnie najmniejszy bezwzględny spadek dokładności (−0,90 pp przy szumie, −3,75 pp przy rozmyciu), co może być jednak interpretowane jako efekt podłogowy: model osiągający jedynie 62% dokładności bazowej ma mniej do stracenia, a błędy generowane przez zakłócenia częściowo nakładają się na błędy już istniejące bez zakłóceń.</w:t>
      </w:r>
    </w:p>
    <w:p>
      <w:pPr>
        <w:pStyle w:val="Normal"/>
        <w:spacing w:lineRule="auto" w:line="360" w:before="80" w:after="80"/>
        <w:ind w:firstLine="720"/>
        <w:jc w:val="both"/>
        <w:rPr/>
      </w:pPr>
      <w:r>
        <w:rP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pPr>
        <w:pStyle w:val="Heading2"/>
        <w:numPr>
          <w:ilvl w:val="0"/>
          <w:numId w:val="0"/>
        </w:numPr>
        <w:ind w:hanging="0" w:left="0"/>
        <w:rPr/>
      </w:pPr>
      <w:r>
        <w:rPr/>
        <w:t>4.6 Szybkość działania modeli</w:t>
      </w:r>
    </w:p>
    <w:p>
      <w:pPr>
        <w:pStyle w:val="Normal"/>
        <w:spacing w:lineRule="auto" w:line="360" w:before="80" w:after="80"/>
        <w:ind w:firstLine="720"/>
        <w:jc w:val="both"/>
        <w:rPr/>
      </w:pPr>
      <w:r>
        <w:rPr>
          <w:rFonts w:eastAsia="Times New Roman" w:cs="Times New Roman"/>
          <w:sz w:val="24"/>
          <w:szCs w:val="24"/>
        </w:rP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pPr>
        <w:pStyle w:val="Normal"/>
        <w:spacing w:lineRule="auto" w:line="360" w:before="80" w:after="80"/>
        <w:ind w:firstLine="720"/>
        <w:jc w:val="both"/>
        <w:rPr/>
      </w:pPr>
      <w:r>
        <w:rPr>
          <w:rFonts w:eastAsia="Times New Roman" w:cs="Times New Roman"/>
          <w:sz w:val="24"/>
          <w:szCs w:val="24"/>
        </w:rP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inferencji dla danej architektury.</w:t>
      </w:r>
    </w:p>
    <w:p>
      <w:pPr>
        <w:pStyle w:val="Normal"/>
        <w:spacing w:lineRule="auto" w:line="360" w:before="80" w:after="80"/>
        <w:ind w:hanging="0" w:left="0"/>
        <w:jc w:val="both"/>
        <w:rPr/>
      </w:pPr>
      <w:r>
        <w:rPr>
          <w:rFonts w:eastAsia="Times New Roman" w:cs="Times New Roman"/>
          <w:sz w:val="24"/>
          <w:szCs w:val="24"/>
        </w:rPr>
        <w:t>Poniższe tabele prezentują wyniki pomiarów odpowiednio na CPU i GPU.</w:t>
      </w:r>
    </w:p>
    <w:p>
      <w:pPr>
        <w:pStyle w:val="Tabelauser"/>
        <w:rPr/>
      </w:pPr>
      <w:r>
        <w:rPr/>
        <w:t xml:space="preserve">Tabela </w:t>
      </w:r>
      <w:r>
        <w:rPr/>
        <w:fldChar w:fldCharType="begin"/>
      </w:r>
      <w:r>
        <w:rPr/>
        <w:instrText xml:space="preserve"> SEQ Tabela \* ARABIC </w:instrText>
      </w:r>
      <w:r>
        <w:rPr/>
        <w:fldChar w:fldCharType="separate"/>
      </w:r>
      <w:r>
        <w:rPr/>
        <w:t>4</w:t>
      </w:r>
      <w:r>
        <w:rPr/>
        <w:fldChar w:fldCharType="end"/>
      </w:r>
      <w:r>
        <w:rPr/>
        <w:t>: Tabela średniego czasu ananlizy modelów (10 próbek) CPU 12th_Gen_Intel(R)_Core(TM)_i5-1250P</w:t>
      </w:r>
    </w:p>
    <w:tbl>
      <w:tblPr>
        <w:tblW w:w="5000" w:type="pct"/>
        <w:jc w:val="left"/>
        <w:tblInd w:w="55" w:type="dxa"/>
        <w:tblLayout w:type="fixed"/>
        <w:tblCellMar>
          <w:top w:w="55" w:type="dxa"/>
          <w:left w:w="55" w:type="dxa"/>
          <w:bottom w:w="55" w:type="dxa"/>
          <w:right w:w="55" w:type="dxa"/>
        </w:tblCellMar>
      </w:tblPr>
      <w:tblGrid>
        <w:gridCol w:w="1512"/>
        <w:gridCol w:w="1509"/>
        <w:gridCol w:w="1514"/>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user"/>
              <w:ind w:hanging="0" w:left="0"/>
              <w:rPr/>
            </w:pPr>
            <w:r>
              <w:rPr/>
              <w:t>Uruchomienie</w:t>
            </w:r>
          </w:p>
        </w:tc>
        <w:tc>
          <w:tcPr>
            <w:tcW w:w="1509" w:type="dxa"/>
            <w:tcBorders>
              <w:top w:val="single" w:sz="4" w:space="0" w:color="000000"/>
              <w:left w:val="single" w:sz="4" w:space="0" w:color="000000"/>
              <w:bottom w:val="single" w:sz="4" w:space="0" w:color="000000"/>
            </w:tcBorders>
          </w:tcPr>
          <w:p>
            <w:pPr>
              <w:pStyle w:val="Zawartotabeliuser"/>
              <w:ind w:hanging="0" w:left="0"/>
              <w:rPr/>
            </w:pPr>
            <w:r>
              <w:rPr/>
              <w:t>MobileNetV3</w:t>
            </w:r>
          </w:p>
        </w:tc>
        <w:tc>
          <w:tcPr>
            <w:tcW w:w="1514" w:type="dxa"/>
            <w:tcBorders>
              <w:top w:val="single" w:sz="4" w:space="0" w:color="000000"/>
              <w:left w:val="single" w:sz="4" w:space="0" w:color="000000"/>
              <w:bottom w:val="single" w:sz="4" w:space="0" w:color="000000"/>
            </w:tcBorders>
          </w:tcPr>
          <w:p>
            <w:pPr>
              <w:pStyle w:val="Zawartotabeliuser"/>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user"/>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user"/>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EficientNet-B0</w:t>
            </w:r>
          </w:p>
        </w:tc>
      </w:tr>
      <w:tr>
        <w:trPr/>
        <w:tc>
          <w:tcPr>
            <w:tcW w:w="1512" w:type="dxa"/>
            <w:tcBorders>
              <w:left w:val="single" w:sz="4" w:space="0" w:color="000000"/>
              <w:bottom w:val="single" w:sz="4" w:space="0" w:color="000000"/>
            </w:tcBorders>
          </w:tcPr>
          <w:p>
            <w:pPr>
              <w:pStyle w:val="Zawartotabeliuser"/>
              <w:ind w:hanging="0" w:left="0"/>
              <w:rPr/>
            </w:pPr>
            <w:r>
              <w:rPr/>
              <w:t>1</w:t>
            </w:r>
          </w:p>
        </w:tc>
        <w:tc>
          <w:tcPr>
            <w:tcW w:w="1509" w:type="dxa"/>
            <w:tcBorders>
              <w:left w:val="single" w:sz="4" w:space="0" w:color="000000"/>
              <w:bottom w:val="single" w:sz="4" w:space="0" w:color="000000"/>
            </w:tcBorders>
          </w:tcPr>
          <w:p>
            <w:pPr>
              <w:pStyle w:val="BodyText"/>
              <w:spacing w:before="0" w:after="140"/>
              <w:ind w:hanging="0" w:left="0"/>
              <w:jc w:val="center"/>
              <w:rPr/>
            </w:pPr>
            <w:r>
              <w:rPr/>
              <w:t>0.0472s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user"/>
              <w:ind w:hanging="0" w:left="0"/>
              <w:rPr/>
            </w:pPr>
            <w:r>
              <w:rPr/>
              <w:t>2</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user"/>
              <w:ind w:hanging="0" w:left="0"/>
              <w:rPr/>
            </w:pPr>
            <w:r>
              <w:rPr/>
              <w:t>3</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user"/>
              <w:ind w:hanging="0" w:left="0"/>
              <w:rPr/>
            </w:pPr>
            <w:r>
              <w:rPr/>
              <w:t>4</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user"/>
              <w:ind w:hanging="0" w:left="0"/>
              <w:rPr/>
            </w:pPr>
            <w:r>
              <w:rPr/>
              <w:t>5</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user"/>
              <w:ind w:hanging="0" w:left="0"/>
              <w:rPr/>
            </w:pPr>
            <w:r>
              <w:rPr/>
              <w:t>6</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user"/>
              <w:ind w:hanging="0" w:left="0"/>
              <w:rPr/>
            </w:pPr>
            <w:r>
              <w:rPr/>
              <w:t>7</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user"/>
              <w:ind w:hanging="0" w:left="0"/>
              <w:rPr/>
            </w:pPr>
            <w:r>
              <w:rPr/>
              <w:t>8</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user"/>
              <w:ind w:hanging="0" w:left="0"/>
              <w:rPr/>
            </w:pPr>
            <w:r>
              <w:rPr/>
              <w:t>9</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user"/>
              <w:ind w:hanging="0" w:left="0"/>
              <w:rPr/>
            </w:pPr>
            <w:r>
              <w:rPr/>
              <w:t>10</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user"/>
              <w:ind w:hanging="0" w:left="0"/>
              <w:rPr/>
            </w:pPr>
            <w:r>
              <w:rPr/>
              <w:t>Średnia</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spacing w:lineRule="auto" w:line="360" w:before="80" w:after="80"/>
        <w:ind w:hanging="0" w:left="0"/>
        <w:jc w:val="both"/>
        <w:rPr/>
      </w:pPr>
      <w:r>
        <w:rPr/>
      </w:r>
    </w:p>
    <w:p>
      <w:pPr>
        <w:pStyle w:val="Normal"/>
        <w:spacing w:lineRule="auto" w:line="360" w:before="80" w:after="80"/>
        <w:ind w:firstLine="720"/>
        <w:jc w:val="both"/>
        <w:rPr/>
      </w:pPr>
      <w:r>
        <w:rPr>
          <w:rFonts w:eastAsia="Times New Roman" w:cs="Times New Roman"/>
          <w:sz w:val="24"/>
          <w:szCs w:val="24"/>
        </w:rPr>
        <w:t>Wyniki na CPU ujawniają wyraźną hierarchię szybkości. MobileNetV3 osiągnął najniższą średnią latencję wśród modeli pretrenowanych, wynoszącą 0,0284 s, co odpowiada przepustowości około 35 obrazów na sekundę. CustomCNN,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sekwencji tokenów: operacja ta ma złożoność kwadratową względem liczby patchów, przez co jest znacznie kosztowniejsza obliczeniowo niż konwolucja na równorzędnej architekturze CNN.</w:t>
      </w:r>
    </w:p>
    <w:p>
      <w:pPr>
        <w:pStyle w:val="Normal"/>
        <w:spacing w:lineRule="auto" w:line="360" w:before="80" w:after="80"/>
        <w:ind w:firstLine="720"/>
        <w:jc w:val="both"/>
        <w:rPr/>
      </w:pPr>
      <w:r>
        <w:rPr>
          <w:rFonts w:eastAsia="Times New Roman" w:cs="Times New Roman"/>
          <w:sz w:val="24"/>
          <w:szCs w:val="24"/>
        </w:rPr>
        <w:t>Warto zwrócić uwagę na pewną zmienność pomiarów między kolejnymi uruchomieniami, szczególnie widoczną przy CustomCNN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w:t>
      </w:r>
    </w:p>
    <w:p>
      <w:pPr>
        <w:pStyle w:val="Normal"/>
        <w:spacing w:before="0" w:after="120"/>
        <w:rPr/>
      </w:pPr>
      <w:r>
        <w:rPr/>
      </w:r>
    </w:p>
    <w:p>
      <w:pPr>
        <w:pStyle w:val="Normal"/>
        <w:spacing w:lineRule="auto" w:line="360" w:before="80" w:after="80"/>
        <w:ind w:hanging="0" w:left="0"/>
        <w:jc w:val="both"/>
        <w:rPr/>
      </w:pPr>
      <w:r>
        <w:rPr>
          <w:rFonts w:eastAsia="Times New Roman" w:cs="Times New Roman"/>
          <w:sz w:val="24"/>
          <w:szCs w:val="24"/>
        </w:rPr>
        <w:t>Poniżej zarezerwowano miejsce na wyniki analogicznego testu przeprowadzonego na GPU.</w:t>
      </w:r>
    </w:p>
    <w:p>
      <w:pPr>
        <w:pStyle w:val="Tabelauser"/>
        <w:rPr/>
      </w:pPr>
      <w:r>
        <w:rPr/>
        <w:t xml:space="preserve">Tabela </w:t>
      </w:r>
      <w:r>
        <w:rPr/>
        <w:fldChar w:fldCharType="begin"/>
      </w:r>
      <w:r>
        <w:rPr/>
        <w:instrText xml:space="preserve"> SEQ Tabela \* ARABIC </w:instrText>
      </w:r>
      <w:r>
        <w:rPr/>
        <w:fldChar w:fldCharType="separate"/>
      </w:r>
      <w:r>
        <w:rPr/>
        <w:t>5</w:t>
      </w:r>
      <w:r>
        <w:rPr/>
        <w:fldChar w:fldCharType="end"/>
      </w:r>
      <w:r>
        <w:rPr/>
        <w:t>: Tabela średniego czasu ananlizy modelów (10 próbek) GPU RTX 4060</w:t>
      </w:r>
    </w:p>
    <w:tbl>
      <w:tblPr>
        <w:tblW w:w="5000" w:type="pct"/>
        <w:jc w:val="left"/>
        <w:tblInd w:w="55" w:type="dxa"/>
        <w:tblLayout w:type="fixed"/>
        <w:tblCellMar>
          <w:top w:w="55" w:type="dxa"/>
          <w:left w:w="55" w:type="dxa"/>
          <w:bottom w:w="55" w:type="dxa"/>
          <w:right w:w="55" w:type="dxa"/>
        </w:tblCellMar>
      </w:tblPr>
      <w:tblGrid>
        <w:gridCol w:w="1512"/>
        <w:gridCol w:w="1509"/>
        <w:gridCol w:w="1514"/>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user"/>
              <w:ind w:hanging="0" w:left="0"/>
              <w:rPr/>
            </w:pPr>
            <w:r>
              <w:rPr/>
              <w:t>Uruchomienie</w:t>
            </w:r>
          </w:p>
        </w:tc>
        <w:tc>
          <w:tcPr>
            <w:tcW w:w="1509" w:type="dxa"/>
            <w:tcBorders>
              <w:top w:val="single" w:sz="4" w:space="0" w:color="000000"/>
              <w:left w:val="single" w:sz="4" w:space="0" w:color="000000"/>
              <w:bottom w:val="single" w:sz="4" w:space="0" w:color="000000"/>
            </w:tcBorders>
          </w:tcPr>
          <w:p>
            <w:pPr>
              <w:pStyle w:val="Zawartotabeliuser"/>
              <w:ind w:hanging="0" w:left="0"/>
              <w:rPr/>
            </w:pPr>
            <w:r>
              <w:rPr/>
              <w:t>MobileNetV3</w:t>
            </w:r>
          </w:p>
        </w:tc>
        <w:tc>
          <w:tcPr>
            <w:tcW w:w="1514" w:type="dxa"/>
            <w:tcBorders>
              <w:top w:val="single" w:sz="4" w:space="0" w:color="000000"/>
              <w:left w:val="single" w:sz="4" w:space="0" w:color="000000"/>
              <w:bottom w:val="single" w:sz="4" w:space="0" w:color="000000"/>
            </w:tcBorders>
          </w:tcPr>
          <w:p>
            <w:pPr>
              <w:pStyle w:val="Zawartotabeliuser"/>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user"/>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user"/>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EficientNet-B0</w:t>
            </w:r>
          </w:p>
        </w:tc>
      </w:tr>
      <w:tr>
        <w:trPr/>
        <w:tc>
          <w:tcPr>
            <w:tcW w:w="1512" w:type="dxa"/>
            <w:tcBorders>
              <w:left w:val="single" w:sz="4" w:space="0" w:color="000000"/>
              <w:bottom w:val="single" w:sz="4" w:space="0" w:color="000000"/>
            </w:tcBorders>
          </w:tcPr>
          <w:p>
            <w:pPr>
              <w:pStyle w:val="Zawartotabeliuser"/>
              <w:ind w:hanging="0" w:left="0"/>
              <w:rPr/>
            </w:pPr>
            <w:r>
              <w:rPr/>
              <w:t>1</w:t>
            </w:r>
          </w:p>
        </w:tc>
        <w:tc>
          <w:tcPr>
            <w:tcW w:w="1509" w:type="dxa"/>
            <w:tcBorders>
              <w:left w:val="single" w:sz="4" w:space="0" w:color="000000"/>
              <w:bottom w:val="single" w:sz="4" w:space="0" w:color="000000"/>
            </w:tcBorders>
          </w:tcPr>
          <w:p>
            <w:pPr>
              <w:pStyle w:val="BodyText"/>
              <w:spacing w:before="0" w:after="140"/>
              <w:ind w:hanging="0" w:left="0"/>
              <w:jc w:val="center"/>
              <w:rPr/>
            </w:pPr>
            <w:r>
              <w:rPr/>
              <w:t>0.0472s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user"/>
              <w:ind w:hanging="0" w:left="0"/>
              <w:rPr/>
            </w:pPr>
            <w:r>
              <w:rPr/>
              <w:t>2</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user"/>
              <w:ind w:hanging="0" w:left="0"/>
              <w:rPr/>
            </w:pPr>
            <w:r>
              <w:rPr/>
              <w:t>3</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user"/>
              <w:ind w:hanging="0" w:left="0"/>
              <w:rPr/>
            </w:pPr>
            <w:r>
              <w:rPr/>
              <w:t>4</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user"/>
              <w:ind w:hanging="0" w:left="0"/>
              <w:rPr/>
            </w:pPr>
            <w:r>
              <w:rPr/>
              <w:t>5</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user"/>
              <w:ind w:hanging="0" w:left="0"/>
              <w:rPr/>
            </w:pPr>
            <w:r>
              <w:rPr/>
              <w:t>6</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user"/>
              <w:ind w:hanging="0" w:left="0"/>
              <w:rPr/>
            </w:pPr>
            <w:r>
              <w:rPr/>
              <w:t>7</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user"/>
              <w:ind w:hanging="0" w:left="0"/>
              <w:rPr/>
            </w:pPr>
            <w:r>
              <w:rPr/>
              <w:t>8</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user"/>
              <w:ind w:hanging="0" w:left="0"/>
              <w:rPr/>
            </w:pPr>
            <w:r>
              <w:rPr/>
              <w:t>9</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user"/>
              <w:ind w:hanging="0" w:left="0"/>
              <w:rPr/>
            </w:pPr>
            <w:r>
              <w:rPr/>
              <w:t>10</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user"/>
              <w:ind w:hanging="0" w:left="0"/>
              <w:rPr/>
            </w:pPr>
            <w:r>
              <w:rPr/>
              <w:t>Średnia</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spacing w:lineRule="auto" w:line="360" w:before="80" w:after="80"/>
        <w:ind w:hanging="0" w:left="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Heading1"/>
        <w:numPr>
          <w:ilvl w:val="0"/>
          <w:numId w:val="2"/>
        </w:numPr>
        <w:ind w:hanging="851" w:left="851"/>
        <w:rPr/>
      </w:pPr>
      <w:bookmarkStart w:id="27" w:name="_Toc137420687"/>
      <w:bookmarkStart w:id="28" w:name="OLE_LINK25"/>
      <w:bookmarkStart w:id="29" w:name="OLE_LINK24"/>
      <w:bookmarkStart w:id="30" w:name="_Toc225177341"/>
      <w:r>
        <w:rPr/>
        <w:t>Podsumowanie</w:t>
      </w:r>
      <w:bookmarkEnd w:id="27"/>
      <w:bookmarkEnd w:id="28"/>
      <w:bookmarkEnd w:id="29"/>
      <w:bookmarkEnd w:id="30"/>
    </w:p>
    <w:p>
      <w:pPr>
        <w:pStyle w:val="Normal"/>
        <w:spacing w:lineRule="auto" w:line="360" w:before="80" w:after="80"/>
        <w:ind w:firstLine="720"/>
        <w:jc w:val="both"/>
        <w:rPr/>
      </w:pPr>
      <w:r>
        <w:rPr>
          <w:rFonts w:eastAsia="Times New Roman" w:cs="Times New Roman"/>
          <w:sz w:val="24"/>
          <w:szCs w:val="24"/>
        </w:rPr>
        <w:t>Celem niniejszej pracy było zaprojektowanie, implementacja i porównanie pięciu architektur głębokiego uczenia w zadaniu automatycznej klasyfikacji czternastu klas zmian skórnych, w tym chorób zakaźnych i zmian onkologicznych. Eksperymenty przeprowadzono na zbiorze danych liczącym łącznie ponad 18 000 obrazów dermatoskopowych, z podziałem na zbiory treningowy, walidacyjny i testowy. Do oceny modeli wykorzystano wielowymiarową metodykę obejmującą metryki klasyfikacyjne, macierze konfuzji, testy odporności na zakłócenia oraz pomiary latencji inferencji.</w:t>
      </w:r>
    </w:p>
    <w:p>
      <w:pPr>
        <w:pStyle w:val="Normal"/>
        <w:spacing w:lineRule="auto" w:line="360" w:before="80" w:after="80"/>
        <w:ind w:firstLine="720"/>
        <w:jc w:val="both"/>
        <w:rPr/>
      </w:pPr>
      <w:r>
        <w:rPr>
          <w:rFonts w:eastAsia="Times New Roman" w:cs="Times New Roman"/>
          <w:sz w:val="24"/>
          <w:szCs w:val="24"/>
        </w:rPr>
        <w:t>Spośród pięciu badanych architektur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Vision Transformer uplasował się na drugiej pozycji pod względem dokładności (87%) i wykazał unikalne właściwości: najwyższe i najbardziej równomierne wyniki we wszystkich klasach niezależnie od ich liczności (makro F1 = makro recall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pretrenowanych (0,0284 s), co predysponuje go do zastosowań mobilnych o rygorystycznych wymaganiach czasowych. CustomCNN, jedyna architektura trenowana bez pretrenowanych wag, uzyskała dokładność 62%, potwierdzając, że uczenie od podstaw na ograniczonym zbiorze dermatoskopowym nie pozwala uzyskać wyników porównywalnych z podejściem transferowym.</w:t>
      </w:r>
    </w:p>
    <w:p>
      <w:pPr>
        <w:pStyle w:val="Normal"/>
        <w:spacing w:before="0" w:after="12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sdt>
      <w:sdtPr>
        <w:id w:val="1813450624"/>
        <w:docPartObj>
          <w:docPartGallery w:val="Bibliographies"/>
          <w:docPartUnique w:val="true"/>
        </w:docPartObj>
      </w:sdtPr>
      <w:sdtContent>
        <w:p>
          <w:pPr>
            <w:pStyle w:val="Heading1"/>
            <w:numPr>
              <w:ilvl w:val="0"/>
              <w:numId w:val="2"/>
            </w:numPr>
            <w:ind w:hanging="851" w:left="851"/>
            <w:rPr/>
          </w:pPr>
          <w:bookmarkStart w:id="31" w:name="_Toc225177342"/>
          <w:r>
            <w:rPr/>
            <w:t>Bibliografia</w:t>
          </w:r>
          <w:bookmarkEnd w:id="31"/>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left"/>
        <w:tblInd w:w="15" w:type="dxa"/>
        <w:tblLayout w:type="fixed"/>
        <w:tblCellMar>
          <w:top w:w="15" w:type="dxa"/>
          <w:left w:w="15" w:type="dxa"/>
          <w:bottom w:w="15" w:type="dxa"/>
          <w:right w:w="15" w:type="dxa"/>
        </w:tblCellMar>
        <w:tblLook w:firstRow="1" w:noVBand="1" w:lastRow="0" w:firstColumn="1" w:lastColumn="0" w:noHBand="0" w:val="04a0"/>
      </w:tblPr>
      <w:tblGrid>
        <w:gridCol w:w="1182"/>
        <w:gridCol w:w="7890"/>
      </w:tblGrid>
      <w:tr>
        <w:trPr/>
        <w:tc>
          <w:tcPr>
            <w:tcW w:w="1182" w:type="dxa"/>
            <w:tcBorders/>
          </w:tcPr>
          <w:p>
            <w:pPr>
              <w:pStyle w:val="Bibliography"/>
              <w:rPr>
                <w:kern w:val="0"/>
                <w:szCs w:val="24"/>
                <w14:ligatures w14:val="none"/>
              </w:rPr>
            </w:pPr>
            <w:r>
              <w:rPr/>
              <w:t>[1]</w:t>
            </w:r>
          </w:p>
        </w:tc>
        <w:tc>
          <w:tcPr>
            <w:tcW w:w="7890" w:type="dxa"/>
            <w:tcBorders/>
          </w:tcPr>
          <w:p>
            <w:pPr>
              <w:pStyle w:val="Bibliography"/>
              <w:rPr>
                <w:lang w:val="en-US"/>
              </w:rPr>
            </w:pPr>
            <w:r>
              <w:rPr>
                <w:lang w:val="en-US"/>
              </w:rPr>
              <w:t>Unity Technologies, [Online]. Available: https://assetstore.unity.com/packages/3d/environments/sci-fi/canopus-iii-low-poly-sci-fi-desert-units-set-106304.</w:t>
            </w:r>
          </w:p>
        </w:tc>
      </w:tr>
      <w:tr>
        <w:trPr/>
        <w:tc>
          <w:tcPr>
            <w:tcW w:w="1182" w:type="dxa"/>
            <w:tcBorders/>
          </w:tcPr>
          <w:p>
            <w:pPr>
              <w:pStyle w:val="Bibliography"/>
              <w:rPr/>
            </w:pPr>
            <w:r>
              <w:rPr/>
              <w:t>[2]</w:t>
            </w:r>
          </w:p>
        </w:tc>
        <w:tc>
          <w:tcPr>
            <w:tcW w:w="7890"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tom 31, nr 6, p. 771–778, Grudzień 2021.</w:t>
            </w:r>
          </w:p>
        </w:tc>
      </w:tr>
      <w:tr>
        <w:trPr/>
        <w:tc>
          <w:tcPr>
            <w:tcW w:w="1182" w:type="dxa"/>
            <w:tcBorders/>
          </w:tcPr>
          <w:p>
            <w:pPr>
              <w:pStyle w:val="Bibliography"/>
              <w:rPr/>
            </w:pPr>
            <w:r>
              <w:rPr/>
              <w:t>[3]</w:t>
            </w:r>
          </w:p>
        </w:tc>
        <w:tc>
          <w:tcPr>
            <w:tcW w:w="7890"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tom 85, nr 3, p. 653–664, Październik 2021.</w:t>
            </w:r>
          </w:p>
        </w:tc>
      </w:tr>
      <w:tr>
        <w:trPr/>
        <w:tc>
          <w:tcPr>
            <w:tcW w:w="1182" w:type="dxa"/>
            <w:tcBorders/>
          </w:tcPr>
          <w:p>
            <w:pPr>
              <w:pStyle w:val="Bibliography"/>
              <w:rPr/>
            </w:pPr>
            <w:r>
              <w:rPr/>
              <w:t>[4]</w:t>
            </w:r>
          </w:p>
        </w:tc>
        <w:tc>
          <w:tcPr>
            <w:tcW w:w="7890"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tom 5, nr 1, pp. 1-9, 2018.</w:t>
            </w:r>
          </w:p>
        </w:tc>
      </w:tr>
      <w:tr>
        <w:trPr/>
        <w:tc>
          <w:tcPr>
            <w:tcW w:w="1182" w:type="dxa"/>
            <w:tcBorders/>
          </w:tcPr>
          <w:p>
            <w:pPr>
              <w:pStyle w:val="Bibliography"/>
              <w:rPr/>
            </w:pPr>
            <w:r>
              <w:rPr/>
              <w:t>[5]</w:t>
            </w:r>
          </w:p>
        </w:tc>
        <w:tc>
          <w:tcPr>
            <w:tcW w:w="7890"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tom 542, nr 7639, pp. 115-118, 2017.</w:t>
            </w:r>
          </w:p>
        </w:tc>
      </w:tr>
      <w:tr>
        <w:trPr/>
        <w:tc>
          <w:tcPr>
            <w:tcW w:w="1182" w:type="dxa"/>
            <w:tcBorders/>
          </w:tcPr>
          <w:p>
            <w:pPr>
              <w:pStyle w:val="Bibliography"/>
              <w:rPr/>
            </w:pPr>
            <w:r>
              <w:rPr/>
              <w:t>[6]</w:t>
            </w:r>
          </w:p>
        </w:tc>
        <w:tc>
          <w:tcPr>
            <w:tcW w:w="7890"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2" w:type="dxa"/>
            <w:tcBorders/>
          </w:tcPr>
          <w:p>
            <w:pPr>
              <w:pStyle w:val="Bibliography"/>
              <w:rPr/>
            </w:pPr>
            <w:r>
              <w:rPr/>
              <w:t>[7]</w:t>
            </w:r>
          </w:p>
        </w:tc>
        <w:tc>
          <w:tcPr>
            <w:tcW w:w="7890" w:type="dxa"/>
            <w:tcBorders/>
          </w:tcPr>
          <w:p>
            <w:pPr>
              <w:pStyle w:val="Bibliography"/>
              <w:rPr>
                <w:lang w:val="en-US"/>
              </w:rPr>
            </w:pPr>
            <w:r>
              <w:rPr>
                <w:lang w:val="en-US"/>
              </w:rPr>
              <w:t>K. He, X. Zhang, S. Ren i J. Sun, „Deep residual learning for image recognition,” 2016.</w:t>
            </w:r>
          </w:p>
        </w:tc>
      </w:tr>
      <w:tr>
        <w:trPr/>
        <w:tc>
          <w:tcPr>
            <w:tcW w:w="1182" w:type="dxa"/>
            <w:tcBorders/>
          </w:tcPr>
          <w:p>
            <w:pPr>
              <w:pStyle w:val="Bibliography"/>
              <w:rPr/>
            </w:pPr>
            <w:r>
              <w:rPr/>
              <w:t>[8]</w:t>
            </w:r>
          </w:p>
        </w:tc>
        <w:tc>
          <w:tcPr>
            <w:tcW w:w="7890"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2019.</w:t>
            </w:r>
          </w:p>
        </w:tc>
      </w:tr>
      <w:tr>
        <w:trPr/>
        <w:tc>
          <w:tcPr>
            <w:tcW w:w="1182" w:type="dxa"/>
            <w:tcBorders/>
          </w:tcPr>
          <w:p>
            <w:pPr>
              <w:pStyle w:val="Bibliography"/>
              <w:rPr/>
            </w:pPr>
            <w:r>
              <w:rPr/>
              <w:t>[9]</w:t>
            </w:r>
          </w:p>
        </w:tc>
        <w:tc>
          <w:tcPr>
            <w:tcW w:w="7890"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2019.</w:t>
            </w:r>
          </w:p>
        </w:tc>
      </w:tr>
      <w:tr>
        <w:trPr/>
        <w:tc>
          <w:tcPr>
            <w:tcW w:w="1182" w:type="dxa"/>
            <w:tcBorders/>
          </w:tcPr>
          <w:p>
            <w:pPr>
              <w:pStyle w:val="Bibliography"/>
              <w:rPr/>
            </w:pPr>
            <w:r>
              <w:rPr/>
              <w:t>[10]</w:t>
            </w:r>
          </w:p>
        </w:tc>
        <w:tc>
          <w:tcPr>
            <w:tcW w:w="7890"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2017.</w:t>
            </w:r>
          </w:p>
        </w:tc>
      </w:tr>
      <w:tr>
        <w:trPr/>
        <w:tc>
          <w:tcPr>
            <w:tcW w:w="1182" w:type="dxa"/>
            <w:tcBorders/>
          </w:tcPr>
          <w:p>
            <w:pPr>
              <w:pStyle w:val="Bibliography"/>
              <w:rPr/>
            </w:pPr>
            <w:r>
              <w:rPr/>
              <w:t>[11]</w:t>
            </w:r>
          </w:p>
        </w:tc>
        <w:tc>
          <w:tcPr>
            <w:tcW w:w="7890"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2" w:type="dxa"/>
            <w:tcBorders/>
          </w:tcPr>
          <w:p>
            <w:pPr>
              <w:pStyle w:val="Bibliography"/>
              <w:rPr/>
            </w:pPr>
            <w:r>
              <w:rPr/>
              <w:t>[12]</w:t>
            </w:r>
          </w:p>
        </w:tc>
        <w:tc>
          <w:tcPr>
            <w:tcW w:w="7890"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tom 521, nr 7553, pp. 436-444, 2015.</w:t>
            </w:r>
          </w:p>
        </w:tc>
      </w:tr>
      <w:tr>
        <w:trPr/>
        <w:tc>
          <w:tcPr>
            <w:tcW w:w="1182" w:type="dxa"/>
            <w:tcBorders/>
          </w:tcPr>
          <w:p>
            <w:pPr>
              <w:pStyle w:val="Bibliography"/>
              <w:rPr/>
            </w:pPr>
            <w:r>
              <w:rPr/>
              <w:t>[13]</w:t>
            </w:r>
          </w:p>
        </w:tc>
        <w:tc>
          <w:tcPr>
            <w:tcW w:w="7890"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tom 6, nr 1, pp. 1-48, 2019.</w:t>
            </w:r>
            <w:r>
              <w:rPr>
                <w:lang w:val="en-US"/>
              </w:rPr>
              <w:fldChar w:fldCharType="end"/>
            </w:r>
          </w:p>
        </w:tc>
      </w:tr>
    </w:tbl>
    <w:p>
      <w:pPr>
        <w:pStyle w:val="Normal"/>
        <w:rPr>
          <w:rFonts w:eastAsia="Times New Roman"/>
          <w:lang w:val="en-US"/>
        </w:rPr>
      </w:pPr>
      <w:r>
        <w:rPr>
          <w:rFonts w:eastAsia="Times New Roman"/>
          <w:lang w:val="en-US"/>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left="851"/>
        <w:rPr/>
      </w:pPr>
      <w:bookmarkStart w:id="32" w:name="OLE_LINK34"/>
      <w:bookmarkStart w:id="33" w:name="OLE_LINK35"/>
      <w:bookmarkStart w:id="34" w:name="_Toc137420689"/>
      <w:bookmarkStart w:id="35" w:name="_Toc225177343"/>
      <w:r>
        <w:rPr/>
        <w:t>Spis rysunków</w:t>
      </w:r>
      <w:bookmarkStart w:id="36" w:name="_Toc471993124"/>
      <w:bookmarkEnd w:id="32"/>
      <w:bookmarkEnd w:id="33"/>
      <w:bookmarkEnd w:id="34"/>
      <w:bookmarkEnd w:id="35"/>
      <w:bookmarkEnd w:id="36"/>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"Rysunek" \h </w:instrText>
      </w:r>
      <w:r>
        <w:rPr>
          <w:rStyle w:val="czeindeksu"/>
        </w:rPr>
        <w:fldChar w:fldCharType="separate"/>
      </w:r>
      <w:hyperlink w:anchor="_Toc184814637">
        <w:r>
          <w:rPr>
            <w:rStyle w:val="czeindeksu"/>
          </w:rPr>
          <w:t>Rysunek 1 Wartość światowego rynku gier [1]</w:t>
        </w:r>
        <w:r>
          <w:rPr>
            <w:webHidden/>
          </w:rPr>
          <w:fldChar w:fldCharType="begin"/>
        </w:r>
        <w:r>
          <w:rPr>
            <w:webHidden/>
          </w:rPr>
          <w:instrText xml:space="preserve">PAGEREF _Toc184814637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8">
        <w:r>
          <w:rPr>
            <w:rStyle w:val="czeindeksu"/>
          </w:rPr>
          <w:t>Rysunek 2 Top 5 gatunków gier w 2023 [2]</w:t>
        </w:r>
        <w:r>
          <w:rPr>
            <w:webHidden/>
          </w:rPr>
          <w:fldChar w:fldCharType="begin"/>
        </w:r>
        <w:r>
          <w:rPr>
            <w:webHidden/>
          </w:rPr>
          <w:instrText xml:space="preserve">PAGEREF _Toc184814638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9">
        <w:r>
          <w:rPr>
            <w:rStyle w:val="czeindeksu"/>
          </w:rPr>
          <w:t>Rysunek 3 Liczba pobrań gier strategicznych z prognozą na najbliższe lata. [3]</w:t>
        </w:r>
        <w:r>
          <w:rPr>
            <w:webHidden/>
          </w:rPr>
          <w:fldChar w:fldCharType="begin"/>
        </w:r>
        <w:r>
          <w:rPr>
            <w:webHidden/>
          </w:rPr>
          <w:instrText xml:space="preserve">PAGEREF _Toc184814639 \h</w:instrText>
        </w:r>
        <w:r>
          <w:rPr>
            <w:webHidden/>
          </w:rPr>
          <w:fldChar w:fldCharType="separate"/>
        </w:r>
        <w:r>
          <w:rPr>
            <w:rStyle w:val="czeindeksu"/>
            <w:vanish w:val="false"/>
          </w:rPr>
          <w:tab/>
          <w:t>9</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0">
        <w:r>
          <w:rPr>
            <w:rStyle w:val="czeindeksu"/>
            <w:lang w:val="en-US"/>
          </w:rPr>
          <w:t>Rysunek 4 Age of Empires IV: Anniversary Edition</w:t>
        </w:r>
        <w:r>
          <w:rPr>
            <w:webHidden/>
          </w:rPr>
          <w:fldChar w:fldCharType="begin"/>
        </w:r>
        <w:r>
          <w:rPr>
            <w:webHidden/>
          </w:rPr>
          <w:instrText xml:space="preserve">PAGEREF _Toc184814640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1">
        <w:r>
          <w:rPr>
            <w:rStyle w:val="czeindeksu"/>
            <w:lang w:val="en-US"/>
          </w:rPr>
          <w:t>Rysunek 5 StarCraft II: Wings of Liberty</w:t>
        </w:r>
        <w:r>
          <w:rPr>
            <w:webHidden/>
          </w:rPr>
          <w:fldChar w:fldCharType="begin"/>
        </w:r>
        <w:r>
          <w:rPr>
            <w:webHidden/>
          </w:rPr>
          <w:instrText xml:space="preserve">PAGEREF _Toc184814641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2">
        <w:r>
          <w:rPr>
            <w:rStyle w:val="czeindeksu"/>
          </w:rPr>
          <w:t>Rysunek 6 Twierdza legenda</w:t>
        </w:r>
        <w:r>
          <w:rPr>
            <w:webHidden/>
          </w:rPr>
          <w:fldChar w:fldCharType="begin"/>
        </w:r>
        <w:r>
          <w:rPr>
            <w:webHidden/>
          </w:rPr>
          <w:instrText xml:space="preserve">PAGEREF _Toc184814642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3">
        <w:r>
          <w:rPr>
            <w:rStyle w:val="czeindeksu"/>
          </w:rPr>
          <w:t>Rysunek 7 Popularność silników do gier lata 2023/2024 [5]</w:t>
        </w:r>
        <w:r>
          <w:rPr>
            <w:webHidden/>
          </w:rPr>
          <w:fldChar w:fldCharType="begin"/>
        </w:r>
        <w:r>
          <w:rPr>
            <w:webHidden/>
          </w:rPr>
          <w:instrText xml:space="preserve">PAGEREF _Toc184814643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4">
        <w:r>
          <w:rPr>
            <w:rStyle w:val="czeindeksu"/>
          </w:rPr>
          <w:t>Rysunek 8 Graf współpracy elementów w grze.</w:t>
        </w:r>
        <w:r>
          <w:rPr>
            <w:webHidden/>
          </w:rPr>
          <w:fldChar w:fldCharType="begin"/>
        </w:r>
        <w:r>
          <w:rPr>
            <w:webHidden/>
          </w:rPr>
          <w:instrText xml:space="preserve">PAGEREF _Toc184814644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5">
        <w:r>
          <w:rPr>
            <w:rStyle w:val="czeindeksu"/>
          </w:rPr>
          <w:t>Rysunek 9 Główne menu</w:t>
        </w:r>
        <w:r>
          <w:rPr>
            <w:webHidden/>
          </w:rPr>
          <w:fldChar w:fldCharType="begin"/>
        </w:r>
        <w:r>
          <w:rPr>
            <w:webHidden/>
          </w:rPr>
          <w:instrText xml:space="preserve">PAGEREF _Toc184814645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6">
        <w:r>
          <w:rPr>
            <w:rStyle w:val="czeindeksu"/>
          </w:rPr>
          <w:t>Rysunek 10 Dostępne jednostki (Bohater, czołgi i drony).</w:t>
        </w:r>
        <w:r>
          <w:rPr>
            <w:webHidden/>
          </w:rPr>
          <w:fldChar w:fldCharType="begin"/>
        </w:r>
        <w:r>
          <w:rPr>
            <w:webHidden/>
          </w:rPr>
          <w:instrText xml:space="preserve">PAGEREF _Toc184814646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7">
        <w:r>
          <w:rPr>
            <w:rStyle w:val="czeindeksu"/>
          </w:rPr>
          <w:t>Rysunek 11 Zaznaczanie jednostek.</w:t>
        </w:r>
        <w:r>
          <w:rPr>
            <w:webHidden/>
          </w:rPr>
          <w:fldChar w:fldCharType="begin"/>
        </w:r>
        <w:r>
          <w:rPr>
            <w:webHidden/>
          </w:rPr>
          <w:instrText xml:space="preserve">PAGEREF _Toc184814647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8">
        <w:r>
          <w:rPr>
            <w:rStyle w:val="czeindeksu"/>
          </w:rPr>
          <w:t>Rysunek 12 Konstrukcja budynku.</w:t>
        </w:r>
        <w:r>
          <w:rPr>
            <w:webHidden/>
          </w:rPr>
          <w:fldChar w:fldCharType="begin"/>
        </w:r>
        <w:r>
          <w:rPr>
            <w:webHidden/>
          </w:rPr>
          <w:instrText xml:space="preserve">PAGEREF _Toc184814648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9">
        <w:r>
          <w:rPr>
            <w:rStyle w:val="czeindeksu"/>
          </w:rPr>
          <w:t>Rysunek 13 Wygląd panelu wyboru jednostek do stworzenia.</w:t>
        </w:r>
        <w:r>
          <w:rPr>
            <w:webHidden/>
          </w:rPr>
          <w:fldChar w:fldCharType="begin"/>
        </w:r>
        <w:r>
          <w:rPr>
            <w:webHidden/>
          </w:rPr>
          <w:instrText xml:space="preserve">PAGEREF _Toc184814649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0">
        <w:r>
          <w:rPr>
            <w:rStyle w:val="czeindeksu"/>
          </w:rPr>
          <w:t>Rysunek 14 Wygląd panelu wyboru budynku.</w:t>
        </w:r>
        <w:r>
          <w:rPr>
            <w:webHidden/>
          </w:rPr>
          <w:fldChar w:fldCharType="begin"/>
        </w:r>
        <w:r>
          <w:rPr>
            <w:webHidden/>
          </w:rPr>
          <w:instrText xml:space="preserve">PAGEREF _Toc184814650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1">
        <w:r>
          <w:rPr>
            <w:rStyle w:val="czeindeksu"/>
          </w:rPr>
          <w:t>Rysunek 15 Budynki od lewej budynek produkujący energię, masę, budynek tworzący czołgi, zwykła wieżyczka, wieżyczka z rakietami i pole obronne.</w:t>
        </w:r>
        <w:r>
          <w:rPr>
            <w:webHidden/>
          </w:rPr>
          <w:fldChar w:fldCharType="begin"/>
        </w:r>
        <w:r>
          <w:rPr>
            <w:webHidden/>
          </w:rPr>
          <w:instrText xml:space="preserve">PAGEREF _Toc184814651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2">
        <w:r>
          <w:rPr>
            <w:rStyle w:val="czeindeksu"/>
          </w:rPr>
          <w:t>Rysunek 16 Drzewko rozwoju.</w:t>
        </w:r>
        <w:r>
          <w:rPr>
            <w:webHidden/>
          </w:rPr>
          <w:fldChar w:fldCharType="begin"/>
        </w:r>
        <w:r>
          <w:rPr>
            <w:webHidden/>
          </w:rPr>
          <w:instrText xml:space="preserve">PAGEREF _Toc184814652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3">
        <w:r>
          <w:rPr>
            <w:rStyle w:val="czeindeksu"/>
          </w:rPr>
          <w:t>Rysunek 17 Pocisk, rysunek pokazuje widok obu graczy.</w:t>
        </w:r>
        <w:r>
          <w:rPr>
            <w:webHidden/>
          </w:rPr>
          <w:fldChar w:fldCharType="begin"/>
        </w:r>
        <w:r>
          <w:rPr>
            <w:webHidden/>
          </w:rPr>
          <w:instrText xml:space="preserve">PAGEREF _Toc184814653 \h</w:instrText>
        </w:r>
        <w:r>
          <w:rPr>
            <w:webHidden/>
          </w:rPr>
          <w:fldChar w:fldCharType="separate"/>
        </w:r>
        <w:r>
          <w:rPr>
            <w:rStyle w:val="czeindeksu"/>
            <w:vanish w:val="false"/>
          </w:rPr>
          <w:tab/>
          <w:t>38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4">
        <w:r>
          <w:rPr>
            <w:rStyle w:val="czeindeksu"/>
          </w:rPr>
          <w:t>Rysunek 18 Wynik profilera (Zużycie procesora)</w:t>
        </w:r>
        <w:r>
          <w:rPr>
            <w:webHidden/>
          </w:rPr>
          <w:fldChar w:fldCharType="begin"/>
        </w:r>
        <w:r>
          <w:rPr>
            <w:webHidden/>
          </w:rPr>
          <w:instrText xml:space="preserve">PAGEREF _Toc184814654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5">
        <w:r>
          <w:rPr>
            <w:rStyle w:val="czeindeksu"/>
          </w:rPr>
          <w:t>Rysunek 19 Zużycie RAMU przy 62 jednostkach</w:t>
        </w:r>
        <w:r>
          <w:rPr>
            <w:webHidden/>
          </w:rPr>
          <w:fldChar w:fldCharType="begin"/>
        </w:r>
        <w:r>
          <w:rPr>
            <w:webHidden/>
          </w:rPr>
          <w:instrText xml:space="preserve">PAGEREF _Toc184814655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6">
        <w:r>
          <w:rPr>
            <w:rStyle w:val="czeindeksu"/>
          </w:rPr>
          <w:t>Rysunek 20 Zużycie sieciowe przy 62 jednostkach</w:t>
        </w:r>
        <w:r>
          <w:rPr>
            <w:webHidden/>
          </w:rPr>
          <w:fldChar w:fldCharType="begin"/>
        </w:r>
        <w:r>
          <w:rPr>
            <w:webHidden/>
          </w:rPr>
          <w:instrText xml:space="preserve">PAGEREF _Toc184814656 \h</w:instrText>
        </w:r>
        <w:r>
          <w:rPr>
            <w:webHidden/>
          </w:rPr>
          <w:fldChar w:fldCharType="separate"/>
        </w:r>
        <w:r>
          <w:rPr>
            <w:rStyle w:val="czeindeksu"/>
            <w:vanish w:val="false"/>
          </w:rPr>
          <w:tab/>
          <w:t>43</w:t>
        </w:r>
        <w:r>
          <w:rPr>
            <w:webHidden/>
          </w:rPr>
          <w:fldChar w:fldCharType="end"/>
        </w:r>
      </w:hyperlink>
      <w:r>
        <w:rPr>
          <w:rStyle w:val="czeindeksu"/>
          <w:vanish w:val="false"/>
        </w:rPr>
        <w:fldChar w:fldCharType="end"/>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Heading1"/>
        <w:numPr>
          <w:ilvl w:val="0"/>
          <w:numId w:val="2"/>
        </w:numPr>
        <w:ind w:hanging="851" w:left="851"/>
        <w:rPr/>
      </w:pPr>
      <w:bookmarkStart w:id="37" w:name="_Toc137420690"/>
      <w:bookmarkStart w:id="38" w:name="_Toc225177344"/>
      <w:r>
        <w:rPr/>
        <w:t>Spis tabel</w:t>
      </w:r>
      <w:bookmarkEnd w:id="37"/>
      <w:bookmarkEnd w:id="38"/>
    </w:p>
    <w:p>
      <w:pPr>
        <w:pStyle w:val="TableofFigures"/>
        <w:tabs>
          <w:tab w:val="clear" w:pos="708"/>
          <w:tab w:val="right" w:pos="9062" w:leader="dot"/>
        </w:tabs>
        <w:spacing w:before="0" w:after="0"/>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183803078">
        <w:r>
          <w:rPr>
            <w:rStyle w:val="czeindeksu"/>
          </w:rPr>
          <w:t>Tabela 1 Skróty klawiszowe</w:t>
        </w:r>
        <w:r>
          <w:rPr>
            <w:webHidden/>
          </w:rPr>
          <w:fldChar w:fldCharType="begin"/>
        </w:r>
        <w:r>
          <w:rPr>
            <w:webHidden/>
          </w:rPr>
          <w:instrText xml:space="preserve">PAGEREF _Toc183803078 \h</w:instrText>
        </w:r>
        <w:r>
          <w:rPr>
            <w:webHidden/>
          </w:rPr>
          <w:fldChar w:fldCharType="separate"/>
        </w:r>
        <w:r>
          <w:rPr>
            <w:rStyle w:val="czeindeksu"/>
            <w:vanish w:val="false"/>
          </w:rPr>
          <w:tab/>
          <w:t>40</w:t>
        </w:r>
        <w:r>
          <w:rPr>
            <w:webHidden/>
          </w:rPr>
          <w:fldChar w:fldCharType="end"/>
        </w:r>
      </w:hyperlink>
      <w:r>
        <w:rPr>
          <w:rStyle w:val="czeindeksu"/>
          <w:vanish w:val="false"/>
        </w:rPr>
        <w:fldChar w:fldCharType="end"/>
      </w:r>
    </w:p>
    <w:p>
      <w:pPr>
        <w:sectPr>
          <w:footerReference w:type="even" r:id="rId62"/>
          <w:footerReference w:type="default" r:id="rId63"/>
          <w:footerReference w:type="first" r:id="rId64"/>
          <w:type w:val="nextPage"/>
          <w:pgSz w:w="11906" w:h="16838"/>
          <w:pgMar w:left="1417" w:right="1417" w:gutter="0" w:header="0" w:top="1417" w:footer="708" w:bottom="1417"/>
          <w:pgNumType w:start="1" w:fmt="decimal"/>
          <w:formProt w:val="false"/>
          <w:titlePg/>
          <w:textDirection w:val="lrTb"/>
          <w:docGrid w:type="default" w:linePitch="360" w:charSpace="0"/>
        </w:sectPr>
      </w:pPr>
    </w:p>
    <w:p>
      <w:pPr>
        <w:pStyle w:val="Normal"/>
        <w:spacing w:lineRule="auto" w:line="259" w:before="0" w:after="160"/>
        <w:ind w:hanging="0"/>
        <w:jc w:val="left"/>
        <w:rPr/>
      </w:pPr>
      <w:r>
        <w:rPr/>
      </w:r>
    </w:p>
    <w:sectPr>
      <w:footerReference w:type="even" r:id="rId65"/>
      <w:footerReference w:type="default" r:id="rId66"/>
      <w:footerReference w:type="first" r:id="rId6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Times New Roman">
    <w:charset w:val="ee"/>
    <w:family w:val="roman"/>
    <w:pitch w:val="variable"/>
  </w:font>
  <w:font w:name="Tahoma">
    <w:charset w:val="ee"/>
    <w:family w:val="swiss"/>
    <w:pitch w:val="variable"/>
  </w:font>
  <w:font w:name="Courier New">
    <w:charset w:val="ee"/>
    <w:family w:val="roman"/>
    <w:pitch w:val="variable"/>
  </w:font>
  <w:font w:name="Liberation Mono">
    <w:altName w:val="Courier New"/>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 w:name="Calibri Light">
    <w:charset w:val="ee"/>
    <w:family w:val="roman"/>
    <w:pitch w:val="variable"/>
  </w:font>
  <w:font w:name="Cambria Math">
    <w:charset w:val="ee"/>
    <w:family w:val="roman"/>
    <w:pitch w:val="variable"/>
  </w:font>
  <w:font w:name="Consolas">
    <w:altName w:val="Courier New"/>
    <w:charset w:val="ee"/>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83</w:t>
        </w:r>
        <w:r>
          <w:rPr/>
          <w:fldChar w:fldCharType="end"/>
        </w:r>
      </w:p>
      <w:p>
        <w:pPr>
          <w:pStyle w:val="Heading3"/>
          <w:numPr>
            <w:ilvl w:val="0"/>
            <w:numId w:val="0"/>
          </w:numPr>
          <w:ind w:hanging="0" w:left="720"/>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84</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84</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0"/>
        </w:tabs>
        <w:ind w:left="1429" w:hanging="360"/>
      </w:pPr>
      <w:rPr/>
    </w:lvl>
    <w:lvl w:ilvl="1">
      <w:start w:val="1"/>
      <w:numFmt w:val="decimal"/>
      <w:isLgl/>
      <w:lvlText w:val="%2."/>
      <w:lvlJc w:val="left"/>
      <w:pPr>
        <w:tabs>
          <w:tab w:val="num" w:pos="0"/>
        </w:tabs>
        <w:ind w:left="1459" w:hanging="390"/>
      </w:pPr>
      <w:rPr>
        <w:rFonts w:ascii="Times New Roman" w:hAnsi="Times New Roman" w:eastAsia="Calibri" w:cs="" w:cstheme="minorBidi" w:eastAsiaTheme="minorHAnsi"/>
      </w:rPr>
    </w:lvl>
    <w:lvl w:ilvl="2">
      <w:start w:val="1"/>
      <w:numFmt w:val="decimal"/>
      <w:isLgl/>
      <w:lvlText w:val="%1.%2.%3"/>
      <w:lvlJc w:val="left"/>
      <w:pPr>
        <w:tabs>
          <w:tab w:val="num" w:pos="0"/>
        </w:tabs>
        <w:ind w:left="1789" w:hanging="720"/>
      </w:pPr>
      <w:rPr/>
    </w:lvl>
    <w:lvl w:ilvl="3">
      <w:start w:val="1"/>
      <w:numFmt w:val="decimal"/>
      <w:isLgl/>
      <w:lvlText w:val="%1.%2.%3.%4"/>
      <w:lvlJc w:val="left"/>
      <w:pPr>
        <w:tabs>
          <w:tab w:val="num" w:pos="0"/>
        </w:tabs>
        <w:ind w:left="1789" w:hanging="720"/>
      </w:pPr>
      <w:rPr/>
    </w:lvl>
    <w:lvl w:ilvl="4">
      <w:start w:val="1"/>
      <w:numFmt w:val="decimal"/>
      <w:isLgl/>
      <w:lvlText w:val="%1.%2.%3.%4.%5"/>
      <w:lvlJc w:val="left"/>
      <w:pPr>
        <w:tabs>
          <w:tab w:val="num" w:pos="0"/>
        </w:tabs>
        <w:ind w:left="2149" w:hanging="1080"/>
      </w:pPr>
      <w:rPr/>
    </w:lvl>
    <w:lvl w:ilvl="5">
      <w:start w:val="1"/>
      <w:numFmt w:val="decimal"/>
      <w:isLgl/>
      <w:lvlText w:val="%1.%2.%3.%4.%5.%6"/>
      <w:lvlJc w:val="left"/>
      <w:pPr>
        <w:tabs>
          <w:tab w:val="num" w:pos="0"/>
        </w:tabs>
        <w:ind w:left="2149" w:hanging="1080"/>
      </w:pPr>
      <w:rPr/>
    </w:lvl>
    <w:lvl w:ilvl="6">
      <w:start w:val="1"/>
      <w:numFmt w:val="decimal"/>
      <w:isLgl/>
      <w:lvlText w:val="%1.%2.%3.%4.%5.%6.%7"/>
      <w:lvlJc w:val="left"/>
      <w:pPr>
        <w:tabs>
          <w:tab w:val="num" w:pos="0"/>
        </w:tabs>
        <w:ind w:left="2509" w:hanging="1440"/>
      </w:pPr>
      <w:rPr/>
    </w:lvl>
    <w:lvl w:ilvl="7">
      <w:start w:val="1"/>
      <w:numFmt w:val="decimal"/>
      <w:isLgl/>
      <w:lvlText w:val="%1.%2.%3.%4.%5.%6.%7.%8"/>
      <w:lvlJc w:val="left"/>
      <w:pPr>
        <w:tabs>
          <w:tab w:val="num" w:pos="0"/>
        </w:tabs>
        <w:ind w:left="2509" w:hanging="1440"/>
      </w:pPr>
      <w:rPr/>
    </w:lvl>
    <w:lvl w:ilvl="8">
      <w:start w:val="1"/>
      <w:numFmt w:val="decimal"/>
      <w:isLgl/>
      <w:lvlText w:val="%1.%2.%3.%4.%5.%6.%7.%8.%9"/>
      <w:lvlJc w:val="left"/>
      <w:pPr>
        <w:tabs>
          <w:tab w:val="num" w:pos="0"/>
        </w:tabs>
        <w:ind w:left="2869" w:hanging="1800"/>
      </w:pPr>
      <w:rPr/>
    </w:lvl>
  </w:abstractNum>
  <w:abstractNum w:abstractNumId="3">
    <w:lvl w:ilvl="0">
      <w:start w:val="2"/>
      <w:numFmt w:val="decimal"/>
      <w:lvlText w:val="%1."/>
      <w:lvlJc w:val="left"/>
      <w:pPr>
        <w:tabs>
          <w:tab w:val="num" w:pos="0"/>
        </w:tabs>
        <w:ind w:left="540" w:hanging="540"/>
      </w:pPr>
      <w:rPr/>
    </w:lvl>
    <w:lvl w:ilvl="1">
      <w:start w:val="1"/>
      <w:numFmt w:val="decimal"/>
      <w:lvlText w:val="%1.%2."/>
      <w:lvlJc w:val="left"/>
      <w:pPr>
        <w:tabs>
          <w:tab w:val="num" w:pos="0"/>
        </w:tabs>
        <w:ind w:left="1571" w:hanging="720"/>
      </w:pPr>
      <w:rPr/>
    </w:lvl>
    <w:lvl w:ilvl="2">
      <w:start w:val="1"/>
      <w:numFmt w:val="decimal"/>
      <w:lvlText w:val="%1.%2.%3."/>
      <w:lvlJc w:val="left"/>
      <w:pPr>
        <w:tabs>
          <w:tab w:val="num" w:pos="0"/>
        </w:tabs>
        <w:ind w:left="1222" w:hanging="108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4">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1"/>
      <w:numFmt w:val="lowerRoman"/>
      <w:lvlText w:val="%3."/>
      <w:lvlJc w:val="right"/>
      <w:pPr>
        <w:tabs>
          <w:tab w:val="num" w:pos="0"/>
        </w:tabs>
        <w:ind w:left="2727" w:hanging="180"/>
      </w:pPr>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5">
    <w:lvl w:ilvl="0">
      <w:start w:val="1"/>
      <w:numFmt w:val="decimal"/>
      <w:lvlText w:val="%1."/>
      <w:lvlJc w:val="left"/>
      <w:pPr>
        <w:tabs>
          <w:tab w:val="num" w:pos="0"/>
        </w:tabs>
        <w:ind w:left="720" w:hanging="360"/>
      </w:pPr>
      <w:rPr/>
    </w:lvl>
    <w:lvl w:ilvl="1">
      <w:start w:val="1"/>
      <w:numFmt w:val="decimal"/>
      <w:isLgl/>
      <w:lvlText w:val="%1.%2"/>
      <w:lvlJc w:val="left"/>
      <w:pPr>
        <w:tabs>
          <w:tab w:val="num" w:pos="0"/>
        </w:tabs>
        <w:ind w:left="1080" w:hanging="720"/>
      </w:pPr>
      <w:rPr/>
    </w:lvl>
    <w:lvl w:ilvl="2">
      <w:start w:val="1"/>
      <w:numFmt w:val="decimal"/>
      <w:isLgl/>
      <w:lvlText w:val="%1.%2.%3"/>
      <w:lvlJc w:val="left"/>
      <w:pPr>
        <w:tabs>
          <w:tab w:val="num" w:pos="0"/>
        </w:tabs>
        <w:ind w:left="1080" w:hanging="720"/>
      </w:pPr>
      <w:rPr/>
    </w:lvl>
    <w:lvl w:ilvl="3">
      <w:start w:val="1"/>
      <w:numFmt w:val="decimal"/>
      <w:isLgl/>
      <w:lvlText w:val="%1.%2.%3.%4"/>
      <w:lvlJc w:val="left"/>
      <w:pPr>
        <w:tabs>
          <w:tab w:val="num" w:pos="0"/>
        </w:tabs>
        <w:ind w:left="1440" w:hanging="1080"/>
      </w:pPr>
      <w:rPr/>
    </w:lvl>
    <w:lvl w:ilvl="4">
      <w:start w:val="1"/>
      <w:numFmt w:val="decimal"/>
      <w:isLgl/>
      <w:lvlText w:val="%1.%2.%3.%4.%5"/>
      <w:lvlJc w:val="left"/>
      <w:pPr>
        <w:tabs>
          <w:tab w:val="num" w:pos="0"/>
        </w:tabs>
        <w:ind w:left="1800" w:hanging="1440"/>
      </w:pPr>
      <w:rPr/>
    </w:lvl>
    <w:lvl w:ilvl="5">
      <w:start w:val="1"/>
      <w:numFmt w:val="decimal"/>
      <w:isLgl/>
      <w:lvlText w:val="%1.%2.%3.%4.%5.%6"/>
      <w:lvlJc w:val="left"/>
      <w:pPr>
        <w:tabs>
          <w:tab w:val="num" w:pos="0"/>
        </w:tabs>
        <w:ind w:left="1800" w:hanging="1440"/>
      </w:pPr>
      <w:rPr/>
    </w:lvl>
    <w:lvl w:ilvl="6">
      <w:start w:val="1"/>
      <w:numFmt w:val="decimal"/>
      <w:isLgl/>
      <w:lvlText w:val="%1.%2.%3.%4.%5.%6.%7"/>
      <w:lvlJc w:val="left"/>
      <w:pPr>
        <w:tabs>
          <w:tab w:val="num" w:pos="0"/>
        </w:tabs>
        <w:ind w:left="2160" w:hanging="1800"/>
      </w:pPr>
      <w:rPr/>
    </w:lvl>
    <w:lvl w:ilvl="7">
      <w:start w:val="1"/>
      <w:numFmt w:val="decimal"/>
      <w:isLgl/>
      <w:lvlText w:val="%1.%2.%3.%4.%5.%6.%7.%8"/>
      <w:lvlJc w:val="left"/>
      <w:pPr>
        <w:tabs>
          <w:tab w:val="num" w:pos="0"/>
        </w:tabs>
        <w:ind w:left="2520" w:hanging="2160"/>
      </w:pPr>
      <w:rPr/>
    </w:lvl>
    <w:lvl w:ilvl="8">
      <w:start w:val="1"/>
      <w:numFmt w:val="decimal"/>
      <w:isLgl/>
      <w:lvlText w:val="%1.%2.%3.%4.%5.%6.%7.%8.%9"/>
      <w:lvlJc w:val="left"/>
      <w:pPr>
        <w:tabs>
          <w:tab w:val="num" w:pos="0"/>
        </w:tabs>
        <w:ind w:left="2520" w:hanging="2160"/>
      </w:pPr>
      <w:rPr/>
    </w:lvl>
  </w:abstractNum>
  <w:abstractNum w:abstractNumId="6">
    <w:lvl w:ilvl="0">
      <w:start w:val="1"/>
      <w:numFmt w:val="decimal"/>
      <w:lvlText w:val="%1."/>
      <w:lvlJc w:val="left"/>
      <w:pPr>
        <w:tabs>
          <w:tab w:val="num" w:pos="0"/>
        </w:tabs>
        <w:ind w:left="360" w:hanging="360"/>
      </w:pPr>
      <w:rPr>
        <w:sz w:val="36"/>
      </w:rPr>
    </w:lvl>
    <w:lvl w:ilvl="1">
      <w:start w:val="1"/>
      <w:numFmt w:val="decimal"/>
      <w:lvlText w:val="%1.%2."/>
      <w:lvlJc w:val="left"/>
      <w:pPr>
        <w:tabs>
          <w:tab w:val="num" w:pos="0"/>
        </w:tabs>
        <w:ind w:left="1069" w:hanging="360"/>
      </w:pPr>
      <w:rPr>
        <w:sz w:val="32"/>
        <w:szCs w:val="32"/>
      </w:rPr>
    </w:lvl>
    <w:lvl w:ilvl="2">
      <w:start w:val="1"/>
      <w:numFmt w:val="decimal"/>
      <w:lvlText w:val="%1.%2.%3."/>
      <w:lvlJc w:val="left"/>
      <w:pPr>
        <w:tabs>
          <w:tab w:val="num" w:pos="0"/>
        </w:tabs>
        <w:ind w:left="2138" w:hanging="720"/>
      </w:pPr>
      <w:rPr>
        <w:sz w:val="28"/>
        <w:szCs w:val="28"/>
      </w:rPr>
    </w:lvl>
    <w:lvl w:ilvl="3">
      <w:start w:val="1"/>
      <w:numFmt w:val="decimal"/>
      <w:lvlText w:val="%1.%2.%3.%4."/>
      <w:lvlJc w:val="left"/>
      <w:pPr>
        <w:tabs>
          <w:tab w:val="num" w:pos="0"/>
        </w:tabs>
        <w:ind w:left="2847" w:hanging="720"/>
      </w:pPr>
      <w:rPr/>
    </w:lvl>
    <w:lvl w:ilvl="4">
      <w:start w:val="1"/>
      <w:numFmt w:val="decimal"/>
      <w:lvlText w:val="%1.%2.%3.%4.%5."/>
      <w:lvlJc w:val="left"/>
      <w:pPr>
        <w:tabs>
          <w:tab w:val="num" w:pos="0"/>
        </w:tabs>
        <w:ind w:left="3916" w:hanging="1080"/>
      </w:pPr>
      <w:rPr/>
    </w:lvl>
    <w:lvl w:ilvl="5">
      <w:start w:val="1"/>
      <w:numFmt w:val="decimal"/>
      <w:lvlText w:val="%1.%2.%3.%4.%5.%6."/>
      <w:lvlJc w:val="left"/>
      <w:pPr>
        <w:tabs>
          <w:tab w:val="num" w:pos="0"/>
        </w:tabs>
        <w:ind w:left="4625" w:hanging="1080"/>
      </w:pPr>
      <w:rPr/>
    </w:lvl>
    <w:lvl w:ilvl="6">
      <w:start w:val="1"/>
      <w:numFmt w:val="decimal"/>
      <w:lvlText w:val="%1.%2.%3.%4.%5.%6.%7."/>
      <w:lvlJc w:val="left"/>
      <w:pPr>
        <w:tabs>
          <w:tab w:val="num" w:pos="0"/>
        </w:tabs>
        <w:ind w:left="5694" w:hanging="1440"/>
      </w:pPr>
      <w:rPr/>
    </w:lvl>
    <w:lvl w:ilvl="7">
      <w:start w:val="1"/>
      <w:numFmt w:val="decimal"/>
      <w:lvlText w:val="%1.%2.%3.%4.%5.%6.%7.%8."/>
      <w:lvlJc w:val="left"/>
      <w:pPr>
        <w:tabs>
          <w:tab w:val="num" w:pos="0"/>
        </w:tabs>
        <w:ind w:left="6403" w:hanging="1440"/>
      </w:pPr>
      <w:rPr/>
    </w:lvl>
    <w:lvl w:ilvl="8">
      <w:start w:val="1"/>
      <w:numFmt w:val="decimal"/>
      <w:lvlText w:val="%1.%2.%3.%4.%5.%6.%7.%8.%9."/>
      <w:lvlJc w:val="left"/>
      <w:pPr>
        <w:tabs>
          <w:tab w:val="num" w:pos="0"/>
        </w:tabs>
        <w:ind w:left="7472" w:hanging="180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8">
    <w:lvl w:ilvl="0">
      <w:start w:val="3"/>
      <w:numFmt w:val="decimal"/>
      <w:lvlText w:val="%1"/>
      <w:lvlJc w:val="left"/>
      <w:pPr>
        <w:tabs>
          <w:tab w:val="num" w:pos="0"/>
        </w:tabs>
        <w:ind w:left="456" w:hanging="456"/>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1">
    <w:lvl w:ilvl="0">
      <w:start w:val="1"/>
      <w:numFmt w:val="decimal"/>
      <w:lvlText w:val="%1"/>
      <w:lvlJc w:val="left"/>
      <w:pPr>
        <w:tabs>
          <w:tab w:val="num" w:pos="0"/>
        </w:tabs>
        <w:ind w:left="732" w:hanging="732"/>
      </w:pPr>
      <w:rPr/>
    </w:lvl>
    <w:lvl w:ilvl="1">
      <w:start w:val="1"/>
      <w:numFmt w:val="decimal"/>
      <w:lvlText w:val="%1.%2"/>
      <w:lvlJc w:val="left"/>
      <w:pPr>
        <w:tabs>
          <w:tab w:val="num" w:pos="0"/>
        </w:tabs>
        <w:ind w:left="732" w:hanging="732"/>
      </w:pPr>
      <w:rPr/>
    </w:lvl>
    <w:lvl w:ilvl="2">
      <w:start w:val="2"/>
      <w:numFmt w:val="decimal"/>
      <w:lvlText w:val="%1.%2.%3"/>
      <w:lvlJc w:val="left"/>
      <w:pPr>
        <w:tabs>
          <w:tab w:val="num" w:pos="0"/>
        </w:tabs>
        <w:ind w:left="732" w:hanging="732"/>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12">
    <w:lvl w:ilvl="0">
      <w:start w:val="1"/>
      <w:numFmt w:val="decimal"/>
      <w:lvlText w:val="%1"/>
      <w:lvlJc w:val="left"/>
      <w:pPr>
        <w:tabs>
          <w:tab w:val="num" w:pos="0"/>
        </w:tabs>
        <w:ind w:left="672" w:hanging="672"/>
      </w:pPr>
      <w:rPr/>
    </w:lvl>
    <w:lvl w:ilvl="1">
      <w:start w:val="2"/>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160" w:hanging="2160"/>
      </w:pPr>
      <w:rPr/>
    </w:lvl>
  </w:abstractNum>
  <w:abstractNum w:abstractNumId="1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65"/>
  <w:defaultTabStop w:val="708"/>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left="851"/>
      <w:jc w:val="left"/>
      <w:outlineLvl w:val="0"/>
    </w:pPr>
    <w:rPr>
      <w:rFonts w:eastAsia="" w:cs=""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left"/>
      <w:outlineLvl w:val="1"/>
    </w:pPr>
    <w:rPr>
      <w:rFonts w:eastAsia="" w:cs=""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 w:cs=""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left"/>
      <w:outlineLvl w:val="3"/>
    </w:pPr>
    <w:rPr>
      <w:rFonts w:eastAsia="" w:cs=""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 w:cs=""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 w:cs=""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 w:cs=""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 w:cs=""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 w:cs=""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 w:cs=""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uiPriority w:val="99"/>
    <w:semiHidden/>
    <w:unhideWhenUsed/>
    <w:qFormat/>
    <w:rsid w:val="00d164ca"/>
    <w:rPr>
      <w:vertAlign w:val="superscript"/>
    </w:rPr>
  </w:style>
  <w:style w:type="character" w:styleId="Znakiprzypiswkocowychuser">
    <w:name w:val="Znaki przypisów końcowych (user)"/>
    <w:qFormat/>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character" w:styleId="czeindeksuuser">
    <w:name w:val="Łącze indeksu (user)"/>
    <w:qFormat/>
    <w:rPr/>
  </w:style>
  <w:style w:type="character" w:styleId="Tekstrdowyuser">
    <w:name w:val="Tekst źródłowy (user)"/>
    <w:qFormat/>
    <w:rPr>
      <w:rFonts w:ascii="Liberation Mono" w:hAnsi="Liberation Mono" w:eastAsia="Liberation Mono" w:cs="Liberation Mono"/>
    </w:rPr>
  </w:style>
  <w:style w:type="character" w:styleId="Tekstrdowy">
    <w:name w:val="Tekst źródłowy"/>
    <w:qFormat/>
    <w:rPr>
      <w:rFonts w:ascii="Liberation Mono" w:hAnsi="Liberation Mono" w:eastAsia="Liberation Mono" w:cs="Liberation Mono"/>
    </w:rPr>
  </w:style>
  <w:style w:type="character" w:styleId="Znakiwypunktowaniauser">
    <w:name w:val="Znaki wypunktowania (user)"/>
    <w:qFormat/>
    <w:rPr>
      <w:rFonts w:ascii="OpenSymbol" w:hAnsi="OpenSymbol" w:eastAsia="OpenSymbol" w:cs="OpenSymbol"/>
    </w:rPr>
  </w:style>
  <w:style w:type="character" w:styleId="Znakiwypunktowania">
    <w:name w:val="Znaki wypunktowania"/>
    <w:qFormat/>
    <w:rPr>
      <w:rFonts w:ascii="OpenSymbol" w:hAnsi="OpenSymbol" w:eastAsia="OpenSymbol" w:cs="OpenSymbol"/>
    </w:rPr>
  </w:style>
  <w:style w:type="character" w:styleId="Znakinumeracjiuser">
    <w:name w:val="Znaki numeracji (user)"/>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lef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lef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left="714"/>
    </w:pPr>
    <w:rPr>
      <w:rFonts w:eastAsia="Calibri" w:cs="Times New Roman"/>
    </w:rPr>
  </w:style>
  <w:style w:type="paragraph" w:styleId="ListParagraph">
    <w:name w:val="List Paragraph"/>
    <w:basedOn w:val="Normal"/>
    <w:uiPriority w:val="34"/>
    <w:qFormat/>
    <w:pPr>
      <w:spacing w:before="0" w:after="0"/>
      <w:ind w:lef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lef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lef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lef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lef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lef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lef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Gwkaistopkauser">
    <w:name w:val="Główka i stopka (user)"/>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suppressAutoHyphens w:val="true"/>
      <w:bidi w:val="0"/>
      <w:spacing w:lineRule="auto" w:line="240" w:before="0" w:after="0"/>
      <w:jc w:val="lef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suppressAutoHyphens w:val="true"/>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Rysunek">
    <w:name w:val="Rysunek"/>
    <w:basedOn w:val="Caption"/>
    <w:qFormat/>
    <w:pPr/>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Tabelauser">
    <w:name w:val="Tabela (user)"/>
    <w:basedOn w:val="Caption"/>
    <w:qFormat/>
    <w:pPr/>
    <w:rPr/>
  </w:style>
  <w:style w:type="paragraph" w:styleId="Nagwektabeliuser">
    <w:name w:val="Nagłówek tabeli (user)"/>
    <w:basedOn w:val="Zawartotabeliuser"/>
    <w:qFormat/>
    <w:pPr>
      <w:suppressLineNumbers/>
      <w:jc w:val="center"/>
    </w:pPr>
    <w:rPr>
      <w:b/>
      <w:bCs/>
    </w:rPr>
  </w:style>
  <w:style w:type="paragraph" w:styleId="Liniapoziomauser">
    <w:name w:val="Linia pozioma (user)"/>
    <w:basedOn w:val="Normal"/>
    <w:next w:val="BodyText"/>
    <w:qFormat/>
    <w:pPr>
      <w:suppressLineNumbers/>
      <w:pBdr>
        <w:bottom w:val="double" w:sz="2" w:space="0" w:color="808080"/>
      </w:pBdr>
      <w:spacing w:before="0" w:after="283"/>
    </w:pPr>
    <w:rPr>
      <w:sz w:val="12"/>
      <w:szCs w:val="12"/>
    </w:rPr>
  </w:style>
  <w:style w:type="paragraph" w:styleId="Rysunekuser">
    <w:name w:val="Rysunek (user)"/>
    <w:basedOn w:val="Caption"/>
    <w:qFormat/>
    <w:pPr/>
    <w:rPr/>
  </w:style>
  <w:style w:type="paragraph" w:styleId="Zawartoramki">
    <w:name w:val="Zawartość ramki"/>
    <w:basedOn w:val="Normal"/>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iboolo.com/pl/blog/dermoscopy-squamous-cell-carcinoma/?srsltid=AfmBOopVaFJAIvh4hk2pFZoKG9_vP7JrtFG4HTB7N4tgD1YjSoPcLZHO"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sv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2.png"/><Relationship Id="rId27" Type="http://schemas.openxmlformats.org/officeDocument/2006/relationships/image" Target="media/image23.jpeg"/><Relationship Id="rId28" Type="http://schemas.openxmlformats.org/officeDocument/2006/relationships/image" Target="media/image24.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0.png"/><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footer" Target="footer4.xml"/><Relationship Id="rId66" Type="http://schemas.openxmlformats.org/officeDocument/2006/relationships/footer" Target="footer5.xml"/><Relationship Id="rId67" Type="http://schemas.openxmlformats.org/officeDocument/2006/relationships/footer" Target="footer6.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glossaryDocument" Target="glossary/document.xml"/><Relationship Id="rId73" Type="http://schemas.openxmlformats.org/officeDocument/2006/relationships/customXml" Target="../customXml/item1.xml"/><Relationship Id="rId74" Type="http://schemas.openxmlformats.org/officeDocument/2006/relationships/customXml" Target="../customXml/item2.xml"/><Relationship Id="rId75" Type="http://schemas.openxmlformats.org/officeDocument/2006/relationships/customXml" Target="../customXml/item3.xml"/><Relationship Id="rId76"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8248E"/>
    <w:rsid w:val="001C7F91"/>
    <w:rsid w:val="001F5CD8"/>
    <w:rsid w:val="00292FAA"/>
    <w:rsid w:val="002B50FC"/>
    <w:rsid w:val="003E632D"/>
    <w:rsid w:val="00452D6B"/>
    <w:rsid w:val="00463696"/>
    <w:rsid w:val="0055348C"/>
    <w:rsid w:val="005F16E5"/>
    <w:rsid w:val="006365FA"/>
    <w:rsid w:val="006D3579"/>
    <w:rsid w:val="0071635D"/>
    <w:rsid w:val="0071664C"/>
    <w:rsid w:val="00861D97"/>
    <w:rsid w:val="008B2F85"/>
    <w:rsid w:val="008E1D7A"/>
    <w:rsid w:val="008E7A7F"/>
    <w:rsid w:val="00955271"/>
    <w:rsid w:val="009974F4"/>
    <w:rsid w:val="009D6003"/>
    <w:rsid w:val="00A76CFA"/>
    <w:rsid w:val="00AF11AE"/>
    <w:rsid w:val="00B9076F"/>
    <w:rsid w:val="00BA7885"/>
    <w:rsid w:val="00C34C4C"/>
    <w:rsid w:val="00C44D41"/>
    <w:rsid w:val="00C450F0"/>
    <w:rsid w:val="00CB3EDC"/>
    <w:rsid w:val="00CF2B74"/>
    <w:rsid w:val="00D57D47"/>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customXml/itemProps2.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Application>LibreOffice/25.8.5.2$Windows_X86_64 LibreOffice_project/9c8b85f387cc00a89945a79c9e6239f32e450ac2</Application>
  <AppVersion>15.0000</AppVersion>
  <Pages>83</Pages>
  <Words>11498</Words>
  <Characters>79456</Characters>
  <CharactersWithSpaces>90096</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2026-03-30T18:29:00Z</dcterms:created>
  <dc:creator>Lukasz Wieclaw</dc:creator>
  <dc:description/>
  <dc:language>pl-PL</dc:language>
  <cp:lastModifiedBy/>
  <cp:lastPrinted>2025-01-09T12:30:00Z</cp:lastPrinted>
  <dcterms:modified xsi:type="dcterms:W3CDTF">2026-04-21T10:58:01Z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