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media/image20.svg" ContentType="image/svg"/>
  <Override PartName="/word/footer3.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keepLines/>
              <w:widowControl/>
              <w:spacing w:before="0" w:after="0"/>
              <w:jc w:val="center"/>
              <w:rPr>
                <w:rFonts w:eastAsia="Times New Roman"/>
                <w:sz w:val="32"/>
                <w:szCs w:val="32"/>
                <w:lang w:eastAsia="pl-PL"/>
              </w:rPr>
            </w:pPr>
            <w:r>
              <w:rPr>
                <w:rFonts w:cs="Arial"/>
                <w:kern w:val="0"/>
                <w:lang w:val="pl-PL" w:bidi="ar-SA"/>
              </w:rPr>
              <w:drawing>
                <wp:inline distT="0" distB="0" distL="0" distR="0">
                  <wp:extent cx="3111500" cy="8997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2"/>
                          <a:stretch>
                            <a:fillRect/>
                          </a:stretch>
                        </pic:blipFill>
                        <pic:spPr bwMode="auto">
                          <a:xfrm>
                            <a:off x="0" y="0"/>
                            <a:ext cx="3111500" cy="899795"/>
                          </a:xfrm>
                          <a:prstGeom prst="rect">
                            <a:avLst/>
                          </a:prstGeom>
                          <a:noFill/>
                        </pic:spPr>
                      </pic:pic>
                    </a:graphicData>
                  </a:graphic>
                </wp:inline>
              </w:drawing>
            </w:r>
          </w:p>
        </w:tc>
      </w:tr>
      <w:tr>
        <w:trPr/>
        <w:tc>
          <w:tcPr>
            <w:tcW w:w="9062" w:type="dxa"/>
            <w:tcBorders>
              <w:top w:val="nil"/>
              <w:start w:val="nil"/>
              <w:bottom w:val="nil"/>
              <w:end w:val="nil"/>
            </w:tcBorders>
            <w:shd w:color="auto" w:fill="002776" w:val="clear"/>
          </w:tcPr>
          <w:p>
            <w:pPr>
              <w:pStyle w:val="Normal"/>
              <w:keepLines/>
              <w:widowControl/>
              <w:spacing w:before="0" w:after="0"/>
              <w:jc w:val="center"/>
              <w:rPr>
                <w:rFonts w:eastAsia="Times New Roman"/>
                <w:b/>
                <w:sz w:val="32"/>
                <w:szCs w:val="32"/>
                <w:lang w:eastAsia="pl-PL"/>
              </w:rPr>
            </w:pPr>
            <w:r>
              <w:rPr>
                <w:rFonts w:eastAsia="Times New Roman" w:cs="Arial"/>
                <w:b/>
                <w:color w:themeColor="background1" w:val="FFFFFF"/>
                <w:kern w:val="0"/>
                <w:sz w:val="44"/>
                <w:szCs w:val="32"/>
                <w:lang w:val="pl-PL" w:eastAsia="pl-PL" w:bidi="ar-SA"/>
              </w:rPr>
              <w:t>PRACA DYPLOMOWA</w:t>
            </w:r>
          </w:p>
        </w:tc>
      </w:tr>
    </w:tbl>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t>WYDZIAŁ</w:t>
      </w:r>
    </w:p>
    <w:p>
      <w:pPr>
        <w:pStyle w:val="Normal"/>
        <w:keepLines/>
        <w:spacing w:lineRule="auto" w:line="240"/>
        <w:jc w:val="center"/>
        <w:rPr>
          <w:rFonts w:eastAsia="Times New Roman"/>
          <w:sz w:val="32"/>
          <w:szCs w:val="32"/>
          <w:lang w:eastAsia="pl-PL"/>
        </w:rPr>
      </w:pPr>
      <w:r>
        <w:rPr>
          <w:rFonts w:eastAsia="Times New Roman"/>
          <w:sz w:val="32"/>
          <w:szCs w:val="32"/>
          <w:lang w:eastAsia="pl-PL"/>
        </w:rPr>
        <w:t>BUDOWY MASZYN I INFORMATYKI</w:t>
      </w:r>
    </w:p>
    <w:p>
      <w:pPr>
        <w:pStyle w:val="Normal"/>
        <w:keepLines/>
        <w:spacing w:lineRule="auto" w:line="240"/>
        <w:jc w:val="center"/>
        <w:rPr>
          <w:rFonts w:eastAsia="Times New Roman"/>
          <w:i/>
          <w:sz w:val="32"/>
          <w:szCs w:val="32"/>
          <w:lang w:eastAsia="pl-PL"/>
        </w:rPr>
      </w:pPr>
      <w:r>
        <w:rPr>
          <w:rFonts w:eastAsia="Times New Roman"/>
          <w:sz w:val="32"/>
          <w:szCs w:val="32"/>
          <w:lang w:eastAsia="pl-PL"/>
        </w:rPr>
        <w:t xml:space="preserve">KIERUNEK: </w:t>
      </w:r>
      <w:r>
        <w:rPr>
          <w:rFonts w:eastAsia="Times New Roman"/>
          <w:b/>
          <w:sz w:val="32"/>
          <w:szCs w:val="32"/>
          <w:lang w:eastAsia="pl-PL"/>
        </w:rPr>
        <w:t>INFORMATYKA</w:t>
      </w:r>
    </w:p>
    <w:p>
      <w:pPr>
        <w:pStyle w:val="Normal"/>
        <w:keepLines/>
        <w:spacing w:lineRule="auto" w:line="240"/>
        <w:jc w:val="center"/>
        <w:rPr>
          <w:rFonts w:eastAsia="Times New Roman"/>
          <w:sz w:val="28"/>
          <w:szCs w:val="28"/>
          <w:lang w:eastAsia="pl-PL"/>
        </w:rPr>
      </w:pPr>
      <w:r>
        <w:rPr>
          <w:rFonts w:eastAsia="Times New Roman"/>
          <w:sz w:val="32"/>
          <w:szCs w:val="32"/>
          <w:lang w:eastAsia="pl-PL"/>
        </w:rPr>
        <w:t xml:space="preserve">SPECJALNOŚĆ: </w:t>
      </w:r>
      <w:r>
        <w:rPr>
          <w:rFonts w:eastAsia="Times New Roman"/>
          <w:b/>
          <w:bCs/>
          <w:sz w:val="32"/>
          <w:szCs w:val="32"/>
          <w:lang w:eastAsia="pl-PL"/>
        </w:rPr>
        <w:t>SZTUCZNA INTELIGENCJA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sdt>
        <w:sdtPr>
          <w:id w:val="-879173767"/>
          <w:placeholder>
            <w:docPart w:val="FD60D25D778A4AD1A52AF992FC0EFD88"/>
          </w:placeholder>
          <w:text/>
        </w:sdtPr>
        <w:sdtContent>
          <w:r>
            <w:rPr>
              <w:rFonts w:eastAsia="Times New Roman"/>
              <w:b/>
              <w:sz w:val="32"/>
              <w:szCs w:val="32"/>
              <w:lang w:eastAsia="pl-PL"/>
            </w:rPr>
          </w:r>
          <w:r>
            <w:rPr>
              <w:rFonts w:eastAsia="Times New Roman"/>
              <w:b/>
              <w:sz w:val="32"/>
              <w:szCs w:val="32"/>
              <w:lang w:eastAsia="pl-PL"/>
            </w:rPr>
            <w:t>Adrian Raszka</w:t>
          </w:r>
        </w:sdtContent>
      </w:sdt>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8"/>
          <w:lang w:eastAsia="pl-PL"/>
        </w:rPr>
      </w:pPr>
      <w:r>
        <w:rPr>
          <w:rFonts w:eastAsia="Times New Roman"/>
          <w:szCs w:val="28"/>
          <w:lang w:eastAsia="pl-PL"/>
        </w:rPr>
        <w:t>nr albumu: 59117</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tLeast" w:line="240"/>
        <w:jc w:val="center"/>
        <w:rPr/>
      </w:pPr>
      <w:r>
        <w:rPr>
          <w:rFonts w:eastAsia="Times New Roman"/>
          <w:sz w:val="28"/>
          <w:szCs w:val="28"/>
          <w:lang w:eastAsia="pl-PL"/>
        </w:rPr>
        <w:t>Praca magisterska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bookmarkStart w:id="0" w:name="_Hlk147505383"/>
      <w:bookmarkEnd w:id="0"/>
      <w:r>
        <w:rPr>
          <w:rFonts w:eastAsia="Times New Roman"/>
          <w:b/>
          <w:sz w:val="32"/>
          <w:szCs w:val="32"/>
          <w:lang w:eastAsia="pl-PL"/>
        </w:rPr>
        <w:t>SYSTEM DO ANALIZY ZDJĘĆ DERMATOLOGICZNYCH</w:t>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t>Z UŻYCIEM MODELI CNN I TRANSFORMERA</w:t>
      </w:r>
    </w:p>
    <w:p>
      <w:pPr>
        <w:pStyle w:val="Normal"/>
        <w:keepLines/>
        <w:spacing w:lineRule="auto" w:line="240"/>
        <w:jc w:val="center"/>
        <w:rPr>
          <w:sz w:val="18"/>
        </w:rPr>
      </w:pPr>
      <w:r>
        <w:rPr>
          <w:rFonts w:eastAsia="Times New Roman"/>
          <w:szCs w:val="28"/>
          <w:lang w:eastAsia="pl-PL"/>
        </w:rPr>
        <w:t xml:space="preserve">Kategoria pracy: </w:t>
      </w:r>
      <w:sdt>
        <w:sdtPr>
          <w:id w:val="-1964490657"/>
          <w:placeholder>
            <w:docPart w:val="8C026B8422B04EA599713F15397626E4"/>
          </w:placeholder>
          <w:text/>
        </w:sdtPr>
        <w:sdtContent>
          <w:r>
            <w:rPr>
              <w:rFonts w:eastAsia="Times New Roman"/>
              <w:szCs w:val="28"/>
              <w:lang w:eastAsia="pl-PL"/>
            </w:rPr>
          </w:r>
          <w:r>
            <w:rPr>
              <w:sz w:val="28"/>
              <w:szCs w:val="28"/>
            </w:rPr>
            <w:t>projektowa</w:t>
          </w:r>
        </w:sdtContent>
      </w:sdt>
    </w:p>
    <w:p>
      <w:pPr>
        <w:pStyle w:val="Normal"/>
        <w:keepLines/>
        <w:spacing w:lineRule="auto" w:line="240"/>
        <w:jc w:val="center"/>
        <w:rPr>
          <w:rFonts w:eastAsia="Times New Roman"/>
          <w:szCs w:val="24"/>
          <w:lang w:eastAsia="pl-PL"/>
        </w:rPr>
      </w:pPr>
      <w:r>
        <w:rPr>
          <w:rFonts w:eastAsia="Times New Roman"/>
          <w:sz w:val="32"/>
          <w:szCs w:val="32"/>
          <w:lang w:eastAsia="pl-PL"/>
        </w:rPr>
        <w:t>Promotor:</w:t>
      </w:r>
      <w:r>
        <w:rPr>
          <w:rFonts w:eastAsia="Times New Roman"/>
          <w:szCs w:val="24"/>
          <w:lang w:eastAsia="pl-PL"/>
        </w:rPr>
        <w:t xml:space="preserve"> </w:t>
      </w:r>
      <w:r>
        <w:rPr>
          <w:rFonts w:eastAsia="Times New Roman"/>
          <w:sz w:val="32"/>
          <w:szCs w:val="32"/>
          <w:lang w:eastAsia="pl-PL"/>
        </w:rPr>
        <w:t>prof. dr hab. Vasyl Martsenyuk</w:t>
      </w:r>
    </w:p>
    <w:p>
      <w:pPr>
        <w:pStyle w:val="Normal"/>
        <w:keepLines/>
        <w:spacing w:lineRule="auto" w:line="240"/>
        <w:ind w:hanging="4963" w:start="4963"/>
        <w:jc w:val="center"/>
        <w:rPr>
          <w:rFonts w:eastAsia="Times New Roman"/>
          <w:sz w:val="32"/>
          <w:szCs w:val="28"/>
          <w:lang w:eastAsia="pl-PL"/>
        </w:rPr>
      </w:pPr>
      <w:r>
        <w:rPr>
          <w:rFonts w:eastAsia="Times New Roman"/>
          <w:sz w:val="32"/>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4"/>
          <w:lang w:eastAsia="pl-PL"/>
        </w:rPr>
      </w:pPr>
      <w:r>
        <w:rPr>
          <w:rFonts w:eastAsia="Times New Roman"/>
          <w:szCs w:val="24"/>
          <w:lang w:eastAsia="pl-PL"/>
        </w:rPr>
        <w:t>Bielsko-Biała, r. ak. 2025/2026</w:t>
      </w:r>
    </w:p>
    <w:p>
      <w:pPr>
        <w:pStyle w:val="Normal"/>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Normal"/>
        <w:spacing w:before="0" w:after="0"/>
        <w:ind w:hanging="0"/>
        <w:rPr>
          <w:b/>
          <w:bCs/>
          <w:sz w:val="48"/>
          <w:szCs w:val="48"/>
        </w:rPr>
      </w:pPr>
      <w:r>
        <w:rPr>
          <w:b/>
          <w:bCs/>
          <w:sz w:val="48"/>
          <w:szCs w:val="48"/>
        </w:rPr>
        <w:t>Spis treści</w:t>
      </w:r>
    </w:p>
    <w:p>
      <w:pPr>
        <w:pStyle w:val="Normal"/>
        <w:ind w:hanging="0"/>
        <w:rPr>
          <w:b/>
          <w:bCs/>
          <w:sz w:val="44"/>
          <w:szCs w:val="44"/>
        </w:rPr>
      </w:pPr>
      <w:r>
        <w:rPr>
          <w:b/>
          <w:bCs/>
          <w:sz w:val="44"/>
          <w:szCs w:val="44"/>
        </w:rPr>
      </w:r>
    </w:p>
    <w:sdt>
      <w:sdtPr>
        <w:docPartObj>
          <w:docPartGallery w:val="Table of Contents"/>
          <w:docPartUnique w:val="true"/>
        </w:docPartObj>
      </w:sdtPr>
      <w:sdtContent>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r>
            <w:fldChar w:fldCharType="begin"/>
          </w:r>
          <w:r>
            <w:rPr>
              <w:rStyle w:val="czeindeksu"/>
              <w:webHidden/>
            </w:rPr>
            <w:instrText xml:space="preserve"> TOC \z \o "1-3" \u \h</w:instrText>
          </w:r>
          <w:r>
            <w:rPr>
              <w:rStyle w:val="czeindeksu"/>
              <w:webHidden/>
            </w:rPr>
            <w:fldChar w:fldCharType="separate"/>
          </w:r>
          <w:hyperlink w:anchor="_Toc230629435">
            <w:r>
              <w:rPr>
                <w:rStyle w:val="czeindeksu"/>
                <w:webHidden/>
              </w:rPr>
              <w:t>Wykaz skrótów i oznaczeń</w:t>
            </w:r>
            <w:r>
              <w:rPr>
                <w:webHidden/>
              </w:rPr>
              <w:fldChar w:fldCharType="begin"/>
            </w:r>
            <w:r>
              <w:rPr>
                <w:webHidden/>
              </w:rPr>
              <w:instrText xml:space="preserve">PAGEREF _Toc230629435 \h</w:instrText>
            </w:r>
            <w:r>
              <w:rPr>
                <w:webHidden/>
              </w:rPr>
              <w:fldChar w:fldCharType="separate"/>
            </w:r>
            <w:r>
              <w:rPr>
                <w:rStyle w:val="czeindeksu"/>
                <w:vanish w:val="false"/>
              </w:rPr>
              <w:tab/>
              <w:t>6</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30629436">
            <w:r>
              <w:rPr>
                <w:rStyle w:val="czeindeksu"/>
                <w:webHidden/>
              </w:rPr>
              <w:t>Wstęp</w:t>
            </w:r>
            <w:r>
              <w:rPr>
                <w:webHidden/>
              </w:rPr>
              <w:fldChar w:fldCharType="begin"/>
            </w:r>
            <w:r>
              <w:rPr>
                <w:webHidden/>
              </w:rPr>
              <w:instrText xml:space="preserve">PAGEREF _Toc230629436 \h</w:instrText>
            </w:r>
            <w:r>
              <w:rPr>
                <w:webHidden/>
              </w:rPr>
              <w:fldChar w:fldCharType="separate"/>
            </w:r>
            <w:r>
              <w:rPr>
                <w:rStyle w:val="czeindeksu"/>
                <w:vanish w:val="false"/>
              </w:rPr>
              <w:tab/>
              <w:t>8</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30629437">
            <w:r>
              <w:rPr>
                <w:rStyle w:val="czeindeksu"/>
                <w:webHidden/>
              </w:rPr>
              <w:t>Cel</w:t>
            </w:r>
            <w:r>
              <w:rPr>
                <w:webHidden/>
              </w:rPr>
              <w:fldChar w:fldCharType="begin"/>
            </w:r>
            <w:r>
              <w:rPr>
                <w:webHidden/>
              </w:rPr>
              <w:instrText xml:space="preserve">PAGEREF _Toc230629437 \h</w:instrText>
            </w:r>
            <w:r>
              <w:rPr>
                <w:webHidden/>
              </w:rPr>
              <w:fldChar w:fldCharType="separate"/>
            </w:r>
            <w:r>
              <w:rPr>
                <w:rStyle w:val="czeindeksu"/>
                <w:vanish w:val="false"/>
              </w:rPr>
              <w:tab/>
              <w:t>9</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30629438">
            <w:r>
              <w:rPr>
                <w:rStyle w:val="czeindeksu"/>
                <w:webHidden/>
              </w:rPr>
              <w:t>Zakres pracy</w:t>
            </w:r>
            <w:r>
              <w:rPr>
                <w:webHidden/>
              </w:rPr>
              <w:fldChar w:fldCharType="begin"/>
            </w:r>
            <w:r>
              <w:rPr>
                <w:webHidden/>
              </w:rPr>
              <w:instrText xml:space="preserve">PAGEREF _Toc230629438 \h</w:instrText>
            </w:r>
            <w:r>
              <w:rPr>
                <w:webHidden/>
              </w:rPr>
              <w:fldChar w:fldCharType="separate"/>
            </w:r>
            <w:r>
              <w:rPr>
                <w:rStyle w:val="czeindeksu"/>
                <w:vanish w:val="false"/>
              </w:rPr>
              <w:tab/>
              <w:t>10</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30629439">
            <w:r>
              <w:rPr>
                <w:rStyle w:val="czeindeksu"/>
                <w:webHidden/>
              </w:rPr>
              <w:t>1.</w:t>
            </w:r>
            <w:r>
              <w:rPr>
                <w:rStyle w:val="czeindeksu"/>
                <w:rFonts w:eastAsia="游明朝" w:ascii="Calibri" w:hAnsi="Calibri" w:asciiTheme="minorHAnsi" w:eastAsiaTheme="minorEastAsia" w:hAnsiTheme="minorHAnsi"/>
                <w:b w:val="false"/>
                <w:color w:val="auto"/>
                <w:szCs w:val="24"/>
                <w:lang w:eastAsia="pl-PL"/>
              </w:rPr>
              <w:tab/>
            </w:r>
            <w:r>
              <w:rPr>
                <w:rStyle w:val="czeindeksu"/>
              </w:rPr>
              <w:t>Dermatologia i automatyczna diagnostyka skórna - przegląd literaturowy</w:t>
            </w:r>
            <w:r>
              <w:rPr>
                <w:webHidden/>
              </w:rPr>
              <w:fldChar w:fldCharType="begin"/>
            </w:r>
            <w:r>
              <w:rPr>
                <w:webHidden/>
              </w:rPr>
              <w:instrText xml:space="preserve">PAGEREF _Toc230629439 \h</w:instrText>
            </w:r>
            <w:r>
              <w:rPr>
                <w:webHidden/>
              </w:rPr>
              <w:fldChar w:fldCharType="separate"/>
            </w:r>
            <w:r>
              <w:rPr>
                <w:rStyle w:val="czeindeksu"/>
                <w:vanish w:val="false"/>
              </w:rPr>
              <w:tab/>
              <w:t>11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40">
            <w:r>
              <w:rPr>
                <w:rStyle w:val="czeindeksu"/>
                <w:webHidden/>
              </w:rPr>
              <w:t>1.1</w:t>
            </w:r>
            <w:r>
              <w:rPr>
                <w:rStyle w:val="czeindeksu"/>
                <w:rFonts w:eastAsia="游明朝" w:ascii="Calibri" w:hAnsi="Calibri" w:asciiTheme="minorHAnsi" w:eastAsiaTheme="minorEastAsia" w:hAnsiTheme="minorHAnsi"/>
                <w:color w:val="auto"/>
                <w:szCs w:val="24"/>
                <w:lang w:eastAsia="pl-PL"/>
              </w:rPr>
              <w:tab/>
            </w:r>
            <w:r>
              <w:rPr>
                <w:rStyle w:val="czeindeksu"/>
              </w:rPr>
              <w:t>Skóra jako narząd i jej choroby</w:t>
            </w:r>
            <w:r>
              <w:rPr>
                <w:webHidden/>
              </w:rPr>
              <w:fldChar w:fldCharType="begin"/>
            </w:r>
            <w:r>
              <w:rPr>
                <w:webHidden/>
              </w:rPr>
              <w:instrText xml:space="preserve">PAGEREF _Toc230629440 \h</w:instrText>
            </w:r>
            <w:r>
              <w:rPr>
                <w:webHidden/>
              </w:rPr>
              <w:fldChar w:fldCharType="separate"/>
            </w:r>
            <w:r>
              <w:rPr>
                <w:rStyle w:val="czeindeksu"/>
                <w:vanish w:val="false"/>
              </w:rPr>
              <w:tab/>
              <w:t>11</w:t>
            </w:r>
            <w:r>
              <w:rPr>
                <w:webHidden/>
              </w:rPr>
              <w:fldChar w:fldCharType="end"/>
            </w:r>
          </w:hyperlink>
        </w:p>
        <w:p>
          <w:pPr>
            <w:pStyle w:val="TOC3"/>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30629441">
            <w:r>
              <w:rPr>
                <w:rStyle w:val="czeindeksu"/>
                <w:webHidden/>
              </w:rPr>
              <w:t>1.1.1 K</w:t>
            </w:r>
            <w:r>
              <w:rPr>
                <w:rStyle w:val="czeindeksu"/>
                <w:bCs/>
              </w:rPr>
              <w:t>lasyfikacja nowotworów skóry w zbiorze danych</w:t>
            </w:r>
            <w:r>
              <w:rPr>
                <w:webHidden/>
              </w:rPr>
              <w:fldChar w:fldCharType="begin"/>
            </w:r>
            <w:r>
              <w:rPr>
                <w:webHidden/>
              </w:rPr>
              <w:instrText xml:space="preserve">PAGEREF _Toc230629441 \h</w:instrText>
            </w:r>
            <w:r>
              <w:rPr>
                <w:webHidden/>
              </w:rPr>
              <w:fldChar w:fldCharType="separate"/>
            </w:r>
            <w:r>
              <w:rPr>
                <w:rStyle w:val="czeindeksu"/>
                <w:vanish w:val="false"/>
              </w:rPr>
              <w:tab/>
              <w:t>12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42">
            <w:r>
              <w:rPr>
                <w:rStyle w:val="czeindeksu"/>
                <w:webHidden/>
              </w:rPr>
              <w:t>1.1.2</w:t>
            </w:r>
            <w:r>
              <w:rPr>
                <w:rStyle w:val="czeindeksu"/>
                <w:rFonts w:eastAsia="游明朝" w:ascii="Calibri" w:hAnsi="Calibri" w:asciiTheme="minorHAnsi" w:eastAsiaTheme="minorEastAsia" w:hAnsiTheme="minorHAnsi"/>
                <w:color w:val="auto"/>
                <w:szCs w:val="24"/>
                <w:lang w:eastAsia="pl-PL"/>
              </w:rPr>
              <w:tab/>
            </w:r>
            <w:r>
              <w:rPr>
                <w:rStyle w:val="czeindeksu"/>
                <w:bCs/>
              </w:rPr>
              <w:t>Wirusowe choroby zakaźne z manifestacją skórną</w:t>
            </w:r>
            <w:r>
              <w:rPr>
                <w:webHidden/>
              </w:rPr>
              <w:fldChar w:fldCharType="begin"/>
            </w:r>
            <w:r>
              <w:rPr>
                <w:webHidden/>
              </w:rPr>
              <w:instrText xml:space="preserve">PAGEREF _Toc230629442 \h</w:instrText>
            </w:r>
            <w:r>
              <w:rPr>
                <w:webHidden/>
              </w:rPr>
              <w:fldChar w:fldCharType="separate"/>
            </w:r>
            <w:r>
              <w:rPr>
                <w:rStyle w:val="czeindeksu"/>
                <w:vanish w:val="false"/>
              </w:rPr>
              <w:tab/>
              <w:t>16</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43">
            <w:r>
              <w:rPr>
                <w:rStyle w:val="czeindeksu"/>
                <w:webHidden/>
              </w:rPr>
              <w:t>1.1.3</w:t>
            </w:r>
            <w:r>
              <w:rPr>
                <w:rStyle w:val="czeindeksu"/>
                <w:rFonts w:eastAsia="游明朝" w:ascii="Calibri" w:hAnsi="Calibri" w:asciiTheme="minorHAnsi" w:eastAsiaTheme="minorEastAsia" w:hAnsiTheme="minorHAnsi"/>
                <w:color w:val="auto"/>
                <w:szCs w:val="24"/>
                <w:lang w:eastAsia="pl-PL"/>
              </w:rPr>
              <w:tab/>
            </w:r>
            <w:r>
              <w:rPr>
                <w:rStyle w:val="czeindeksu"/>
                <w:bCs/>
              </w:rPr>
              <w:t>Zmiany łagodne i inne klasy diagnostyczne</w:t>
            </w:r>
            <w:r>
              <w:rPr>
                <w:webHidden/>
              </w:rPr>
              <w:fldChar w:fldCharType="begin"/>
            </w:r>
            <w:r>
              <w:rPr>
                <w:webHidden/>
              </w:rPr>
              <w:instrText xml:space="preserve">PAGEREF _Toc230629443 \h</w:instrText>
            </w:r>
            <w:r>
              <w:rPr>
                <w:webHidden/>
              </w:rPr>
              <w:fldChar w:fldCharType="separate"/>
            </w:r>
            <w:r>
              <w:rPr>
                <w:rStyle w:val="czeindeksu"/>
                <w:vanish w:val="false"/>
              </w:rPr>
              <w:tab/>
              <w:t>19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44">
            <w:r>
              <w:rPr>
                <w:rStyle w:val="czeindeksu"/>
                <w:webHidden/>
              </w:rPr>
              <w:t>1.2</w:t>
            </w:r>
            <w:r>
              <w:rPr>
                <w:rStyle w:val="czeindeksu"/>
                <w:rFonts w:eastAsia="游明朝" w:ascii="Calibri" w:hAnsi="Calibri" w:asciiTheme="minorHAnsi" w:eastAsiaTheme="minorEastAsia" w:hAnsiTheme="minorHAnsi"/>
                <w:color w:val="auto"/>
                <w:szCs w:val="24"/>
                <w:lang w:eastAsia="pl-PL"/>
              </w:rPr>
              <w:tab/>
            </w:r>
            <w:r>
              <w:rPr>
                <w:rStyle w:val="czeindeksu"/>
                <w:bCs/>
              </w:rPr>
              <w:t>Rola sztucznej inteligencji we wspomaganiu diagnostyki dermatologicznej</w:t>
            </w:r>
            <w:r>
              <w:rPr>
                <w:webHidden/>
              </w:rPr>
              <w:fldChar w:fldCharType="begin"/>
            </w:r>
            <w:r>
              <w:rPr>
                <w:webHidden/>
              </w:rPr>
              <w:instrText xml:space="preserve">PAGEREF _Toc230629444 \h</w:instrText>
            </w:r>
            <w:r>
              <w:rPr>
                <w:webHidden/>
              </w:rPr>
              <w:fldChar w:fldCharType="separate"/>
            </w:r>
            <w:r>
              <w:rPr>
                <w:rStyle w:val="czeindeksu"/>
                <w:vanish w:val="false"/>
              </w:rPr>
              <w:tab/>
              <w:t>22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45">
            <w:r>
              <w:rPr>
                <w:rStyle w:val="czeindeksu"/>
                <w:webHidden/>
              </w:rPr>
              <w:t>1.2.1</w:t>
            </w:r>
            <w:r>
              <w:rPr>
                <w:rStyle w:val="czeindeksu"/>
                <w:rFonts w:eastAsia="游明朝" w:ascii="Calibri" w:hAnsi="Calibri" w:asciiTheme="minorHAnsi" w:eastAsiaTheme="minorEastAsia" w:hAnsiTheme="minorHAnsi"/>
                <w:color w:val="auto"/>
                <w:szCs w:val="24"/>
                <w:lang w:eastAsia="pl-PL"/>
              </w:rPr>
              <w:tab/>
            </w:r>
            <w:r>
              <w:rPr>
                <w:rStyle w:val="czeindeksu"/>
              </w:rPr>
              <w:t>Konwolucyjne sieci neuronowe - podstawy teoretyczne</w:t>
            </w:r>
            <w:r>
              <w:rPr>
                <w:webHidden/>
              </w:rPr>
              <w:fldChar w:fldCharType="begin"/>
            </w:r>
            <w:r>
              <w:rPr>
                <w:webHidden/>
              </w:rPr>
              <w:instrText xml:space="preserve">PAGEREF _Toc230629445 \h</w:instrText>
            </w:r>
            <w:r>
              <w:rPr>
                <w:webHidden/>
              </w:rPr>
              <w:fldChar w:fldCharType="separate"/>
            </w:r>
            <w:r>
              <w:rPr>
                <w:rStyle w:val="czeindeksu"/>
                <w:vanish w:val="false"/>
              </w:rPr>
              <w:tab/>
              <w:t>23</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46">
            <w:r>
              <w:rPr>
                <w:rStyle w:val="czeindeksu"/>
                <w:webHidden/>
              </w:rPr>
              <w:t>1.2.2</w:t>
            </w:r>
            <w:r>
              <w:rPr>
                <w:rStyle w:val="czeindeksu"/>
                <w:rFonts w:eastAsia="游明朝" w:ascii="Calibri" w:hAnsi="Calibri" w:asciiTheme="minorHAnsi" w:eastAsiaTheme="minorEastAsia" w:hAnsiTheme="minorHAnsi"/>
                <w:color w:val="auto"/>
                <w:szCs w:val="24"/>
                <w:lang w:eastAsia="pl-PL"/>
              </w:rPr>
              <w:tab/>
            </w:r>
            <w:r>
              <w:rPr>
                <w:rStyle w:val="czeindeksu"/>
              </w:rPr>
              <w:t>ResNet-50 i połączenia rezydualne</w:t>
            </w:r>
            <w:r>
              <w:rPr>
                <w:webHidden/>
              </w:rPr>
              <w:fldChar w:fldCharType="begin"/>
            </w:r>
            <w:r>
              <w:rPr>
                <w:webHidden/>
              </w:rPr>
              <w:instrText xml:space="preserve">PAGEREF _Toc230629446 \h</w:instrText>
            </w:r>
            <w:r>
              <w:rPr>
                <w:webHidden/>
              </w:rPr>
              <w:fldChar w:fldCharType="separate"/>
            </w:r>
            <w:r>
              <w:rPr>
                <w:rStyle w:val="czeindeksu"/>
                <w:vanish w:val="false"/>
              </w:rPr>
              <w:tab/>
              <w:t>24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47">
            <w:r>
              <w:rPr>
                <w:rStyle w:val="czeindeksu"/>
                <w:webHidden/>
              </w:rPr>
              <w:t>1.2.3</w:t>
            </w:r>
            <w:r>
              <w:rPr>
                <w:rStyle w:val="czeindeksu"/>
                <w:rFonts w:eastAsia="游明朝" w:ascii="Calibri" w:hAnsi="Calibri" w:asciiTheme="minorHAnsi" w:eastAsiaTheme="minorEastAsia" w:hAnsiTheme="minorHAnsi"/>
                <w:color w:val="auto"/>
                <w:szCs w:val="24"/>
                <w:lang w:eastAsia="pl-PL"/>
              </w:rPr>
              <w:tab/>
            </w:r>
            <w:r>
              <w:rPr>
                <w:rStyle w:val="czeindeksu"/>
              </w:rPr>
              <w:t>MobileNetV3 – architektura mobilna</w:t>
            </w:r>
            <w:r>
              <w:rPr>
                <w:webHidden/>
              </w:rPr>
              <w:fldChar w:fldCharType="begin"/>
            </w:r>
            <w:r>
              <w:rPr>
                <w:webHidden/>
              </w:rPr>
              <w:instrText xml:space="preserve">PAGEREF _Toc230629447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48">
            <w:r>
              <w:rPr>
                <w:rStyle w:val="czeindeksu"/>
                <w:webHidden/>
              </w:rPr>
              <w:t>1.2.4</w:t>
            </w:r>
            <w:r>
              <w:rPr>
                <w:rStyle w:val="czeindeksu"/>
                <w:rFonts w:eastAsia="游明朝" w:ascii="Calibri" w:hAnsi="Calibri" w:asciiTheme="minorHAnsi" w:eastAsiaTheme="minorEastAsia" w:hAnsiTheme="minorHAnsi"/>
                <w:color w:val="auto"/>
                <w:szCs w:val="24"/>
                <w:lang w:eastAsia="pl-PL"/>
              </w:rPr>
              <w:tab/>
            </w:r>
            <w:r>
              <w:rPr>
                <w:rStyle w:val="czeindeksu"/>
              </w:rPr>
              <w:t>EfficientNet-B0 – złożone skalowanie</w:t>
            </w:r>
            <w:r>
              <w:rPr>
                <w:webHidden/>
              </w:rPr>
              <w:fldChar w:fldCharType="begin"/>
            </w:r>
            <w:r>
              <w:rPr>
                <w:webHidden/>
              </w:rPr>
              <w:instrText xml:space="preserve">PAGEREF _Toc230629448 \h</w:instrText>
            </w:r>
            <w:r>
              <w:rPr>
                <w:webHidden/>
              </w:rPr>
              <w:fldChar w:fldCharType="separate"/>
            </w:r>
            <w:r>
              <w:rPr>
                <w:rStyle w:val="czeindeksu"/>
                <w:vanish w:val="false"/>
              </w:rPr>
              <w:tab/>
              <w:t>26</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49">
            <w:r>
              <w:rPr>
                <w:rStyle w:val="czeindeksu"/>
                <w:webHidden/>
              </w:rPr>
              <w:t>1.2.5</w:t>
            </w:r>
            <w:r>
              <w:rPr>
                <w:rStyle w:val="czeindeksu"/>
                <w:rFonts w:eastAsia="游明朝" w:ascii="Calibri" w:hAnsi="Calibri" w:asciiTheme="minorHAnsi" w:eastAsiaTheme="minorEastAsia" w:hAnsiTheme="minorHAnsi"/>
                <w:color w:val="auto"/>
                <w:szCs w:val="24"/>
                <w:lang w:eastAsia="pl-PL"/>
              </w:rPr>
              <w:tab/>
            </w:r>
            <w:r>
              <w:rPr>
                <w:rStyle w:val="czeindeksu"/>
              </w:rPr>
              <w:t>Transformer wizyjny - podstawy teoretyczne</w:t>
            </w:r>
            <w:r>
              <w:rPr>
                <w:webHidden/>
              </w:rPr>
              <w:fldChar w:fldCharType="begin"/>
            </w:r>
            <w:r>
              <w:rPr>
                <w:webHidden/>
              </w:rPr>
              <w:instrText xml:space="preserve">PAGEREF _Toc230629449 \h</w:instrText>
            </w:r>
            <w:r>
              <w:rPr>
                <w:webHidden/>
              </w:rPr>
              <w:fldChar w:fldCharType="separate"/>
            </w:r>
            <w:r>
              <w:rPr>
                <w:rStyle w:val="czeindeksu"/>
                <w:vanish w:val="false"/>
              </w:rPr>
              <w:tab/>
              <w:t>27</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50">
            <w:r>
              <w:rPr>
                <w:rStyle w:val="czeindeksu"/>
                <w:webHidden/>
                <w:lang w:val="en-US"/>
              </w:rPr>
              <w:t>1.2.6</w:t>
            </w:r>
            <w:r>
              <w:rPr>
                <w:rStyle w:val="czeindeksu"/>
                <w:rFonts w:eastAsia="游明朝" w:ascii="Calibri" w:hAnsi="Calibri" w:asciiTheme="minorHAnsi" w:eastAsiaTheme="minorEastAsia" w:hAnsiTheme="minorHAnsi"/>
                <w:color w:val="auto"/>
                <w:szCs w:val="24"/>
                <w:lang w:eastAsia="pl-PL"/>
              </w:rPr>
              <w:tab/>
            </w:r>
            <w:r>
              <w:rPr>
                <w:rStyle w:val="czeindeksu"/>
                <w:lang w:val="en-US"/>
              </w:rPr>
              <w:t>Vision Transformer (ViT-B/16)</w:t>
            </w:r>
            <w:r>
              <w:rPr>
                <w:webHidden/>
              </w:rPr>
              <w:fldChar w:fldCharType="begin"/>
            </w:r>
            <w:r>
              <w:rPr>
                <w:webHidden/>
              </w:rPr>
              <w:instrText xml:space="preserve">PAGEREF _Toc230629450 \h</w:instrText>
            </w:r>
            <w:r>
              <w:rPr>
                <w:webHidden/>
              </w:rPr>
              <w:fldChar w:fldCharType="separate"/>
            </w:r>
            <w:r>
              <w:rPr>
                <w:rStyle w:val="czeindeksu"/>
                <w:vanish w:val="false"/>
              </w:rPr>
              <w:tab/>
              <w:t>28</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30629451">
            <w:r>
              <w:rPr>
                <w:rStyle w:val="czeindeksu"/>
                <w:webHidden/>
              </w:rPr>
              <w:t>2.</w:t>
            </w:r>
            <w:r>
              <w:rPr>
                <w:rStyle w:val="czeindeksu"/>
                <w:rFonts w:eastAsia="游明朝" w:ascii="Calibri" w:hAnsi="Calibri" w:asciiTheme="minorHAnsi" w:eastAsiaTheme="minorEastAsia" w:hAnsiTheme="minorHAnsi"/>
                <w:b w:val="false"/>
                <w:color w:val="auto"/>
                <w:szCs w:val="24"/>
                <w:lang w:eastAsia="pl-PL"/>
              </w:rPr>
              <w:tab/>
            </w:r>
            <w:r>
              <w:rPr>
                <w:rStyle w:val="czeindeksu"/>
              </w:rPr>
              <w:t>Projekt</w:t>
            </w:r>
            <w:r>
              <w:rPr>
                <w:webHidden/>
              </w:rPr>
              <w:fldChar w:fldCharType="begin"/>
            </w:r>
            <w:r>
              <w:rPr>
                <w:webHidden/>
              </w:rPr>
              <w:instrText xml:space="preserve">PAGEREF _Toc230629451 \h</w:instrText>
            </w:r>
            <w:r>
              <w:rPr>
                <w:webHidden/>
              </w:rPr>
              <w:fldChar w:fldCharType="separate"/>
            </w:r>
            <w:r>
              <w:rPr>
                <w:rStyle w:val="czeindeksu"/>
                <w:vanish w:val="false"/>
              </w:rPr>
              <w:tab/>
              <w:t>29</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30629452">
            <w:r>
              <w:rPr>
                <w:rStyle w:val="czeindeksu"/>
                <w:webHidden/>
              </w:rPr>
              <w:t>2.1 Charakterystyka środowiska i stosu technologicznego</w:t>
            </w:r>
            <w:r>
              <w:rPr>
                <w:webHidden/>
              </w:rPr>
              <w:fldChar w:fldCharType="begin"/>
            </w:r>
            <w:r>
              <w:rPr>
                <w:webHidden/>
              </w:rPr>
              <w:instrText xml:space="preserve">PAGEREF _Toc230629452 \h</w:instrText>
            </w:r>
            <w:r>
              <w:rPr>
                <w:webHidden/>
              </w:rPr>
              <w:fldChar w:fldCharType="separate"/>
            </w:r>
            <w:r>
              <w:rPr>
                <w:rStyle w:val="czeindeksu"/>
                <w:vanish w:val="false"/>
              </w:rPr>
              <w:tab/>
              <w:t>29</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30629453">
            <w:r>
              <w:rPr>
                <w:rStyle w:val="czeindeksu"/>
                <w:webHidden/>
              </w:rPr>
              <w:t>2.2 Przygotowanie danych</w:t>
            </w:r>
            <w:r>
              <w:rPr>
                <w:webHidden/>
              </w:rPr>
              <w:fldChar w:fldCharType="begin"/>
            </w:r>
            <w:r>
              <w:rPr>
                <w:webHidden/>
              </w:rPr>
              <w:instrText xml:space="preserve">PAGEREF _Toc230629453 \h</w:instrText>
            </w:r>
            <w:r>
              <w:rPr>
                <w:webHidden/>
              </w:rPr>
              <w:fldChar w:fldCharType="separate"/>
            </w:r>
            <w:r>
              <w:rPr>
                <w:rStyle w:val="czeindeksu"/>
                <w:vanish w:val="false"/>
              </w:rPr>
              <w:tab/>
              <w:t>30</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30629454">
            <w:r>
              <w:rPr>
                <w:rStyle w:val="czeindeksu"/>
                <w:webHidden/>
              </w:rPr>
              <w:t>2.3 Podział danych oraz techniki przetwarzania wstępnego</w:t>
            </w:r>
            <w:r>
              <w:rPr>
                <w:webHidden/>
              </w:rPr>
              <w:fldChar w:fldCharType="begin"/>
            </w:r>
            <w:r>
              <w:rPr>
                <w:webHidden/>
              </w:rPr>
              <w:instrText xml:space="preserve">PAGEREF _Toc230629454 \h</w:instrText>
            </w:r>
            <w:r>
              <w:rPr>
                <w:webHidden/>
              </w:rPr>
              <w:fldChar w:fldCharType="separate"/>
            </w:r>
            <w:r>
              <w:rPr>
                <w:rStyle w:val="czeindeksu"/>
                <w:vanish w:val="false"/>
              </w:rPr>
              <w:tab/>
              <w:t>31</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30629455">
            <w:r>
              <w:rPr>
                <w:rStyle w:val="czeindeksu"/>
                <w:webHidden/>
              </w:rPr>
              <w:t>2.4 Parametry treningu</w:t>
            </w:r>
            <w:r>
              <w:rPr>
                <w:webHidden/>
              </w:rPr>
              <w:fldChar w:fldCharType="begin"/>
            </w:r>
            <w:r>
              <w:rPr>
                <w:webHidden/>
              </w:rPr>
              <w:instrText xml:space="preserve">PAGEREF _Toc230629455 \h</w:instrText>
            </w:r>
            <w:r>
              <w:rPr>
                <w:webHidden/>
              </w:rPr>
              <w:fldChar w:fldCharType="separate"/>
            </w:r>
            <w:r>
              <w:rPr>
                <w:rStyle w:val="czeindeksu"/>
                <w:vanish w:val="false"/>
              </w:rPr>
              <w:tab/>
              <w:t>33</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30629456">
            <w:r>
              <w:rPr>
                <w:rStyle w:val="czeindeksu"/>
                <w:webHidden/>
              </w:rPr>
              <w:t>2.5 Architektura własnego modelu CNN</w:t>
            </w:r>
            <w:r>
              <w:rPr>
                <w:webHidden/>
              </w:rPr>
              <w:fldChar w:fldCharType="begin"/>
            </w:r>
            <w:r>
              <w:rPr>
                <w:webHidden/>
              </w:rPr>
              <w:instrText xml:space="preserve">PAGEREF _Toc230629456 \h</w:instrText>
            </w:r>
            <w:r>
              <w:rPr>
                <w:webHidden/>
              </w:rPr>
              <w:fldChar w:fldCharType="separate"/>
            </w:r>
            <w:r>
              <w:rPr>
                <w:rStyle w:val="czeindeksu"/>
                <w:vanish w:val="false"/>
              </w:rPr>
              <w:tab/>
              <w:t>33</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30629457">
            <w:r>
              <w:rPr>
                <w:rStyle w:val="czeindeksu"/>
                <w:webHidden/>
              </w:rPr>
              <w:t>2.6 Wizualizacja decyzji modelu za pomocą GRAD-CAM</w:t>
            </w:r>
            <w:r>
              <w:rPr>
                <w:webHidden/>
              </w:rPr>
              <w:fldChar w:fldCharType="begin"/>
            </w:r>
            <w:r>
              <w:rPr>
                <w:webHidden/>
              </w:rPr>
              <w:instrText xml:space="preserve">PAGEREF _Toc230629457 \h</w:instrText>
            </w:r>
            <w:r>
              <w:rPr>
                <w:webHidden/>
              </w:rPr>
              <w:fldChar w:fldCharType="separate"/>
            </w:r>
            <w:r>
              <w:rPr>
                <w:rStyle w:val="czeindeksu"/>
                <w:vanish w:val="false"/>
              </w:rPr>
              <w:tab/>
              <w:t>35</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30629458">
            <w:r>
              <w:rPr>
                <w:rStyle w:val="czeindeksu"/>
                <w:webHidden/>
              </w:rPr>
              <w:t>3.</w:t>
            </w:r>
            <w:r>
              <w:rPr>
                <w:rStyle w:val="czeindeksu"/>
                <w:rFonts w:eastAsia="游明朝" w:ascii="Calibri" w:hAnsi="Calibri" w:asciiTheme="minorHAnsi" w:eastAsiaTheme="minorEastAsia" w:hAnsiTheme="minorHAnsi"/>
                <w:b w:val="false"/>
                <w:color w:val="auto"/>
                <w:szCs w:val="24"/>
                <w:lang w:eastAsia="pl-PL"/>
              </w:rPr>
              <w:tab/>
            </w:r>
            <w:r>
              <w:rPr>
                <w:rStyle w:val="czeindeksu"/>
              </w:rPr>
              <w:t>Implementacja</w:t>
            </w:r>
            <w:r>
              <w:rPr>
                <w:webHidden/>
              </w:rPr>
              <w:fldChar w:fldCharType="begin"/>
            </w:r>
            <w:r>
              <w:rPr>
                <w:webHidden/>
              </w:rPr>
              <w:instrText xml:space="preserve">PAGEREF _Toc230629458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59">
            <w:r>
              <w:rPr>
                <w:rStyle w:val="czeindeksu"/>
                <w:webHidden/>
              </w:rPr>
              <w:t>3.1</w:t>
            </w:r>
            <w:r>
              <w:rPr>
                <w:rStyle w:val="czeindeksu"/>
                <w:rFonts w:eastAsia="游明朝" w:ascii="Calibri" w:hAnsi="Calibri" w:asciiTheme="minorHAnsi" w:eastAsiaTheme="minorEastAsia" w:hAnsiTheme="minorHAnsi"/>
                <w:color w:val="auto"/>
                <w:szCs w:val="24"/>
                <w:lang w:eastAsia="pl-PL"/>
              </w:rPr>
              <w:tab/>
            </w:r>
            <w:r>
              <w:rPr>
                <w:rStyle w:val="czeindeksu"/>
              </w:rPr>
              <w:t>Struktura projektu i modułowość</w:t>
            </w:r>
            <w:r>
              <w:rPr>
                <w:webHidden/>
              </w:rPr>
              <w:fldChar w:fldCharType="begin"/>
            </w:r>
            <w:r>
              <w:rPr>
                <w:webHidden/>
              </w:rPr>
              <w:instrText xml:space="preserve">PAGEREF _Toc230629459 \h</w:instrText>
            </w:r>
            <w:r>
              <w:rPr>
                <w:webHidden/>
              </w:rPr>
              <w:fldChar w:fldCharType="separate"/>
            </w:r>
            <w:r>
              <w:rPr>
                <w:rStyle w:val="czeindeksu"/>
                <w:vanish w:val="false"/>
              </w:rPr>
              <w:tab/>
              <w:t>38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60">
            <w:r>
              <w:rPr>
                <w:rStyle w:val="czeindeksu"/>
                <w:webHidden/>
              </w:rPr>
              <w:t>3.1.1</w:t>
            </w:r>
            <w:r>
              <w:rPr>
                <w:rStyle w:val="czeindeksu"/>
                <w:rFonts w:eastAsia="游明朝" w:ascii="Calibri" w:hAnsi="Calibri" w:asciiTheme="minorHAnsi" w:eastAsiaTheme="minorEastAsia" w:hAnsiTheme="minorHAnsi"/>
                <w:color w:val="auto"/>
                <w:szCs w:val="24"/>
                <w:lang w:eastAsia="pl-PL"/>
              </w:rPr>
              <w:tab/>
            </w:r>
            <w:r>
              <w:rPr>
                <w:rStyle w:val="czeindeksu"/>
              </w:rPr>
              <w:t>Środowisko treningowe</w:t>
            </w:r>
            <w:r>
              <w:rPr>
                <w:webHidden/>
              </w:rPr>
              <w:fldChar w:fldCharType="begin"/>
            </w:r>
            <w:r>
              <w:rPr>
                <w:webHidden/>
              </w:rPr>
              <w:instrText xml:space="preserve">PAGEREF _Toc230629460 \h</w:instrText>
            </w:r>
            <w:r>
              <w:rPr>
                <w:webHidden/>
              </w:rPr>
              <w:fldChar w:fldCharType="separate"/>
            </w:r>
            <w:r>
              <w:rPr>
                <w:rStyle w:val="czeindeksu"/>
                <w:vanish w:val="false"/>
              </w:rPr>
              <w:tab/>
              <w:t>39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61">
            <w:r>
              <w:rPr>
                <w:rStyle w:val="czeindeksu"/>
                <w:webHidden/>
              </w:rPr>
              <w:t>3.1.2</w:t>
            </w:r>
            <w:r>
              <w:rPr>
                <w:rStyle w:val="czeindeksu"/>
                <w:rFonts w:eastAsia="游明朝" w:ascii="Calibri" w:hAnsi="Calibri" w:asciiTheme="minorHAnsi" w:eastAsiaTheme="minorEastAsia" w:hAnsiTheme="minorHAnsi"/>
                <w:color w:val="auto"/>
                <w:szCs w:val="24"/>
                <w:lang w:eastAsia="pl-PL"/>
              </w:rPr>
              <w:tab/>
            </w:r>
            <w:r>
              <w:rPr>
                <w:rStyle w:val="czeindeksu"/>
              </w:rPr>
              <w:t>Architektura warstwy serwerowej</w:t>
            </w:r>
            <w:r>
              <w:rPr>
                <w:webHidden/>
              </w:rPr>
              <w:fldChar w:fldCharType="begin"/>
            </w:r>
            <w:r>
              <w:rPr>
                <w:webHidden/>
              </w:rPr>
              <w:instrText xml:space="preserve">PAGEREF _Toc230629461 \h</w:instrText>
            </w:r>
            <w:r>
              <w:rPr>
                <w:webHidden/>
              </w:rPr>
              <w:fldChar w:fldCharType="separate"/>
            </w:r>
            <w:r>
              <w:rPr>
                <w:rStyle w:val="czeindeksu"/>
                <w:vanish w:val="false"/>
              </w:rPr>
              <w:tab/>
              <w:t>39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62">
            <w:r>
              <w:rPr>
                <w:rStyle w:val="czeindeksu"/>
                <w:webHidden/>
              </w:rPr>
              <w:t>3.1.3</w:t>
            </w:r>
            <w:r>
              <w:rPr>
                <w:rStyle w:val="czeindeksu"/>
                <w:rFonts w:eastAsia="游明朝" w:ascii="Calibri" w:hAnsi="Calibri" w:asciiTheme="minorHAnsi" w:eastAsiaTheme="minorEastAsia" w:hAnsiTheme="minorHAnsi"/>
                <w:color w:val="auto"/>
                <w:szCs w:val="24"/>
                <w:lang w:eastAsia="pl-PL"/>
              </w:rPr>
              <w:tab/>
            </w:r>
            <w:r>
              <w:rPr>
                <w:rStyle w:val="czeindeksu"/>
              </w:rPr>
              <w:t>Architektura warstwy klienta</w:t>
            </w:r>
            <w:r>
              <w:rPr>
                <w:webHidden/>
              </w:rPr>
              <w:fldChar w:fldCharType="begin"/>
            </w:r>
            <w:r>
              <w:rPr>
                <w:webHidden/>
              </w:rPr>
              <w:instrText xml:space="preserve">PAGEREF _Toc230629462 \h</w:instrText>
            </w:r>
            <w:r>
              <w:rPr>
                <w:webHidden/>
              </w:rPr>
              <w:fldChar w:fldCharType="separate"/>
            </w:r>
            <w:r>
              <w:rPr>
                <w:rStyle w:val="czeindeksu"/>
                <w:vanish w:val="false"/>
              </w:rPr>
              <w:tab/>
              <w:t>40</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63">
            <w:r>
              <w:rPr>
                <w:rStyle w:val="czeindeksu"/>
                <w:webHidden/>
              </w:rPr>
              <w:t>3.1.4</w:t>
            </w:r>
            <w:r>
              <w:rPr>
                <w:rStyle w:val="czeindeksu"/>
                <w:rFonts w:eastAsia="游明朝" w:ascii="Calibri" w:hAnsi="Calibri" w:asciiTheme="minorHAnsi" w:eastAsiaTheme="minorEastAsia" w:hAnsiTheme="minorHAnsi"/>
                <w:color w:val="auto"/>
                <w:szCs w:val="24"/>
                <w:lang w:eastAsia="pl-PL"/>
              </w:rPr>
              <w:tab/>
            </w:r>
            <w:r>
              <w:rPr>
                <w:rStyle w:val="czeindeksu"/>
              </w:rPr>
              <w:t>Warstwa persystencji</w:t>
            </w:r>
            <w:r>
              <w:rPr>
                <w:webHidden/>
              </w:rPr>
              <w:fldChar w:fldCharType="begin"/>
            </w:r>
            <w:r>
              <w:rPr>
                <w:webHidden/>
              </w:rPr>
              <w:instrText xml:space="preserve">PAGEREF _Toc230629463 \h</w:instrText>
            </w:r>
            <w:r>
              <w:rPr>
                <w:webHidden/>
              </w:rPr>
              <w:fldChar w:fldCharType="separate"/>
            </w:r>
            <w:r>
              <w:rPr>
                <w:rStyle w:val="czeindeksu"/>
                <w:vanish w:val="false"/>
              </w:rPr>
              <w:tab/>
              <w:t>40</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64">
            <w:r>
              <w:rPr>
                <w:rStyle w:val="czeindeksu"/>
                <w:webHidden/>
              </w:rPr>
              <w:t>3.1.5</w:t>
            </w:r>
            <w:r>
              <w:rPr>
                <w:rStyle w:val="czeindeksu"/>
                <w:rFonts w:eastAsia="游明朝" w:ascii="Calibri" w:hAnsi="Calibri" w:asciiTheme="minorHAnsi" w:eastAsiaTheme="minorEastAsia" w:hAnsiTheme="minorHAnsi"/>
                <w:color w:val="auto"/>
                <w:szCs w:val="24"/>
                <w:lang w:eastAsia="pl-PL"/>
              </w:rPr>
              <w:tab/>
            </w:r>
            <w:r>
              <w:rPr>
                <w:rStyle w:val="czeindeksu"/>
              </w:rPr>
              <w:t>Użyte biblioteki</w:t>
            </w:r>
            <w:r>
              <w:rPr>
                <w:webHidden/>
              </w:rPr>
              <w:fldChar w:fldCharType="begin"/>
            </w:r>
            <w:r>
              <w:rPr>
                <w:webHidden/>
              </w:rPr>
              <w:instrText xml:space="preserve">PAGEREF _Toc230629464 \h</w:instrText>
            </w:r>
            <w:r>
              <w:rPr>
                <w:webHidden/>
              </w:rPr>
              <w:fldChar w:fldCharType="separate"/>
            </w:r>
            <w:r>
              <w:rPr>
                <w:rStyle w:val="czeindeksu"/>
                <w:vanish w:val="false"/>
              </w:rPr>
              <w:tab/>
              <w:t>41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65">
            <w:r>
              <w:rPr>
                <w:rStyle w:val="czeindeksu"/>
                <w:webHidden/>
              </w:rPr>
              <w:t>3.2</w:t>
            </w:r>
            <w:r>
              <w:rPr>
                <w:rStyle w:val="czeindeksu"/>
                <w:rFonts w:eastAsia="游明朝" w:ascii="Calibri" w:hAnsi="Calibri" w:asciiTheme="minorHAnsi" w:eastAsiaTheme="minorEastAsia" w:hAnsiTheme="minorHAnsi"/>
                <w:color w:val="auto"/>
                <w:szCs w:val="24"/>
                <w:lang w:eastAsia="pl-PL"/>
              </w:rPr>
              <w:tab/>
            </w:r>
            <w:r>
              <w:rPr>
                <w:rStyle w:val="czeindeksu"/>
              </w:rPr>
              <w:t>Architektura systemu i przepływ danych</w:t>
            </w:r>
            <w:r>
              <w:rPr>
                <w:webHidden/>
              </w:rPr>
              <w:fldChar w:fldCharType="begin"/>
            </w:r>
            <w:r>
              <w:rPr>
                <w:webHidden/>
              </w:rPr>
              <w:instrText xml:space="preserve">PAGEREF _Toc230629465 \h</w:instrText>
            </w:r>
            <w:r>
              <w:rPr>
                <w:webHidden/>
              </w:rPr>
              <w:fldChar w:fldCharType="separate"/>
            </w:r>
            <w:r>
              <w:rPr>
                <w:rStyle w:val="czeindeksu"/>
                <w:vanish w:val="false"/>
              </w:rPr>
              <w:tab/>
              <w:t>43</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66">
            <w:r>
              <w:rPr>
                <w:rStyle w:val="czeindeksu"/>
                <w:webHidden/>
              </w:rPr>
              <w:t>3.3</w:t>
            </w:r>
            <w:r>
              <w:rPr>
                <w:rStyle w:val="czeindeksu"/>
                <w:rFonts w:eastAsia="游明朝" w:ascii="Calibri" w:hAnsi="Calibri" w:asciiTheme="minorHAnsi" w:eastAsiaTheme="minorEastAsia" w:hAnsiTheme="minorHAnsi"/>
                <w:color w:val="auto"/>
                <w:szCs w:val="24"/>
                <w:lang w:eastAsia="pl-PL"/>
              </w:rPr>
              <w:tab/>
            </w:r>
            <w:r>
              <w:rPr>
                <w:rStyle w:val="czeindeksu"/>
              </w:rPr>
              <w:t>Zbiór danych i przygotowanie materiału badawczego</w:t>
            </w:r>
            <w:r>
              <w:rPr>
                <w:webHidden/>
              </w:rPr>
              <w:fldChar w:fldCharType="begin"/>
            </w:r>
            <w:r>
              <w:rPr>
                <w:webHidden/>
              </w:rPr>
              <w:instrText xml:space="preserve">PAGEREF _Toc230629466 \h</w:instrText>
            </w:r>
            <w:r>
              <w:rPr>
                <w:webHidden/>
              </w:rPr>
              <w:fldChar w:fldCharType="separate"/>
            </w:r>
            <w:r>
              <w:rPr>
                <w:rStyle w:val="czeindeksu"/>
                <w:vanish w:val="false"/>
              </w:rPr>
              <w:tab/>
              <w:t>44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67">
            <w:r>
              <w:rPr>
                <w:rStyle w:val="czeindeksu"/>
                <w:webHidden/>
              </w:rPr>
              <w:t>3.4</w:t>
            </w:r>
            <w:r>
              <w:rPr>
                <w:rStyle w:val="czeindeksu"/>
                <w:rFonts w:eastAsia="游明朝" w:ascii="Calibri" w:hAnsi="Calibri" w:asciiTheme="minorHAnsi" w:eastAsiaTheme="minorEastAsia" w:hAnsiTheme="minorHAnsi"/>
                <w:color w:val="auto"/>
                <w:szCs w:val="24"/>
                <w:lang w:eastAsia="pl-PL"/>
              </w:rPr>
              <w:tab/>
            </w:r>
            <w:r>
              <w:rPr>
                <w:rStyle w:val="czeindeksu"/>
              </w:rPr>
              <w:t>Środowisko treningowe i konfiguracja eksperymentów</w:t>
            </w:r>
            <w:r>
              <w:rPr>
                <w:webHidden/>
              </w:rPr>
              <w:fldChar w:fldCharType="begin"/>
            </w:r>
            <w:r>
              <w:rPr>
                <w:webHidden/>
              </w:rPr>
              <w:instrText xml:space="preserve">PAGEREF _Toc230629467 \h</w:instrText>
            </w:r>
            <w:r>
              <w:rPr>
                <w:webHidden/>
              </w:rPr>
              <w:fldChar w:fldCharType="separate"/>
            </w:r>
            <w:r>
              <w:rPr>
                <w:rStyle w:val="czeindeksu"/>
                <w:vanish w:val="false"/>
              </w:rPr>
              <w:tab/>
              <w:t>46</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68">
            <w:r>
              <w:rPr>
                <w:rStyle w:val="czeindeksu"/>
                <w:webHidden/>
              </w:rPr>
              <w:t>3.5</w:t>
            </w:r>
            <w:r>
              <w:rPr>
                <w:rStyle w:val="czeindeksu"/>
                <w:rFonts w:eastAsia="游明朝" w:ascii="Calibri" w:hAnsi="Calibri" w:asciiTheme="minorHAnsi" w:eastAsiaTheme="minorEastAsia" w:hAnsiTheme="minorHAnsi"/>
                <w:color w:val="auto"/>
                <w:szCs w:val="24"/>
                <w:lang w:eastAsia="pl-PL"/>
              </w:rPr>
              <w:tab/>
            </w:r>
            <w:r>
              <w:rPr>
                <w:rStyle w:val="czeindeksu"/>
              </w:rPr>
              <w:t>Implementacja i adaptacja architektur sieciowych</w:t>
            </w:r>
            <w:r>
              <w:rPr>
                <w:webHidden/>
              </w:rPr>
              <w:fldChar w:fldCharType="begin"/>
            </w:r>
            <w:r>
              <w:rPr>
                <w:webHidden/>
              </w:rPr>
              <w:instrText xml:space="preserve">PAGEREF _Toc230629468 \h</w:instrText>
            </w:r>
            <w:r>
              <w:rPr>
                <w:webHidden/>
              </w:rPr>
              <w:fldChar w:fldCharType="separate"/>
            </w:r>
            <w:r>
              <w:rPr>
                <w:rStyle w:val="czeindeksu"/>
                <w:vanish w:val="false"/>
              </w:rPr>
              <w:tab/>
              <w:t>47</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69">
            <w:r>
              <w:rPr>
                <w:rStyle w:val="czeindeksu"/>
                <w:webHidden/>
              </w:rPr>
              <w:t>3.5.1</w:t>
            </w:r>
            <w:r>
              <w:rPr>
                <w:rStyle w:val="czeindeksu"/>
                <w:rFonts w:eastAsia="游明朝" w:ascii="Calibri" w:hAnsi="Calibri" w:asciiTheme="minorHAnsi" w:eastAsiaTheme="minorEastAsia" w:hAnsiTheme="minorHAnsi"/>
                <w:color w:val="auto"/>
                <w:szCs w:val="24"/>
                <w:lang w:eastAsia="pl-PL"/>
              </w:rPr>
              <w:tab/>
            </w:r>
            <w:r>
              <w:rPr>
                <w:rStyle w:val="czeindeksu"/>
              </w:rPr>
              <w:t>Custom CNN</w:t>
            </w:r>
            <w:r>
              <w:rPr>
                <w:webHidden/>
              </w:rPr>
              <w:fldChar w:fldCharType="begin"/>
            </w:r>
            <w:r>
              <w:rPr>
                <w:webHidden/>
              </w:rPr>
              <w:instrText xml:space="preserve">PAGEREF _Toc230629469 \h</w:instrText>
            </w:r>
            <w:r>
              <w:rPr>
                <w:webHidden/>
              </w:rPr>
              <w:fldChar w:fldCharType="separate"/>
            </w:r>
            <w:r>
              <w:rPr>
                <w:rStyle w:val="czeindeksu"/>
                <w:vanish w:val="false"/>
              </w:rPr>
              <w:tab/>
              <w:t>47</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70">
            <w:r>
              <w:rPr>
                <w:rStyle w:val="czeindeksu"/>
                <w:webHidden/>
              </w:rPr>
              <w:t>3.5.2</w:t>
            </w:r>
            <w:r>
              <w:rPr>
                <w:rStyle w:val="czeindeksu"/>
                <w:rFonts w:eastAsia="游明朝" w:ascii="Calibri" w:hAnsi="Calibri" w:asciiTheme="minorHAnsi" w:eastAsiaTheme="minorEastAsia" w:hAnsiTheme="minorHAnsi"/>
                <w:color w:val="auto"/>
                <w:szCs w:val="24"/>
                <w:lang w:eastAsia="pl-PL"/>
              </w:rPr>
              <w:tab/>
            </w:r>
            <w:r>
              <w:rPr>
                <w:rStyle w:val="czeindeksu"/>
              </w:rPr>
              <w:t>ResNet-50</w:t>
            </w:r>
            <w:r>
              <w:rPr>
                <w:webHidden/>
              </w:rPr>
              <w:fldChar w:fldCharType="begin"/>
            </w:r>
            <w:r>
              <w:rPr>
                <w:webHidden/>
              </w:rPr>
              <w:instrText xml:space="preserve">PAGEREF _Toc230629470 \h</w:instrText>
            </w:r>
            <w:r>
              <w:rPr>
                <w:webHidden/>
              </w:rPr>
              <w:fldChar w:fldCharType="separate"/>
            </w:r>
            <w:r>
              <w:rPr>
                <w:rStyle w:val="czeindeksu"/>
                <w:vanish w:val="false"/>
              </w:rPr>
              <w:tab/>
              <w:t>48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71">
            <w:r>
              <w:rPr>
                <w:rStyle w:val="czeindeksu"/>
                <w:webHidden/>
              </w:rPr>
              <w:t>3.5.3</w:t>
            </w:r>
            <w:r>
              <w:rPr>
                <w:rStyle w:val="czeindeksu"/>
                <w:rFonts w:eastAsia="游明朝" w:ascii="Calibri" w:hAnsi="Calibri" w:asciiTheme="minorHAnsi" w:eastAsiaTheme="minorEastAsia" w:hAnsiTheme="minorHAnsi"/>
                <w:color w:val="auto"/>
                <w:szCs w:val="24"/>
                <w:lang w:eastAsia="pl-PL"/>
              </w:rPr>
              <w:tab/>
            </w:r>
            <w:r>
              <w:rPr>
                <w:rStyle w:val="czeindeksu"/>
              </w:rPr>
              <w:t>MobileNetV3-Large</w:t>
            </w:r>
            <w:r>
              <w:rPr>
                <w:webHidden/>
              </w:rPr>
              <w:fldChar w:fldCharType="begin"/>
            </w:r>
            <w:r>
              <w:rPr>
                <w:webHidden/>
              </w:rPr>
              <w:instrText xml:space="preserve">PAGEREF _Toc230629471 \h</w:instrText>
            </w:r>
            <w:r>
              <w:rPr>
                <w:webHidden/>
              </w:rPr>
              <w:fldChar w:fldCharType="separate"/>
            </w:r>
            <w:r>
              <w:rPr>
                <w:rStyle w:val="czeindeksu"/>
                <w:vanish w:val="false"/>
              </w:rPr>
              <w:tab/>
              <w:t>48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72">
            <w:r>
              <w:rPr>
                <w:rStyle w:val="czeindeksu"/>
                <w:webHidden/>
              </w:rPr>
              <w:t>3.5.4</w:t>
            </w:r>
            <w:r>
              <w:rPr>
                <w:rStyle w:val="czeindeksu"/>
                <w:rFonts w:eastAsia="游明朝" w:ascii="Calibri" w:hAnsi="Calibri" w:asciiTheme="minorHAnsi" w:eastAsiaTheme="minorEastAsia" w:hAnsiTheme="minorHAnsi"/>
                <w:color w:val="auto"/>
                <w:szCs w:val="24"/>
                <w:lang w:eastAsia="pl-PL"/>
              </w:rPr>
              <w:tab/>
            </w:r>
            <w:r>
              <w:rPr>
                <w:rStyle w:val="czeindeksu"/>
              </w:rPr>
              <w:t>EfficientNet-B0</w:t>
            </w:r>
            <w:r>
              <w:rPr>
                <w:webHidden/>
              </w:rPr>
              <w:fldChar w:fldCharType="begin"/>
            </w:r>
            <w:r>
              <w:rPr>
                <w:webHidden/>
              </w:rPr>
              <w:instrText xml:space="preserve">PAGEREF _Toc230629472 \h</w:instrText>
            </w:r>
            <w:r>
              <w:rPr>
                <w:webHidden/>
              </w:rPr>
              <w:fldChar w:fldCharType="separate"/>
            </w:r>
            <w:r>
              <w:rPr>
                <w:rStyle w:val="czeindeksu"/>
                <w:vanish w:val="false"/>
              </w:rPr>
              <w:tab/>
              <w:t>48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73">
            <w:r>
              <w:rPr>
                <w:rStyle w:val="czeindeksu"/>
                <w:webHidden/>
                <w:lang w:val="en-US"/>
              </w:rPr>
              <w:t>3.5.5</w:t>
            </w:r>
            <w:r>
              <w:rPr>
                <w:rStyle w:val="czeindeksu"/>
                <w:rFonts w:eastAsia="游明朝" w:ascii="Calibri" w:hAnsi="Calibri" w:asciiTheme="minorHAnsi" w:eastAsiaTheme="minorEastAsia" w:hAnsiTheme="minorHAnsi"/>
                <w:color w:val="auto"/>
                <w:szCs w:val="24"/>
                <w:lang w:eastAsia="pl-PL"/>
              </w:rPr>
              <w:tab/>
            </w:r>
            <w:r>
              <w:rPr>
                <w:rStyle w:val="czeindeksu"/>
                <w:lang w:val="en-US"/>
              </w:rPr>
              <w:t>Vision Transformer (ViT-B/16)</w:t>
            </w:r>
            <w:r>
              <w:rPr>
                <w:webHidden/>
              </w:rPr>
              <w:fldChar w:fldCharType="begin"/>
            </w:r>
            <w:r>
              <w:rPr>
                <w:webHidden/>
              </w:rPr>
              <w:instrText xml:space="preserve">PAGEREF _Toc230629473 \h</w:instrText>
            </w:r>
            <w:r>
              <w:rPr>
                <w:webHidden/>
              </w:rPr>
              <w:fldChar w:fldCharType="separate"/>
            </w:r>
            <w:r>
              <w:rPr>
                <w:rStyle w:val="czeindeksu"/>
                <w:vanish w:val="false"/>
              </w:rPr>
              <w:tab/>
              <w:t>48</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74">
            <w:r>
              <w:rPr>
                <w:rStyle w:val="czeindeksu"/>
                <w:webHidden/>
              </w:rPr>
              <w:t>3.6</w:t>
            </w:r>
            <w:r>
              <w:rPr>
                <w:rStyle w:val="czeindeksu"/>
                <w:rFonts w:eastAsia="游明朝" w:ascii="Calibri" w:hAnsi="Calibri" w:asciiTheme="minorHAnsi" w:eastAsiaTheme="minorEastAsia" w:hAnsiTheme="minorHAnsi"/>
                <w:color w:val="auto"/>
                <w:szCs w:val="24"/>
                <w:lang w:eastAsia="pl-PL"/>
              </w:rPr>
              <w:tab/>
            </w:r>
            <w:r>
              <w:rPr>
                <w:rStyle w:val="czeindeksu"/>
              </w:rPr>
              <w:t>Implementacja testu odporności modeli na lekkie zniekształcenia zdjęć</w:t>
            </w:r>
            <w:r>
              <w:rPr>
                <w:webHidden/>
              </w:rPr>
              <w:fldChar w:fldCharType="begin"/>
            </w:r>
            <w:r>
              <w:rPr>
                <w:webHidden/>
              </w:rPr>
              <w:instrText xml:space="preserve">PAGEREF _Toc230629474 \h</w:instrText>
            </w:r>
            <w:r>
              <w:rPr>
                <w:webHidden/>
              </w:rPr>
              <w:fldChar w:fldCharType="separate"/>
            </w:r>
            <w:r>
              <w:rPr>
                <w:rStyle w:val="czeindeksu"/>
                <w:vanish w:val="false"/>
              </w:rPr>
              <w:tab/>
              <w:t>49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75">
            <w:r>
              <w:rPr>
                <w:rStyle w:val="czeindeksu"/>
                <w:webHidden/>
              </w:rPr>
              <w:t>3.7</w:t>
            </w:r>
            <w:r>
              <w:rPr>
                <w:rStyle w:val="czeindeksu"/>
                <w:rFonts w:eastAsia="游明朝" w:ascii="Calibri" w:hAnsi="Calibri" w:asciiTheme="minorHAnsi" w:eastAsiaTheme="minorEastAsia" w:hAnsiTheme="minorHAnsi"/>
                <w:color w:val="auto"/>
                <w:szCs w:val="24"/>
                <w:lang w:eastAsia="pl-PL"/>
              </w:rPr>
              <w:tab/>
            </w:r>
            <w:r>
              <w:rPr>
                <w:rStyle w:val="czeindeksu"/>
              </w:rPr>
              <w:t>Implementacja mechanizmu Grad-CAM i generowa-nia map aktywacji</w:t>
            </w:r>
            <w:r>
              <w:rPr>
                <w:webHidden/>
              </w:rPr>
              <w:fldChar w:fldCharType="begin"/>
            </w:r>
            <w:r>
              <w:rPr>
                <w:webHidden/>
              </w:rPr>
              <w:instrText xml:space="preserve">PAGEREF _Toc230629475 \h</w:instrText>
            </w:r>
            <w:r>
              <w:rPr>
                <w:webHidden/>
              </w:rPr>
              <w:fldChar w:fldCharType="separate"/>
            </w:r>
            <w:r>
              <w:rPr>
                <w:rStyle w:val="czeindeksu"/>
                <w:vanish w:val="false"/>
              </w:rPr>
              <w:tab/>
              <w:t>50</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76">
            <w:r>
              <w:rPr>
                <w:rStyle w:val="czeindeksu"/>
                <w:webHidden/>
              </w:rPr>
              <w:t>3.8</w:t>
            </w:r>
            <w:r>
              <w:rPr>
                <w:rStyle w:val="czeindeksu"/>
                <w:rFonts w:eastAsia="游明朝" w:ascii="Calibri" w:hAnsi="Calibri" w:asciiTheme="minorHAnsi" w:eastAsiaTheme="minorEastAsia" w:hAnsiTheme="minorHAnsi"/>
                <w:color w:val="auto"/>
                <w:szCs w:val="24"/>
                <w:lang w:eastAsia="pl-PL"/>
              </w:rPr>
              <w:tab/>
            </w:r>
            <w:r>
              <w:rPr>
                <w:rStyle w:val="czeindeksu"/>
              </w:rPr>
              <w:t>Implementacja systemu ensemble i mechanizmu głosowania</w:t>
            </w:r>
            <w:r>
              <w:rPr>
                <w:webHidden/>
              </w:rPr>
              <w:fldChar w:fldCharType="begin"/>
            </w:r>
            <w:r>
              <w:rPr>
                <w:webHidden/>
              </w:rPr>
              <w:instrText xml:space="preserve">PAGEREF _Toc230629476 \h</w:instrText>
            </w:r>
            <w:r>
              <w:rPr>
                <w:webHidden/>
              </w:rPr>
              <w:fldChar w:fldCharType="separate"/>
            </w:r>
            <w:r>
              <w:rPr>
                <w:rStyle w:val="czeindeksu"/>
                <w:vanish w:val="false"/>
              </w:rPr>
              <w:tab/>
              <w:t>52</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77">
            <w:r>
              <w:rPr>
                <w:rStyle w:val="czeindeksu"/>
                <w:webHidden/>
              </w:rPr>
              <w:t>3.9</w:t>
            </w:r>
            <w:r>
              <w:rPr>
                <w:rStyle w:val="czeindeksu"/>
                <w:rFonts w:eastAsia="游明朝" w:ascii="Calibri" w:hAnsi="Calibri" w:asciiTheme="minorHAnsi" w:eastAsiaTheme="minorEastAsia" w:hAnsiTheme="minorHAnsi"/>
                <w:color w:val="auto"/>
                <w:szCs w:val="24"/>
                <w:lang w:eastAsia="pl-PL"/>
              </w:rPr>
              <w:tab/>
            </w:r>
            <w:r>
              <w:rPr>
                <w:rStyle w:val="czeindeksu"/>
              </w:rPr>
              <w:t>Interfejs użytkownika</w:t>
            </w:r>
            <w:r>
              <w:rPr>
                <w:webHidden/>
              </w:rPr>
              <w:fldChar w:fldCharType="begin"/>
            </w:r>
            <w:r>
              <w:rPr>
                <w:webHidden/>
              </w:rPr>
              <w:instrText xml:space="preserve">PAGEREF _Toc230629477 \h</w:instrText>
            </w:r>
            <w:r>
              <w:rPr>
                <w:webHidden/>
              </w:rPr>
              <w:fldChar w:fldCharType="separate"/>
            </w:r>
            <w:r>
              <w:rPr>
                <w:rStyle w:val="czeindeksu"/>
                <w:vanish w:val="false"/>
              </w:rPr>
              <w:tab/>
              <w:t>54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78">
            <w:r>
              <w:rPr>
                <w:rStyle w:val="czeindeksu"/>
                <w:webHidden/>
              </w:rPr>
              <w:t>3.9.1</w:t>
            </w:r>
            <w:r>
              <w:rPr>
                <w:rStyle w:val="czeindeksu"/>
                <w:rFonts w:eastAsia="游明朝" w:ascii="Calibri" w:hAnsi="Calibri" w:asciiTheme="minorHAnsi" w:eastAsiaTheme="minorEastAsia" w:hAnsiTheme="minorHAnsi"/>
                <w:color w:val="auto"/>
                <w:szCs w:val="24"/>
                <w:lang w:eastAsia="pl-PL"/>
              </w:rPr>
              <w:tab/>
            </w:r>
            <w:r>
              <w:rPr>
                <w:rStyle w:val="czeindeksu"/>
              </w:rPr>
              <w:t>Zakładka skaner</w:t>
            </w:r>
            <w:r>
              <w:rPr>
                <w:webHidden/>
              </w:rPr>
              <w:fldChar w:fldCharType="begin"/>
            </w:r>
            <w:r>
              <w:rPr>
                <w:webHidden/>
              </w:rPr>
              <w:instrText xml:space="preserve">PAGEREF _Toc230629478 \h</w:instrText>
            </w:r>
            <w:r>
              <w:rPr>
                <w:webHidden/>
              </w:rPr>
              <w:fldChar w:fldCharType="separate"/>
            </w:r>
            <w:r>
              <w:rPr>
                <w:rStyle w:val="czeindeksu"/>
                <w:vanish w:val="false"/>
              </w:rPr>
              <w:tab/>
              <w:t>54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79">
            <w:r>
              <w:rPr>
                <w:rStyle w:val="czeindeksu"/>
                <w:webHidden/>
              </w:rPr>
              <w:t>3.9.2</w:t>
            </w:r>
            <w:r>
              <w:rPr>
                <w:rStyle w:val="czeindeksu"/>
                <w:rFonts w:eastAsia="游明朝" w:ascii="Calibri" w:hAnsi="Calibri" w:asciiTheme="minorHAnsi" w:eastAsiaTheme="minorEastAsia" w:hAnsiTheme="minorHAnsi"/>
                <w:color w:val="auto"/>
                <w:szCs w:val="24"/>
                <w:lang w:eastAsia="pl-PL"/>
              </w:rPr>
              <w:tab/>
            </w:r>
            <w:r>
              <w:rPr>
                <w:rStyle w:val="czeindeksu"/>
              </w:rPr>
              <w:t>Zakładka historia</w:t>
            </w:r>
            <w:r>
              <w:rPr>
                <w:webHidden/>
              </w:rPr>
              <w:fldChar w:fldCharType="begin"/>
            </w:r>
            <w:r>
              <w:rPr>
                <w:webHidden/>
              </w:rPr>
              <w:instrText xml:space="preserve">PAGEREF _Toc230629479 \h</w:instrText>
            </w:r>
            <w:r>
              <w:rPr>
                <w:webHidden/>
              </w:rPr>
              <w:fldChar w:fldCharType="separate"/>
            </w:r>
            <w:r>
              <w:rPr>
                <w:rStyle w:val="czeindeksu"/>
                <w:vanish w:val="false"/>
              </w:rPr>
              <w:tab/>
              <w:t>57</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80">
            <w:r>
              <w:rPr>
                <w:rStyle w:val="czeindeksu"/>
                <w:webHidden/>
              </w:rPr>
              <w:t>3.9.3</w:t>
            </w:r>
            <w:r>
              <w:rPr>
                <w:rStyle w:val="czeindeksu"/>
                <w:rFonts w:eastAsia="游明朝" w:ascii="Calibri" w:hAnsi="Calibri" w:asciiTheme="minorHAnsi" w:eastAsiaTheme="minorEastAsia" w:hAnsiTheme="minorHAnsi"/>
                <w:color w:val="auto"/>
                <w:szCs w:val="24"/>
                <w:lang w:eastAsia="pl-PL"/>
              </w:rPr>
              <w:tab/>
            </w:r>
            <w:r>
              <w:rPr>
                <w:rStyle w:val="czeindeksu"/>
              </w:rPr>
              <w:t>Zakładka „Kamera na żywo”</w:t>
            </w:r>
            <w:r>
              <w:rPr>
                <w:webHidden/>
              </w:rPr>
              <w:fldChar w:fldCharType="begin"/>
            </w:r>
            <w:r>
              <w:rPr>
                <w:webHidden/>
              </w:rPr>
              <w:instrText xml:space="preserve">PAGEREF _Toc230629480 \h</w:instrText>
            </w:r>
            <w:r>
              <w:rPr>
                <w:webHidden/>
              </w:rPr>
              <w:fldChar w:fldCharType="separate"/>
            </w:r>
            <w:r>
              <w:rPr>
                <w:rStyle w:val="czeindeksu"/>
                <w:vanish w:val="false"/>
              </w:rPr>
              <w:tab/>
              <w:t>59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81">
            <w:r>
              <w:rPr>
                <w:rStyle w:val="czeindeksu"/>
                <w:webHidden/>
              </w:rPr>
              <w:t>3.9.4</w:t>
            </w:r>
            <w:r>
              <w:rPr>
                <w:rStyle w:val="czeindeksu"/>
                <w:rFonts w:eastAsia="游明朝" w:ascii="Calibri" w:hAnsi="Calibri" w:asciiTheme="minorHAnsi" w:eastAsiaTheme="minorEastAsia" w:hAnsiTheme="minorHAnsi"/>
                <w:color w:val="auto"/>
                <w:szCs w:val="24"/>
                <w:lang w:eastAsia="pl-PL"/>
              </w:rPr>
              <w:tab/>
            </w:r>
            <w:r>
              <w:rPr>
                <w:rStyle w:val="czeindeksu"/>
              </w:rPr>
              <w:t>Zakładka „Mapa ciała”</w:t>
            </w:r>
            <w:r>
              <w:rPr>
                <w:webHidden/>
              </w:rPr>
              <w:fldChar w:fldCharType="begin"/>
            </w:r>
            <w:r>
              <w:rPr>
                <w:webHidden/>
              </w:rPr>
              <w:instrText xml:space="preserve">PAGEREF _Toc230629481 \h</w:instrText>
            </w:r>
            <w:r>
              <w:rPr>
                <w:webHidden/>
              </w:rPr>
              <w:fldChar w:fldCharType="separate"/>
            </w:r>
            <w:r>
              <w:rPr>
                <w:rStyle w:val="czeindeksu"/>
                <w:vanish w:val="false"/>
              </w:rPr>
              <w:tab/>
              <w:t>62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82">
            <w:r>
              <w:rPr>
                <w:rStyle w:val="czeindeksu"/>
                <w:webHidden/>
              </w:rPr>
              <w:t>3.9.5</w:t>
            </w:r>
            <w:r>
              <w:rPr>
                <w:rStyle w:val="czeindeksu"/>
                <w:rFonts w:eastAsia="游明朝" w:ascii="Calibri" w:hAnsi="Calibri" w:asciiTheme="minorHAnsi" w:eastAsiaTheme="minorEastAsia" w:hAnsiTheme="minorHAnsi"/>
                <w:color w:val="auto"/>
                <w:szCs w:val="24"/>
                <w:lang w:eastAsia="pl-PL"/>
              </w:rPr>
              <w:tab/>
            </w:r>
            <w:r>
              <w:rPr>
                <w:rStyle w:val="czeindeksu"/>
              </w:rPr>
              <w:t>Zakładka „Informacje”</w:t>
            </w:r>
            <w:r>
              <w:rPr>
                <w:webHidden/>
              </w:rPr>
              <w:fldChar w:fldCharType="begin"/>
            </w:r>
            <w:r>
              <w:rPr>
                <w:webHidden/>
              </w:rPr>
              <w:instrText xml:space="preserve">PAGEREF _Toc230629482 \h</w:instrText>
            </w:r>
            <w:r>
              <w:rPr>
                <w:webHidden/>
              </w:rPr>
              <w:fldChar w:fldCharType="separate"/>
            </w:r>
            <w:r>
              <w:rPr>
                <w:rStyle w:val="czeindeksu"/>
                <w:vanish w:val="false"/>
              </w:rPr>
              <w:tab/>
              <w:t>62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83">
            <w:r>
              <w:rPr>
                <w:rStyle w:val="czeindeksu"/>
                <w:webHidden/>
              </w:rPr>
              <w:t>3.9.6</w:t>
            </w:r>
            <w:r>
              <w:rPr>
                <w:rStyle w:val="czeindeksu"/>
                <w:rFonts w:eastAsia="游明朝" w:ascii="Calibri" w:hAnsi="Calibri" w:asciiTheme="minorHAnsi" w:eastAsiaTheme="minorEastAsia" w:hAnsiTheme="minorHAnsi"/>
                <w:color w:val="auto"/>
                <w:szCs w:val="24"/>
                <w:lang w:eastAsia="pl-PL"/>
              </w:rPr>
              <w:tab/>
            </w:r>
            <w:r>
              <w:rPr>
                <w:rStyle w:val="czeindeksu"/>
              </w:rPr>
              <w:t>Ustawienia</w:t>
            </w:r>
            <w:r>
              <w:rPr>
                <w:webHidden/>
              </w:rPr>
              <w:fldChar w:fldCharType="begin"/>
            </w:r>
            <w:r>
              <w:rPr>
                <w:webHidden/>
              </w:rPr>
              <w:instrText xml:space="preserve">PAGEREF _Toc230629483 \h</w:instrText>
            </w:r>
            <w:r>
              <w:rPr>
                <w:webHidden/>
              </w:rPr>
              <w:fldChar w:fldCharType="separate"/>
            </w:r>
            <w:r>
              <w:rPr>
                <w:rStyle w:val="czeindeksu"/>
                <w:vanish w:val="false"/>
              </w:rPr>
              <w:tab/>
              <w:t>63</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30629484">
            <w:r>
              <w:rPr>
                <w:rStyle w:val="czeindeksu"/>
                <w:webHidden/>
              </w:rPr>
              <w:t>4.</w:t>
            </w:r>
            <w:r>
              <w:rPr>
                <w:rStyle w:val="czeindeksu"/>
                <w:rFonts w:eastAsia="游明朝" w:ascii="Calibri" w:hAnsi="Calibri" w:asciiTheme="minorHAnsi" w:eastAsiaTheme="minorEastAsia" w:hAnsiTheme="minorHAnsi"/>
                <w:b w:val="false"/>
                <w:color w:val="auto"/>
                <w:szCs w:val="24"/>
                <w:lang w:eastAsia="pl-PL"/>
              </w:rPr>
              <w:tab/>
            </w:r>
            <w:r>
              <w:rPr>
                <w:rStyle w:val="czeindeksu"/>
              </w:rPr>
              <w:t>Wyniki eksperymentów i analiza porównawcza</w:t>
            </w:r>
            <w:r>
              <w:rPr>
                <w:webHidden/>
              </w:rPr>
              <w:fldChar w:fldCharType="begin"/>
            </w:r>
            <w:r>
              <w:rPr>
                <w:webHidden/>
              </w:rPr>
              <w:instrText xml:space="preserve">PAGEREF _Toc230629484 \h</w:instrText>
            </w:r>
            <w:r>
              <w:rPr>
                <w:webHidden/>
              </w:rPr>
              <w:fldChar w:fldCharType="separate"/>
            </w:r>
            <w:r>
              <w:rPr>
                <w:rStyle w:val="czeindeksu"/>
                <w:vanish w:val="false"/>
              </w:rPr>
              <w:tab/>
              <w:t>64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85">
            <w:r>
              <w:rPr>
                <w:rStyle w:val="czeindeksu"/>
                <w:webHidden/>
              </w:rPr>
              <w:t>4.1</w:t>
            </w:r>
            <w:r>
              <w:rPr>
                <w:rStyle w:val="czeindeksu"/>
                <w:rFonts w:eastAsia="游明朝" w:ascii="Calibri" w:hAnsi="Calibri" w:asciiTheme="minorHAnsi" w:eastAsiaTheme="minorEastAsia" w:hAnsiTheme="minorHAnsi"/>
                <w:color w:val="auto"/>
                <w:szCs w:val="24"/>
                <w:lang w:eastAsia="pl-PL"/>
              </w:rPr>
              <w:tab/>
            </w:r>
            <w:r>
              <w:rPr>
                <w:rStyle w:val="czeindeksu"/>
              </w:rPr>
              <w:t>Metodyka oceny modeli</w:t>
            </w:r>
            <w:r>
              <w:rPr>
                <w:webHidden/>
              </w:rPr>
              <w:fldChar w:fldCharType="begin"/>
            </w:r>
            <w:r>
              <w:rPr>
                <w:webHidden/>
              </w:rPr>
              <w:instrText xml:space="preserve">PAGEREF _Toc230629485 \h</w:instrText>
            </w:r>
            <w:r>
              <w:rPr>
                <w:webHidden/>
              </w:rPr>
              <w:fldChar w:fldCharType="separate"/>
            </w:r>
            <w:r>
              <w:rPr>
                <w:rStyle w:val="czeindeksu"/>
                <w:vanish w:val="false"/>
              </w:rPr>
              <w:tab/>
              <w:t>64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86">
            <w:r>
              <w:rPr>
                <w:rStyle w:val="czeindeksu"/>
                <w:webHidden/>
              </w:rPr>
              <w:t>4.2</w:t>
            </w:r>
            <w:r>
              <w:rPr>
                <w:rStyle w:val="czeindeksu"/>
                <w:rFonts w:eastAsia="游明朝" w:ascii="Calibri" w:hAnsi="Calibri" w:asciiTheme="minorHAnsi" w:eastAsiaTheme="minorEastAsia" w:hAnsiTheme="minorHAnsi"/>
                <w:color w:val="auto"/>
                <w:szCs w:val="24"/>
                <w:lang w:eastAsia="pl-PL"/>
              </w:rPr>
              <w:tab/>
            </w:r>
            <w:r>
              <w:rPr>
                <w:rStyle w:val="czeindeksu"/>
              </w:rPr>
              <w:t>Wyniki treningu i krzywe uczenia</w:t>
            </w:r>
            <w:r>
              <w:rPr>
                <w:webHidden/>
              </w:rPr>
              <w:fldChar w:fldCharType="begin"/>
            </w:r>
            <w:r>
              <w:rPr>
                <w:webHidden/>
              </w:rPr>
              <w:instrText xml:space="preserve">PAGEREF _Toc230629486 \h</w:instrText>
            </w:r>
            <w:r>
              <w:rPr>
                <w:webHidden/>
              </w:rPr>
              <w:fldChar w:fldCharType="separate"/>
            </w:r>
            <w:r>
              <w:rPr>
                <w:rStyle w:val="czeindeksu"/>
                <w:vanish w:val="false"/>
              </w:rPr>
              <w:tab/>
              <w:t>65</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87">
            <w:r>
              <w:rPr>
                <w:rStyle w:val="czeindeksu"/>
                <w:webHidden/>
              </w:rPr>
              <w:t>4.3</w:t>
            </w:r>
            <w:r>
              <w:rPr>
                <w:rStyle w:val="czeindeksu"/>
                <w:rFonts w:eastAsia="游明朝" w:ascii="Calibri" w:hAnsi="Calibri" w:asciiTheme="minorHAnsi" w:eastAsiaTheme="minorEastAsia" w:hAnsiTheme="minorHAnsi"/>
                <w:color w:val="auto"/>
                <w:szCs w:val="24"/>
                <w:lang w:eastAsia="pl-PL"/>
              </w:rPr>
              <w:tab/>
            </w:r>
            <w:r>
              <w:rPr>
                <w:rStyle w:val="czeindeksu"/>
              </w:rPr>
              <w:t>Porównanie skuteczności klasyfikacji</w:t>
            </w:r>
            <w:r>
              <w:rPr>
                <w:webHidden/>
              </w:rPr>
              <w:fldChar w:fldCharType="begin"/>
            </w:r>
            <w:r>
              <w:rPr>
                <w:webHidden/>
              </w:rPr>
              <w:instrText xml:space="preserve">PAGEREF _Toc230629487 \h</w:instrText>
            </w:r>
            <w:r>
              <w:rPr>
                <w:webHidden/>
              </w:rPr>
              <w:fldChar w:fldCharType="separate"/>
            </w:r>
            <w:r>
              <w:rPr>
                <w:rStyle w:val="czeindeksu"/>
                <w:vanish w:val="false"/>
              </w:rPr>
              <w:tab/>
              <w:t>66</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88">
            <w:r>
              <w:rPr>
                <w:rStyle w:val="czeindeksu"/>
                <w:webHidden/>
              </w:rPr>
              <w:t>4.4</w:t>
            </w:r>
            <w:r>
              <w:rPr>
                <w:rStyle w:val="czeindeksu"/>
                <w:rFonts w:eastAsia="游明朝" w:ascii="Calibri" w:hAnsi="Calibri" w:asciiTheme="minorHAnsi" w:eastAsiaTheme="minorEastAsia" w:hAnsiTheme="minorHAnsi"/>
                <w:color w:val="auto"/>
                <w:szCs w:val="24"/>
                <w:lang w:eastAsia="pl-PL"/>
              </w:rPr>
              <w:tab/>
            </w:r>
            <w:r>
              <w:rPr>
                <w:rStyle w:val="czeindeksu"/>
              </w:rPr>
              <w:t>Macierze pomyłek</w:t>
            </w:r>
            <w:r>
              <w:rPr>
                <w:webHidden/>
              </w:rPr>
              <w:fldChar w:fldCharType="begin"/>
            </w:r>
            <w:r>
              <w:rPr>
                <w:webHidden/>
              </w:rPr>
              <w:instrText xml:space="preserve">PAGEREF _Toc230629488 \h</w:instrText>
            </w:r>
            <w:r>
              <w:rPr>
                <w:webHidden/>
              </w:rPr>
              <w:fldChar w:fldCharType="separate"/>
            </w:r>
            <w:r>
              <w:rPr>
                <w:rStyle w:val="czeindeksu"/>
                <w:vanish w:val="false"/>
              </w:rPr>
              <w:tab/>
              <w:t>68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89">
            <w:r>
              <w:rPr>
                <w:rStyle w:val="czeindeksu"/>
                <w:webHidden/>
              </w:rPr>
              <w:t>4.4.1</w:t>
            </w:r>
            <w:r>
              <w:rPr>
                <w:rStyle w:val="czeindeksu"/>
                <w:rFonts w:eastAsia="游明朝" w:ascii="Calibri" w:hAnsi="Calibri" w:asciiTheme="minorHAnsi" w:eastAsiaTheme="minorEastAsia" w:hAnsiTheme="minorHAnsi"/>
                <w:color w:val="auto"/>
                <w:szCs w:val="24"/>
                <w:lang w:eastAsia="pl-PL"/>
              </w:rPr>
              <w:tab/>
            </w:r>
            <w:r>
              <w:rPr>
                <w:rStyle w:val="czeindeksu"/>
              </w:rPr>
              <w:t>Custom CNN</w:t>
            </w:r>
            <w:r>
              <w:rPr>
                <w:webHidden/>
              </w:rPr>
              <w:fldChar w:fldCharType="begin"/>
            </w:r>
            <w:r>
              <w:rPr>
                <w:webHidden/>
              </w:rPr>
              <w:instrText xml:space="preserve">PAGEREF _Toc230629489 \h</w:instrText>
            </w:r>
            <w:r>
              <w:rPr>
                <w:webHidden/>
              </w:rPr>
              <w:fldChar w:fldCharType="separate"/>
            </w:r>
            <w:r>
              <w:rPr>
                <w:rStyle w:val="czeindeksu"/>
                <w:vanish w:val="false"/>
              </w:rPr>
              <w:tab/>
              <w:t>68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90">
            <w:r>
              <w:rPr>
                <w:rStyle w:val="czeindeksu"/>
                <w:webHidden/>
              </w:rPr>
              <w:t>4.4.2</w:t>
            </w:r>
            <w:r>
              <w:rPr>
                <w:rStyle w:val="czeindeksu"/>
                <w:rFonts w:eastAsia="游明朝" w:ascii="Calibri" w:hAnsi="Calibri" w:asciiTheme="minorHAnsi" w:eastAsiaTheme="minorEastAsia" w:hAnsiTheme="minorHAnsi"/>
                <w:color w:val="auto"/>
                <w:szCs w:val="24"/>
                <w:lang w:eastAsia="pl-PL"/>
              </w:rPr>
              <w:tab/>
            </w:r>
            <w:r>
              <w:rPr>
                <w:rStyle w:val="czeindeksu"/>
              </w:rPr>
              <w:t>ResNet50</w:t>
            </w:r>
            <w:r>
              <w:rPr>
                <w:webHidden/>
              </w:rPr>
              <w:fldChar w:fldCharType="begin"/>
            </w:r>
            <w:r>
              <w:rPr>
                <w:webHidden/>
              </w:rPr>
              <w:instrText xml:space="preserve">PAGEREF _Toc230629490 \h</w:instrText>
            </w:r>
            <w:r>
              <w:rPr>
                <w:webHidden/>
              </w:rPr>
              <w:fldChar w:fldCharType="separate"/>
            </w:r>
            <w:r>
              <w:rPr>
                <w:rStyle w:val="czeindeksu"/>
                <w:vanish w:val="false"/>
              </w:rPr>
              <w:tab/>
              <w:t>69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91">
            <w:r>
              <w:rPr>
                <w:rStyle w:val="czeindeksu"/>
                <w:webHidden/>
              </w:rPr>
              <w:t>4.4.3</w:t>
            </w:r>
            <w:r>
              <w:rPr>
                <w:rStyle w:val="czeindeksu"/>
                <w:rFonts w:eastAsia="游明朝" w:ascii="Calibri" w:hAnsi="Calibri" w:asciiTheme="minorHAnsi" w:eastAsiaTheme="minorEastAsia" w:hAnsiTheme="minorHAnsi"/>
                <w:color w:val="auto"/>
                <w:szCs w:val="24"/>
                <w:lang w:eastAsia="pl-PL"/>
              </w:rPr>
              <w:tab/>
            </w:r>
            <w:r>
              <w:rPr>
                <w:rStyle w:val="czeindeksu"/>
              </w:rPr>
              <w:t>MobileNetV3-Large</w:t>
            </w:r>
            <w:r>
              <w:rPr>
                <w:webHidden/>
              </w:rPr>
              <w:fldChar w:fldCharType="begin"/>
            </w:r>
            <w:r>
              <w:rPr>
                <w:webHidden/>
              </w:rPr>
              <w:instrText xml:space="preserve">PAGEREF _Toc230629491 \h</w:instrText>
            </w:r>
            <w:r>
              <w:rPr>
                <w:webHidden/>
              </w:rPr>
              <w:fldChar w:fldCharType="separate"/>
            </w:r>
            <w:r>
              <w:rPr>
                <w:rStyle w:val="czeindeksu"/>
                <w:vanish w:val="false"/>
              </w:rPr>
              <w:tab/>
              <w:t>70</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92">
            <w:r>
              <w:rPr>
                <w:rStyle w:val="czeindeksu"/>
                <w:webHidden/>
                <w:lang w:val="en-US"/>
              </w:rPr>
              <w:t>4.4.4</w:t>
            </w:r>
            <w:r>
              <w:rPr>
                <w:rStyle w:val="czeindeksu"/>
                <w:rFonts w:eastAsia="游明朝" w:ascii="Calibri" w:hAnsi="Calibri" w:asciiTheme="minorHAnsi" w:eastAsiaTheme="minorEastAsia" w:hAnsiTheme="minorHAnsi"/>
                <w:color w:val="auto"/>
                <w:szCs w:val="24"/>
                <w:lang w:eastAsia="pl-PL"/>
              </w:rPr>
              <w:tab/>
            </w:r>
            <w:r>
              <w:rPr>
                <w:rStyle w:val="czeindeksu"/>
                <w:lang w:val="en-US"/>
              </w:rPr>
              <w:t>Vision Transformer (ViT-B/16)</w:t>
            </w:r>
            <w:r>
              <w:rPr>
                <w:webHidden/>
              </w:rPr>
              <w:fldChar w:fldCharType="begin"/>
            </w:r>
            <w:r>
              <w:rPr>
                <w:webHidden/>
              </w:rPr>
              <w:instrText xml:space="preserve">PAGEREF _Toc230629492 \h</w:instrText>
            </w:r>
            <w:r>
              <w:rPr>
                <w:webHidden/>
              </w:rPr>
              <w:fldChar w:fldCharType="separate"/>
            </w:r>
            <w:r>
              <w:rPr>
                <w:rStyle w:val="czeindeksu"/>
                <w:vanish w:val="false"/>
              </w:rPr>
              <w:tab/>
              <w:t>71</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30629493">
            <w:r>
              <w:rPr>
                <w:rStyle w:val="czeindeksu"/>
                <w:webHidden/>
                <w:lang w:val="en-US"/>
              </w:rPr>
              <w:t>4.4.5</w:t>
            </w:r>
            <w:r>
              <w:rPr>
                <w:rStyle w:val="czeindeksu"/>
                <w:rFonts w:eastAsia="游明朝" w:ascii="Calibri" w:hAnsi="Calibri" w:asciiTheme="minorHAnsi" w:eastAsiaTheme="minorEastAsia" w:hAnsiTheme="minorHAnsi"/>
                <w:color w:val="auto"/>
                <w:szCs w:val="24"/>
                <w:lang w:eastAsia="pl-PL"/>
              </w:rPr>
              <w:tab/>
            </w:r>
            <w:r>
              <w:rPr>
                <w:rStyle w:val="czeindeksu"/>
                <w:lang w:val="en-US"/>
              </w:rPr>
              <w:t>EfficientNet-B0</w:t>
            </w:r>
            <w:r>
              <w:rPr>
                <w:webHidden/>
              </w:rPr>
              <w:fldChar w:fldCharType="begin"/>
            </w:r>
            <w:r>
              <w:rPr>
                <w:webHidden/>
              </w:rPr>
              <w:instrText xml:space="preserve">PAGEREF _Toc230629493 \h</w:instrText>
            </w:r>
            <w:r>
              <w:rPr>
                <w:webHidden/>
              </w:rPr>
              <w:fldChar w:fldCharType="separate"/>
            </w:r>
            <w:r>
              <w:rPr>
                <w:rStyle w:val="czeindeksu"/>
                <w:vanish w:val="false"/>
              </w:rPr>
              <w:tab/>
              <w:t>72</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94">
            <w:r>
              <w:rPr>
                <w:rStyle w:val="czeindeksu"/>
                <w:webHidden/>
              </w:rPr>
              <w:t>4.5</w:t>
            </w:r>
            <w:r>
              <w:rPr>
                <w:rStyle w:val="czeindeksu"/>
                <w:rFonts w:eastAsia="游明朝" w:ascii="Calibri" w:hAnsi="Calibri" w:asciiTheme="minorHAnsi" w:eastAsiaTheme="minorEastAsia" w:hAnsiTheme="minorHAnsi"/>
                <w:color w:val="auto"/>
                <w:szCs w:val="24"/>
                <w:lang w:eastAsia="pl-PL"/>
              </w:rPr>
              <w:tab/>
            </w:r>
            <w:r>
              <w:rPr>
                <w:rStyle w:val="czeindeksu"/>
              </w:rPr>
              <w:t>Test odporności na zakłócenia</w:t>
            </w:r>
            <w:r>
              <w:rPr>
                <w:webHidden/>
              </w:rPr>
              <w:fldChar w:fldCharType="begin"/>
            </w:r>
            <w:r>
              <w:rPr>
                <w:webHidden/>
              </w:rPr>
              <w:instrText xml:space="preserve">PAGEREF _Toc230629494 \h</w:instrText>
            </w:r>
            <w:r>
              <w:rPr>
                <w:webHidden/>
              </w:rPr>
              <w:fldChar w:fldCharType="separate"/>
            </w:r>
            <w:r>
              <w:rPr>
                <w:rStyle w:val="czeindeksu"/>
                <w:vanish w:val="false"/>
              </w:rPr>
              <w:tab/>
              <w:t>73</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30629495">
            <w:r>
              <w:rPr>
                <w:rStyle w:val="czeindeksu"/>
                <w:webHidden/>
              </w:rPr>
              <w:t>4.6</w:t>
            </w:r>
            <w:r>
              <w:rPr>
                <w:rStyle w:val="czeindeksu"/>
                <w:rFonts w:eastAsia="游明朝" w:ascii="Calibri" w:hAnsi="Calibri" w:asciiTheme="minorHAnsi" w:eastAsiaTheme="minorEastAsia" w:hAnsiTheme="minorHAnsi"/>
                <w:color w:val="auto"/>
                <w:szCs w:val="24"/>
                <w:lang w:eastAsia="pl-PL"/>
              </w:rPr>
              <w:tab/>
            </w:r>
            <w:r>
              <w:rPr>
                <w:rStyle w:val="czeindeksu"/>
              </w:rPr>
              <w:t>Szybkość działania modeli</w:t>
            </w:r>
            <w:r>
              <w:rPr>
                <w:webHidden/>
              </w:rPr>
              <w:fldChar w:fldCharType="begin"/>
            </w:r>
            <w:r>
              <w:rPr>
                <w:webHidden/>
              </w:rPr>
              <w:instrText xml:space="preserve">PAGEREF _Toc230629495 \h</w:instrText>
            </w:r>
            <w:r>
              <w:rPr>
                <w:webHidden/>
              </w:rPr>
              <w:fldChar w:fldCharType="separate"/>
            </w:r>
            <w:r>
              <w:rPr>
                <w:rStyle w:val="czeindeksu"/>
                <w:vanish w:val="false"/>
              </w:rPr>
              <w:tab/>
              <w:t>75</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30629496">
            <w:r>
              <w:rPr>
                <w:rStyle w:val="czeindeksu"/>
                <w:webHidden/>
              </w:rPr>
              <w:t>5.</w:t>
            </w:r>
            <w:r>
              <w:rPr>
                <w:rStyle w:val="czeindeksu"/>
                <w:rFonts w:eastAsia="游明朝" w:ascii="Calibri" w:hAnsi="Calibri" w:asciiTheme="minorHAnsi" w:eastAsiaTheme="minorEastAsia" w:hAnsiTheme="minorHAnsi"/>
                <w:b w:val="false"/>
                <w:color w:val="auto"/>
                <w:szCs w:val="24"/>
                <w:lang w:eastAsia="pl-PL"/>
              </w:rPr>
              <w:tab/>
            </w:r>
            <w:r>
              <w:rPr>
                <w:rStyle w:val="czeindeksu"/>
              </w:rPr>
              <w:t>Podsumowanie</w:t>
            </w:r>
            <w:r>
              <w:rPr>
                <w:webHidden/>
              </w:rPr>
              <w:fldChar w:fldCharType="begin"/>
            </w:r>
            <w:r>
              <w:rPr>
                <w:webHidden/>
              </w:rPr>
              <w:instrText xml:space="preserve">PAGEREF _Toc230629496 \h</w:instrText>
            </w:r>
            <w:r>
              <w:rPr>
                <w:webHidden/>
              </w:rPr>
              <w:fldChar w:fldCharType="separate"/>
            </w:r>
            <w:r>
              <w:rPr>
                <w:rStyle w:val="czeindeksu"/>
                <w:vanish w:val="false"/>
              </w:rPr>
              <w:tab/>
              <w:t>80</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30629497">
            <w:r>
              <w:rPr>
                <w:rStyle w:val="czeindeksu"/>
                <w:webHidden/>
              </w:rPr>
              <w:t>6.</w:t>
            </w:r>
            <w:r>
              <w:rPr>
                <w:rStyle w:val="czeindeksu"/>
                <w:rFonts w:eastAsia="游明朝" w:ascii="Calibri" w:hAnsi="Calibri" w:asciiTheme="minorHAnsi" w:eastAsiaTheme="minorEastAsia" w:hAnsiTheme="minorHAnsi"/>
                <w:b w:val="false"/>
                <w:color w:val="auto"/>
                <w:szCs w:val="24"/>
                <w:lang w:eastAsia="pl-PL"/>
              </w:rPr>
              <w:tab/>
            </w:r>
            <w:r>
              <w:rPr>
                <w:rStyle w:val="czeindeksu"/>
              </w:rPr>
              <w:t>Bibliografia</w:t>
            </w:r>
            <w:r>
              <w:rPr>
                <w:webHidden/>
              </w:rPr>
              <w:fldChar w:fldCharType="begin"/>
            </w:r>
            <w:r>
              <w:rPr>
                <w:webHidden/>
              </w:rPr>
              <w:instrText xml:space="preserve">PAGEREF _Toc230629497 \h</w:instrText>
            </w:r>
            <w:r>
              <w:rPr>
                <w:webHidden/>
              </w:rPr>
              <w:fldChar w:fldCharType="separate"/>
            </w:r>
            <w:r>
              <w:rPr>
                <w:rStyle w:val="czeindeksu"/>
                <w:vanish w:val="false"/>
              </w:rPr>
              <w:tab/>
              <w:t>81</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30629498">
            <w:r>
              <w:rPr>
                <w:rStyle w:val="czeindeksu"/>
                <w:webHidden/>
              </w:rPr>
              <w:t>7.</w:t>
            </w:r>
            <w:r>
              <w:rPr>
                <w:rStyle w:val="czeindeksu"/>
                <w:rFonts w:eastAsia="游明朝" w:ascii="Calibri" w:hAnsi="Calibri" w:asciiTheme="minorHAnsi" w:eastAsiaTheme="minorEastAsia" w:hAnsiTheme="minorHAnsi"/>
                <w:b w:val="false"/>
                <w:color w:val="auto"/>
                <w:szCs w:val="24"/>
                <w:lang w:eastAsia="pl-PL"/>
              </w:rPr>
              <w:tab/>
            </w:r>
            <w:r>
              <w:rPr>
                <w:rStyle w:val="czeindeksu"/>
              </w:rPr>
              <w:t>Spis rysunków</w:t>
            </w:r>
            <w:r>
              <w:rPr>
                <w:webHidden/>
              </w:rPr>
              <w:fldChar w:fldCharType="begin"/>
            </w:r>
            <w:r>
              <w:rPr>
                <w:webHidden/>
              </w:rPr>
              <w:instrText xml:space="preserve">PAGEREF _Toc230629498 \h</w:instrText>
            </w:r>
            <w:r>
              <w:rPr>
                <w:webHidden/>
              </w:rPr>
              <w:fldChar w:fldCharType="separate"/>
            </w:r>
            <w:r>
              <w:rPr>
                <w:rStyle w:val="czeindeksu"/>
                <w:vanish w:val="false"/>
              </w:rPr>
              <w:tab/>
              <w:t>84</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30629499">
            <w:r>
              <w:rPr>
                <w:rStyle w:val="czeindeksu"/>
                <w:webHidden/>
              </w:rPr>
              <w:t>8.</w:t>
            </w:r>
            <w:r>
              <w:rPr>
                <w:rStyle w:val="czeindeksu"/>
                <w:rFonts w:eastAsia="游明朝" w:ascii="Calibri" w:hAnsi="Calibri" w:asciiTheme="minorHAnsi" w:eastAsiaTheme="minorEastAsia" w:hAnsiTheme="minorHAnsi"/>
                <w:b w:val="false"/>
                <w:color w:val="auto"/>
                <w:szCs w:val="24"/>
                <w:lang w:eastAsia="pl-PL"/>
              </w:rPr>
              <w:tab/>
            </w:r>
            <w:r>
              <w:rPr>
                <w:rStyle w:val="czeindeksu"/>
              </w:rPr>
              <w:t>Spis tabel</w:t>
            </w:r>
            <w:r>
              <w:rPr>
                <w:webHidden/>
              </w:rPr>
              <w:fldChar w:fldCharType="begin"/>
            </w:r>
            <w:r>
              <w:rPr>
                <w:webHidden/>
              </w:rPr>
              <w:instrText xml:space="preserve">PAGEREF _Toc230629499 \h</w:instrText>
            </w:r>
            <w:r>
              <w:rPr>
                <w:webHidden/>
              </w:rPr>
              <w:fldChar w:fldCharType="separate"/>
            </w:r>
            <w:r>
              <w:rPr>
                <w:rStyle w:val="czeindeksu"/>
                <w:vanish w:val="false"/>
              </w:rPr>
              <w:tab/>
              <w:t>86</w:t>
            </w:r>
            <w:r>
              <w:rPr>
                <w:webHidden/>
              </w:rPr>
              <w:fldChar w:fldCharType="end"/>
            </w:r>
          </w:hyperlink>
          <w:r>
            <w:rPr>
              <w:rStyle w:val="czeindeksu"/>
              <w:vanish w:val="false"/>
            </w:rPr>
            <w:fldChar w:fldCharType="end"/>
          </w:r>
        </w:p>
      </w:sdtContent>
    </w:sdt>
    <w:p>
      <w:pPr>
        <w:pStyle w:val="Normal"/>
        <w:ind w:hanging="0"/>
        <w:rPr>
          <w:b/>
          <w:bCs/>
          <w:sz w:val="44"/>
          <w:szCs w:val="44"/>
        </w:rPr>
      </w:pPr>
      <w:r>
        <w:rPr>
          <w:b/>
          <w:bCs/>
          <w:sz w:val="44"/>
          <w:szCs w:val="44"/>
        </w:rPr>
      </w:r>
    </w:p>
    <w:p>
      <w:pPr>
        <w:pStyle w:val="Normal"/>
        <w:ind w:hanging="0"/>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Heading1"/>
        <w:numPr>
          <w:ilvl w:val="0"/>
          <w:numId w:val="0"/>
        </w:numPr>
        <w:spacing w:before="0" w:after="840"/>
        <w:ind w:hanging="0" w:start="0"/>
        <w:rPr/>
      </w:pPr>
      <w:bookmarkStart w:id="1" w:name="_Hlk168851852"/>
      <w:bookmarkStart w:id="2" w:name="_Toc230629435"/>
      <w:r>
        <w:rPr/>
        <w:t>Wykaz skrótów i oznaczeń</w:t>
      </w:r>
      <w:bookmarkEnd w:id="2"/>
    </w:p>
    <w:p>
      <w:pPr>
        <w:pStyle w:val="ListParagraph"/>
        <w:numPr>
          <w:ilvl w:val="0"/>
          <w:numId w:val="27"/>
        </w:numPr>
        <w:rPr/>
      </w:pPr>
      <w:r>
        <w:rPr/>
        <w:t>AI (Artificial Intelligence) - ogólna dziedzina informatyki obejmująca systemy symulujące ludzką inteligencję.</w:t>
      </w:r>
    </w:p>
    <w:p>
      <w:pPr>
        <w:pStyle w:val="ListParagraph"/>
        <w:numPr>
          <w:ilvl w:val="0"/>
          <w:numId w:val="27"/>
        </w:numPr>
        <w:rPr/>
      </w:pPr>
      <w:r>
        <w:rPr/>
        <w:t>CNN (Convolutional Neural Network) - konwolucyjna sieć neuronowa, klasa sieci głębokiego uczenia specjalizowana do analizy obrazów.</w:t>
      </w:r>
    </w:p>
    <w:p>
      <w:pPr>
        <w:pStyle w:val="ListParagraph"/>
        <w:numPr>
          <w:ilvl w:val="0"/>
          <w:numId w:val="27"/>
        </w:numPr>
        <w:rPr/>
      </w:pPr>
      <w:r>
        <w:rPr/>
        <w:t>ViT (Vision Transformer) - transformerowa architektura sieci neuronowej adaptowana do analizy obrazów.</w:t>
      </w:r>
    </w:p>
    <w:p>
      <w:pPr>
        <w:pStyle w:val="ListParagraph"/>
        <w:numPr>
          <w:ilvl w:val="0"/>
          <w:numId w:val="27"/>
        </w:numPr>
        <w:rPr/>
      </w:pPr>
      <w:r>
        <w:rPr/>
        <w:t>MobileNetV3 - lekka architektura CNN zoptymalizowana pod urządzenia mobilne.</w:t>
      </w:r>
    </w:p>
    <w:p>
      <w:pPr>
        <w:pStyle w:val="ListParagraph"/>
        <w:numPr>
          <w:ilvl w:val="0"/>
          <w:numId w:val="27"/>
        </w:numPr>
        <w:rPr/>
      </w:pPr>
      <w:r>
        <w:rPr/>
        <w:t>ResNet-50 - sieć rezydualna o 50 warstwach, bazująca na połączeniach skip connections.</w:t>
      </w:r>
    </w:p>
    <w:p>
      <w:pPr>
        <w:pStyle w:val="ListParagraph"/>
        <w:numPr>
          <w:ilvl w:val="0"/>
          <w:numId w:val="27"/>
        </w:numPr>
        <w:rPr/>
      </w:pPr>
      <w:r>
        <w:rPr/>
        <w:t>EfficientNet-B0 - architektura CNN ze złożonym skalowaniem głębokości, szerokości i rozdzielczości.</w:t>
      </w:r>
    </w:p>
    <w:p>
      <w:pPr>
        <w:pStyle w:val="ListParagraph"/>
        <w:numPr>
          <w:ilvl w:val="0"/>
          <w:numId w:val="27"/>
        </w:numPr>
        <w:rPr/>
      </w:pPr>
      <w:r>
        <w:rPr/>
        <w:t>Grad-CAM (Gradient-weighted Class Activation Mapping) - metoda wizualizacji obszarów decyzyjnych sieci CNN.</w:t>
      </w:r>
    </w:p>
    <w:p>
      <w:pPr>
        <w:pStyle w:val="ListParagraph"/>
        <w:numPr>
          <w:ilvl w:val="0"/>
          <w:numId w:val="27"/>
        </w:numPr>
        <w:rPr/>
      </w:pPr>
      <w:r>
        <w:rPr/>
        <w:t>GPU (Graphics Processing Unit) - procesor graficzny, używany do akceleracji obliczeń macierzowych w głębokim uczeniu.</w:t>
      </w:r>
    </w:p>
    <w:p>
      <w:pPr>
        <w:pStyle w:val="ListParagraph"/>
        <w:numPr>
          <w:ilvl w:val="0"/>
          <w:numId w:val="27"/>
        </w:numPr>
        <w:rPr/>
      </w:pPr>
      <w:r>
        <w:rPr/>
        <w:t>CUDA (Compute Unified Device Architecture) - platforma programowania równoległego firmy NVIDIA. Umożliwia wykonywanie obliczeń AI na kartach graficznych.</w:t>
      </w:r>
    </w:p>
    <w:p>
      <w:pPr>
        <w:pStyle w:val="ListParagraph"/>
        <w:numPr>
          <w:ilvl w:val="0"/>
          <w:numId w:val="27"/>
        </w:numPr>
        <w:rPr/>
      </w:pPr>
      <w:r>
        <w:rPr/>
        <w:t>CPU (Central Processing Unit) - procesor centralny, używany do inferencji w przypadku braku obsługiwanej karty graficznej.</w:t>
      </w:r>
    </w:p>
    <w:p>
      <w:pPr>
        <w:pStyle w:val="ListParagraph"/>
        <w:numPr>
          <w:ilvl w:val="0"/>
          <w:numId w:val="27"/>
        </w:numPr>
        <w:rPr>
          <w:lang w:val="en-US"/>
        </w:rPr>
      </w:pPr>
      <w:r>
        <w:rPr>
          <w:lang w:val="en-US"/>
        </w:rPr>
        <w:t>HAM10000 (Human Against Machine with 10000) - duży zbiór zdjęć dermatologicznych.</w:t>
      </w:r>
    </w:p>
    <w:p>
      <w:pPr>
        <w:pStyle w:val="ListParagraph"/>
        <w:numPr>
          <w:ilvl w:val="0"/>
          <w:numId w:val="27"/>
        </w:numPr>
        <w:rPr/>
      </w:pPr>
      <w:r>
        <w:rPr/>
        <w:t>MSLDv2.0 (Monkeypox Skin Lesion Dataset v2.0) - zbiór zdjęć zmian skórnych chorób zakaźnych.</w:t>
      </w:r>
    </w:p>
    <w:p>
      <w:pPr>
        <w:pStyle w:val="ListParagraph"/>
        <w:numPr>
          <w:ilvl w:val="0"/>
          <w:numId w:val="27"/>
        </w:numPr>
        <w:rPr/>
      </w:pPr>
      <w:r>
        <w:rPr/>
        <w:t>API (Application Programming Interface) - interfejs programowania aplikacji, zbiór protokołów komunikacji między komponentami oprogramowania.</w:t>
      </w:r>
    </w:p>
    <w:p>
      <w:pPr>
        <w:pStyle w:val="ListParagraph"/>
        <w:numPr>
          <w:ilvl w:val="0"/>
          <w:numId w:val="27"/>
        </w:numPr>
        <w:rPr/>
      </w:pPr>
      <w:r>
        <w:rPr/>
        <w:t>REST (Representational State Transfer) - styl architektury oprogramowania dla usług sieciowych.</w:t>
      </w:r>
    </w:p>
    <w:p>
      <w:pPr>
        <w:pStyle w:val="ListParagraph"/>
        <w:numPr>
          <w:ilvl w:val="0"/>
          <w:numId w:val="27"/>
        </w:numPr>
        <w:rPr/>
      </w:pPr>
      <w:r>
        <w:rPr/>
        <w:t>MVVM (Model-View-ViewModel) - wzorzec projektowy stosowany w interfejsach użytkownika.</w:t>
      </w:r>
    </w:p>
    <w:p>
      <w:pPr>
        <w:pStyle w:val="ListParagraph"/>
        <w:numPr>
          <w:ilvl w:val="0"/>
          <w:numId w:val="27"/>
        </w:numPr>
        <w:rPr/>
      </w:pPr>
      <w:r>
        <w:rPr/>
        <w:t>F1-score - miara jakości modelu klasyfikacyjnego będąca średnią harmoniczną precyzji i czułości.</w:t>
      </w:r>
    </w:p>
    <w:p>
      <w:pPr>
        <w:pStyle w:val="ListParagraph"/>
        <w:numPr>
          <w:ilvl w:val="0"/>
          <w:numId w:val="27"/>
        </w:numPr>
        <w:rPr/>
      </w:pPr>
      <w:r>
        <w:rPr/>
        <w:t>Transfer learning (uczenie transferowe) - technika ponownego wykorzystania wag modelu wytrenowanego na dużym zbiorze danych do nowego zadania.</w:t>
      </w:r>
    </w:p>
    <w:p>
      <w:pPr>
        <w:pStyle w:val="ListParagraph"/>
        <w:numPr>
          <w:ilvl w:val="0"/>
          <w:numId w:val="27"/>
        </w:numPr>
        <w:rPr/>
      </w:pPr>
      <w:r>
        <w:rPr/>
        <w:t>Early stopping - mechanizm przerywania treningu po wykryciu braku poprawy na zbiorze walidacyjnym.</w:t>
      </w:r>
    </w:p>
    <w:p>
      <w:pPr>
        <w:pStyle w:val="ListParagraph"/>
        <w:numPr>
          <w:ilvl w:val="0"/>
          <w:numId w:val="27"/>
        </w:numPr>
        <w:rPr/>
      </w:pPr>
      <w:r>
        <w:rPr/>
        <w:t>Overfitting(przeuczenie) - sytuacja, gdy model osiąga wysoką dokładność treningową, lecz słabą generalizację.</w:t>
      </w:r>
    </w:p>
    <w:p>
      <w:pPr>
        <w:pStyle w:val="ListParagraph"/>
        <w:numPr>
          <w:ilvl w:val="0"/>
          <w:numId w:val="27"/>
        </w:numPr>
        <w:rPr/>
      </w:pPr>
      <w:r>
        <w:rPr/>
        <w:t>WeightedRandomSampler - technika próbkowania ważonego używana do wyrównywania nierównowagi klas w mini-batch.</w:t>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Heading1"/>
        <w:numPr>
          <w:ilvl w:val="0"/>
          <w:numId w:val="0"/>
        </w:numPr>
        <w:ind w:hanging="0" w:start="0"/>
        <w:rPr/>
      </w:pPr>
      <w:bookmarkStart w:id="3" w:name="_Toc230629436"/>
      <w:r>
        <w:rPr/>
        <w:t>Wstęp</w:t>
      </w:r>
      <w:bookmarkEnd w:id="3"/>
    </w:p>
    <w:p>
      <w:pPr>
        <w:pStyle w:val="Normal"/>
        <w:rPr/>
      </w:pPr>
      <w:r>
        <w:rPr/>
        <w:t>Schorzenia dermatologiczne stanowią jedno z najbardziej powszechnych wyzwań dla współczesnej medycyny w skali globalnej. Szacuje się, że z różnego typu dermatozami boryka się niemal miliard osób, co generuje roczne koszty leczenia liczone w setkach miliardów złotych. Wśród tych schorzeń szczególną rolę odgrywa czerniak złośliwy, najbardziej agresywny nowotwór skóry.</w:t>
      </w:r>
    </w:p>
    <w:p>
      <w:pPr>
        <w:pStyle w:val="Normal"/>
        <w:rPr/>
      </w:pPr>
      <w:r>
        <w:rP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pPr>
        <w:pStyle w:val="Normal"/>
        <w:rPr/>
      </w:pPr>
      <w:r>
        <w:rPr/>
        <w:t>Paradygmat automatyzacji analizy obrazów medycznych uległ radykalnej zmianie wraz z upowszechnieniem metod głębokiego uczenia. Momentem przełomowym była publikacja Esteva</w:t>
      </w:r>
      <w:sdt>
        <w:sdtPr>
          <w:citation/>
        </w:sdtPr>
        <w:sdtContent>
          <w:r>
            <w:rPr/>
            <w:fldChar w:fldCharType="begin"/>
          </w:r>
          <w:r>
            <w:rPr/>
            <w:instrText xml:space="preserve"> CITATION Est17 \l 1045 </w:instrText>
          </w:r>
          <w:r>
            <w:rPr/>
            <w:fldChar w:fldCharType="separate"/>
          </w:r>
          <w:r>
            <w:rPr/>
            <w:t xml:space="preserve"> [1]</w:t>
          </w:r>
          <w:r>
            <w:rPr/>
            <w:fldChar w:fldCharType="end"/>
          </w:r>
        </w:sdtContent>
      </w:sdt>
      <w:r>
        <w:rPr/>
        <w:t xml:space="preserve"> </w:t>
      </w:r>
      <w:r>
        <w:rPr/>
        <w:t>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pPr>
        <w:pStyle w:val="Normal"/>
        <w:rPr/>
      </w:pPr>
      <w:r>
        <w:rPr/>
        <w:t>Niniejsza praca magisterska stawia sobie za cel projekt oraz implementację kompleksowego systemu informatycznego do wspomagania diagnostyki zmian skórnych. W ramach przeprowadzonych prac opracowano rozwiązanie bazujące na komitecie decyzyjnym,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pPr>
        <w:pStyle w:val="Heading1"/>
        <w:numPr>
          <w:ilvl w:val="0"/>
          <w:numId w:val="0"/>
        </w:numPr>
        <w:ind w:hanging="0" w:start="0"/>
        <w:rPr/>
      </w:pPr>
      <w:bookmarkStart w:id="4" w:name="_Toc230629437"/>
      <w:r>
        <w:rPr/>
        <w:t>Cel</w:t>
      </w:r>
      <w:bookmarkEnd w:id="4"/>
    </w:p>
    <w:p>
      <w:pPr>
        <w:pStyle w:val="Normal"/>
        <w:rPr/>
      </w:pPr>
      <w:r>
        <w:rPr/>
        <w:t xml:space="preserve">Celem pracy jest zaprojektowanie, implementacja i ewaluacja systemu komputerowego do automatycznej klasyfikacji zmian skórnych i chorób zakaźnych manifestujących się zmianami dermatologicznymi, z zastosowaniem modeli głębokiego uczenia </w:t>
      </w:r>
      <w:r>
        <w:rPr/>
        <w:t>oraz uczenia zespołowego (ensemble)</w:t>
      </w:r>
      <w:r>
        <w:rPr/>
        <w:t>.</w:t>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rFonts w:eastAsia="Times New Roman" w:cs="Times New Roman"/>
          <w:szCs w:val="24"/>
        </w:rPr>
      </w:pPr>
      <w:r>
        <w:rPr>
          <w:rFonts w:eastAsia="Times New Roman" w:cs="Times New Roman"/>
          <w:szCs w:val="24"/>
        </w:rPr>
      </w:r>
    </w:p>
    <w:p>
      <w:pPr>
        <w:pStyle w:val="Heading1"/>
        <w:numPr>
          <w:ilvl w:val="0"/>
          <w:numId w:val="0"/>
        </w:numPr>
        <w:ind w:hanging="0" w:start="0"/>
        <w:rPr/>
      </w:pPr>
      <w:bookmarkStart w:id="5" w:name="_Toc230629438"/>
      <w:r>
        <w:rPr/>
        <w:t>Zakres pracy</w:t>
      </w:r>
      <w:bookmarkEnd w:id="5"/>
    </w:p>
    <w:p>
      <w:pPr>
        <w:pStyle w:val="ListParagraph"/>
        <w:numPr>
          <w:ilvl w:val="0"/>
          <w:numId w:val="9"/>
        </w:numPr>
        <w:rPr/>
      </w:pPr>
      <w:r>
        <w:rPr/>
        <w:t>Przeprowadzenie analizy literaturowej dotyczącej: dermatologii klinicznej i nowotworów skóry, głębokiego uczenia w klasyfikacji obrazów medycznych, architektur CNN i ViT.</w:t>
      </w:r>
    </w:p>
    <w:p>
      <w:pPr>
        <w:pStyle w:val="ListParagraph"/>
        <w:numPr>
          <w:ilvl w:val="0"/>
          <w:numId w:val="9"/>
        </w:numPr>
        <w:rPr/>
      </w:pPr>
      <w:r>
        <w:rPr/>
        <w:t xml:space="preserve">Wybór i przygotowanie zbioru danych (Skin Lesions Dataset </w:t>
      </w:r>
      <w:sdt>
        <w:sdtPr>
          <w:citation/>
        </w:sdtPr>
        <w:sdtContent>
          <w:r>
            <w:rPr/>
            <w:fldChar w:fldCharType="begin"/>
          </w:r>
          <w:r>
            <w:rPr/>
            <w:instrText xml:space="preserve"> CITATION ahm23 \l 1045 </w:instrText>
          </w:r>
          <w:r>
            <w:rPr/>
            <w:fldChar w:fldCharType="separate"/>
          </w:r>
          <w:r>
            <w:rPr/>
            <w:t>[2]</w:t>
          </w:r>
          <w:r>
            <w:rPr/>
            <w:fldChar w:fldCharType="end"/>
          </w:r>
        </w:sdtContent>
      </w:sdt>
      <w:r>
        <w:rPr/>
        <w:t>).</w:t>
      </w:r>
    </w:p>
    <w:p>
      <w:pPr>
        <w:pStyle w:val="ListParagraph"/>
        <w:numPr>
          <w:ilvl w:val="0"/>
          <w:numId w:val="9"/>
        </w:numPr>
        <w:rPr/>
      </w:pPr>
      <w:r>
        <w:rPr/>
        <w:t>Implementacja notatnika Jupyter do treningu i ewaluacji pięciu modeli klasyfikacyjnych na platformie Kaggle.</w:t>
      </w:r>
    </w:p>
    <w:p>
      <w:pPr>
        <w:pStyle w:val="ListParagraph"/>
        <w:numPr>
          <w:ilvl w:val="0"/>
          <w:numId w:val="9"/>
        </w:numPr>
        <w:rPr/>
      </w:pPr>
      <w:r>
        <w:rPr/>
        <w:t>Implementacja mechanizmu Grad-CAM i testu odporności modeli (szum Gaussowski, rozmycie).</w:t>
      </w:r>
    </w:p>
    <w:p>
      <w:pPr>
        <w:pStyle w:val="ListParagraph"/>
        <w:numPr>
          <w:ilvl w:val="0"/>
          <w:numId w:val="9"/>
        </w:numPr>
        <w:rPr/>
      </w:pPr>
      <w:r>
        <w:rPr/>
        <w:t>Projekt i implementacja backendu w Python(FastAPI) oraz REST API.</w:t>
      </w:r>
    </w:p>
    <w:p>
      <w:pPr>
        <w:pStyle w:val="ListParagraph"/>
        <w:numPr>
          <w:ilvl w:val="0"/>
          <w:numId w:val="9"/>
        </w:numPr>
        <w:rPr>
          <w:lang w:val="en-US"/>
        </w:rPr>
      </w:pPr>
      <w:r>
        <w:rPr>
          <w:lang w:val="en-US"/>
        </w:rPr>
        <w:t>Projekt i implementacja front-endu w React/TypeScript/Tailwind CSS/shadcn-ui.</w:t>
      </w:r>
    </w:p>
    <w:p>
      <w:pPr>
        <w:pStyle w:val="ListParagraph"/>
        <w:numPr>
          <w:ilvl w:val="0"/>
          <w:numId w:val="9"/>
        </w:numPr>
        <w:rPr/>
      </w:pPr>
      <w:r>
        <w:rPr/>
        <w:t>Integracja funkcjonalności: mapa ciała, historia badań, panel kamery.</w:t>
      </w:r>
    </w:p>
    <w:p>
      <w:pPr>
        <w:pStyle w:val="ListParagraph"/>
        <w:numPr>
          <w:ilvl w:val="0"/>
          <w:numId w:val="9"/>
        </w:numPr>
        <w:rPr/>
      </w:pPr>
      <w:r>
        <w:rPr/>
        <w:t>Analiza wyników, dyskusja i wnioski końcowe.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2"/>
        </w:numPr>
        <w:ind w:hanging="851" w:start="851"/>
        <w:rPr/>
      </w:pPr>
      <w:bookmarkStart w:id="6" w:name="_Toc230629439"/>
      <w:r>
        <w:rPr/>
        <w:t>Dermatologia i automatyczna diagnostyka skórna - przegląd literaturowy</w:t>
      </w:r>
      <w:bookmarkEnd w:id="6"/>
    </w:p>
    <w:p>
      <w:pPr>
        <w:pStyle w:val="BodyText"/>
        <w:spacing w:lineRule="auto" w:line="360"/>
        <w:rPr/>
      </w:pPr>
      <w:r>
        <w:rPr/>
        <w:t>Automatyzacja procesów diagnostycznych w dermatologii stanowi szczególne wyzwanie badawcze. Wynika to z konieczności połączenia dwóch odmiennych obszarów wiedzy, jakimi są medycyna kliniczna oraz inżynieria oprogramowania. Zanim możliwe stanie się skuteczne trenowanie modeli głębokiego uczenia, niezbędne jest uprzednie zrozumienie samego przedmiotu analizy. Dla algorytmu fotografia zmiany skórnej jest jedynie uporządkowaną strukturą danych w postaci pikseli, natomiast z perspektywy medycznej stanowi ona obraz złożonych procesów patologicznych zachodzących w organizmie.  Z tego względu przegląd literatury rozpoczyna się od omówienia podstaw funkcjonowania skóry w ujęciu medycznym. Analiza wybranych jednostek chorobowych, obejmująca zarówno zmiany łagodne, infekcje wirusowe, jak i nowotwory o wysokim stopniu złośliwości, pozwala zbudować kontekst niezbędny do dalszych rozważań. Dopiero na tej podstawie możliwa jest rzetelna ocena aktualnych osiągnięć w obszarze sztucznej inteligencji, charakterystyki medycznych zbiorów danych oraz znaczenia metod odpowiadających za interpretowalność uzyskiwanych predykcji.</w:t>
      </w:r>
    </w:p>
    <w:p>
      <w:pPr>
        <w:pStyle w:val="Heading2"/>
        <w:numPr>
          <w:ilvl w:val="1"/>
          <w:numId w:val="7"/>
        </w:numPr>
        <w:rPr/>
      </w:pPr>
      <w:bookmarkStart w:id="7" w:name="_Toc230629440"/>
      <w:r>
        <w:rPr/>
        <w:t>Skóra jako narząd i jej choroby</w:t>
      </w:r>
      <w:bookmarkEnd w:id="7"/>
    </w:p>
    <w:p>
      <w:pPr>
        <w:pStyle w:val="Normal"/>
        <w:ind w:firstLine="708"/>
        <w:rPr/>
      </w:pPr>
      <w:r>
        <w:rPr/>
        <w:t>Skóra stanowi największy narząd ludzkiego organizmu. Jej powierzchnia wynosi przeciętnie od 1,5 do 2 metrów kwadratowych, a masa odpowiada około 15 procentom całkowitej masy ciała. Pełni ona szereg istotnych funkcji biologicznych, w tym funkcję ochronną jako bariera mechaniczna, chemiczna i immunologiczna, a także uczestniczy w termoregulacji, odbiorze bodźców czuciowych oraz procesach metabolicznych, takich jak synteza witaminy D3. Budowa skóry obejmuje trzy podstawowe warstwy, czyli naskórek, skórę właściwą oraz tkankę podskórną. W obrębie naskórka znajdują się melanocyty</w:t>
      </w:r>
      <w:sdt>
        <w:sdtPr>
          <w:citation/>
        </w:sdtPr>
        <w:sdtContent>
          <w:r>
            <w:rPr/>
            <w:fldChar w:fldCharType="begin"/>
          </w:r>
          <w:r>
            <w:rPr/>
            <w:instrText xml:space="preserve"> CITATION Dua21 \l 1045 </w:instrText>
          </w:r>
          <w:r>
            <w:rPr/>
            <w:fldChar w:fldCharType="separate"/>
          </w:r>
          <w:r>
            <w:rPr/>
            <w:t xml:space="preserve"> [3]</w:t>
          </w:r>
          <w:r>
            <w:rPr/>
            <w:fldChar w:fldCharType="end"/>
          </w:r>
        </w:sdtContent>
      </w:sdt>
      <w:r>
        <w:rPr/>
        <w:t xml:space="preserve"> odpowiedzialne za produkcję melaniny, która warunkuje pigmentację skóry oraz odgrywa kluczową rolę w ochronie przed promieniowaniem</w:t>
      </w:r>
      <w:r>
        <w:rPr/>
        <w:t xml:space="preserve"> ultrafioletowym.</w:t>
      </w:r>
    </w:p>
    <w:p>
      <w:pPr>
        <w:pStyle w:val="Normal"/>
        <w:ind w:hanging="0"/>
        <w:rPr/>
      </w:pPr>
      <w:r>
        <w:rPr/>
        <w:tab/>
        <w:t>Choroby skóry klasyfikuje się najczęściej według ich etiologii, wyróżniając między innymi schorzenia zakaźne, nowotworowe, autoimmunologiczne oraz alergiczne, a także według obrazu morfologicznego zmian skórnych. W kontekście niniejszej pracy szczególne znaczenie mają nowotwory skóry wywodzące się z melanocytów i keratynocytów, zarówno o charakterze łagodnym, jak i złośliwym, a także choroby zakaźne, które manifestują się charakterystycznymi zmianami skórnymi. Diagnostyka dermatologiczna opiera się na ocenie zmian pierwotnych takich jak plama, grudka, pęcherzyk, krosta czy guzek oraz zmian wtórnych obejmujących między innymi nadżerki, owrzodzenia, blizny i łuski. Dokładność rozpoznania zależy w dużej mierze od doświadczenia klinicznego osoby przeprowadzającej badanie.</w:t>
      </w:r>
    </w:p>
    <w:p>
      <w:pPr>
        <w:pStyle w:val="Normal"/>
        <w:ind w:hanging="0"/>
        <w:rPr/>
      </w:pPr>
      <w:r>
        <w:rPr/>
        <w:tab/>
        <w:t>W praktyce klinicznej ocena zmian melanocytarnych często opiera się na regule ABCDE</w:t>
      </w:r>
      <w:sdt>
        <w:sdtPr>
          <w:citation/>
        </w:sdtPr>
        <w:sdtContent>
          <w:r>
            <w:rPr/>
            <w:fldChar w:fldCharType="begin"/>
          </w:r>
          <w:r>
            <w:rPr/>
            <w:instrText xml:space="preserve"> CITATION Dua21 \l 1045 </w:instrText>
          </w:r>
          <w:r>
            <w:rPr/>
            <w:fldChar w:fldCharType="separate"/>
          </w:r>
          <w:r>
            <w:rPr/>
            <w:t xml:space="preserve"> [3]</w:t>
          </w:r>
          <w:r>
            <w:rPr/>
            <w:fldChar w:fldCharType="end"/>
          </w:r>
        </w:sdtContent>
      </w:sdt>
      <w:r>
        <w:rPr/>
        <w:t>, która uwzględnia asymetrię kształtu zmiany, nieregularność jej brzegów, niejednorodne zabarwienie, średnicę przekraczającą sześć milimetrów oraz ewolucję zmian w czasie. Mimo szerokiego zastosowania w diagnostyce wstępnej metoda ta charakteryzuje się ograniczoną czułością i swoistością, szczególnie w przypadku wczesnych postaci czerniaka oraz zmian łagodnych o atypowym obrazie klinicznym. Z tego powodu coraz większe znaczenie zyskują narzędzia wspomagające proces diagnostyczny.</w:t>
      </w:r>
    </w:p>
    <w:p>
      <w:pPr>
        <w:pStyle w:val="Heading3"/>
        <w:numPr>
          <w:ilvl w:val="0"/>
          <w:numId w:val="0"/>
        </w:numPr>
        <w:ind w:hanging="0" w:start="0"/>
        <w:rPr>
          <w:bCs/>
        </w:rPr>
      </w:pPr>
      <w:bookmarkStart w:id="8" w:name="_Toc230629441"/>
      <w:r>
        <w:rPr/>
        <w:t>1.1.1 K</w:t>
      </w:r>
      <w:r>
        <w:rPr>
          <w:bCs/>
        </w:rPr>
        <w:t>lasyfikacja nowotworów skóry w zbiorze danych</w:t>
      </w:r>
      <w:bookmarkEnd w:id="8"/>
    </w:p>
    <w:p>
      <w:pPr>
        <w:pStyle w:val="Normal"/>
        <w:rPr/>
      </w:pPr>
      <w:r>
        <w:rPr/>
        <w:t>Spośród 14 klas obecnych w zbiorze danych niniejszej pracy, cztery dotyczą zmian o charakterze nowotworowym lub przedrakowym:</w:t>
      </w:r>
    </w:p>
    <w:p>
      <w:pPr>
        <w:pStyle w:val="Heading4"/>
        <w:rPr/>
      </w:pPr>
      <w:r>
        <w:rPr/>
        <w:t>1.1.1.1 Melanoma (czerniak złośliwy)</w:t>
      </w:r>
    </w:p>
    <w:p>
      <w:pPr>
        <w:pStyle w:val="Normal"/>
        <w:rPr/>
      </w:pPr>
      <w:r>
        <w:rPr/>
        <w:t>Jest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w:t>
      </w:r>
      <w:sdt>
        <w:sdtPr>
          <w:citation/>
        </w:sdtPr>
        <w:sdtContent>
          <w:r>
            <w:rPr/>
            <w:fldChar w:fldCharType="begin"/>
          </w:r>
          <w:r>
            <w:rPr/>
            <w:instrText xml:space="preserve"> CITATION Dua21 \l 1045 </w:instrText>
          </w:r>
          <w:r>
            <w:rPr/>
            <w:fldChar w:fldCharType="separate"/>
          </w:r>
          <w:r>
            <w:rPr/>
            <w:t xml:space="preserve"> [3]</w:t>
          </w:r>
          <w:r>
            <w:rPr/>
            <w:fldChar w:fldCharType="end"/>
          </w:r>
        </w:sdtContent>
      </w:sdt>
      <w:r>
        <w:rPr/>
        <w:t xml:space="preserve">. </w:t>
      </w:r>
    </w:p>
    <w:p>
      <w:pPr>
        <w:pStyle w:val="Normal"/>
        <w:keepNext w:val="true"/>
        <w:jc w:val="center"/>
        <w:rPr/>
      </w:pPr>
      <w:r>
        <w:rPr/>
        <w:drawing>
          <wp:inline distT="0" distB="0" distL="0" distR="0">
            <wp:extent cx="4137660" cy="2103120"/>
            <wp:effectExtent l="0" t="0" r="0" b="0"/>
            <wp:docPr id="2"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4"/>
                    <pic:cNvPicPr>
                      <a:picLocks noChangeAspect="1" noChangeArrowheads="1"/>
                    </pic:cNvPicPr>
                  </pic:nvPicPr>
                  <pic:blipFill>
                    <a:blip r:embed="rId3"/>
                    <a:stretch>
                      <a:fillRect/>
                    </a:stretch>
                  </pic:blipFill>
                  <pic:spPr bwMode="auto">
                    <a:xfrm>
                      <a:off x="0" y="0"/>
                      <a:ext cx="4137660" cy="2103120"/>
                    </a:xfrm>
                    <a:prstGeom prst="rect">
                      <a:avLst/>
                    </a:prstGeom>
                    <a:noFill/>
                  </pic:spPr>
                </pic:pic>
              </a:graphicData>
            </a:graphic>
          </wp:inline>
        </w:drawing>
      </w:r>
    </w:p>
    <w:p>
      <w:pPr>
        <w:pStyle w:val="Caption"/>
        <w:rPr>
          <w:lang w:val="en-US"/>
        </w:rPr>
      </w:pPr>
      <w:bookmarkStart w:id="9" w:name="_Toc230629500"/>
      <w:bookmarkStart w:id="10" w:name="_Ref228207447"/>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w:t>
      </w:r>
      <w:r>
        <w:rPr>
          <w:lang w:val="en-US"/>
        </w:rPr>
        <w:fldChar w:fldCharType="end"/>
      </w:r>
      <w:bookmarkEnd w:id="10"/>
      <w:r>
        <w:rPr>
          <w:lang w:val="en-US"/>
        </w:rPr>
        <w:t xml:space="preserve"> Czerniak</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9"/>
        </w:sdtContent>
      </w:sdt>
    </w:p>
    <w:p>
      <w:pPr>
        <w:pStyle w:val="Heading4"/>
        <w:rPr/>
      </w:pPr>
      <w:r>
        <w:rPr/>
        <w:t>1.1.1.2 Basal cell carcinoma (rak podstawnokomórkowy, BCC)</w:t>
      </w:r>
    </w:p>
    <w:p>
      <w:pPr>
        <w:pStyle w:val="Normal"/>
        <w:rPr/>
      </w:pPr>
      <w:r>
        <w:rPr/>
        <w:t>To najczęstszy nowotwór złośliwy u człowieka, odpowiada za ok. 75% wszystkich raków skóry. Wywodzi się z komórek podstawnych naskórka. Mimo złośliwego charakteru rzadko daje przerzuty odległe, nieleczony powoduje jednak miejscowe zniszczenie tkanek. Dermoskopowo charakteryzuje się obecnością drzewkowatych naczyń, blobów barwnikowych i obszarów liściowych</w:t>
      </w:r>
      <w:sdt>
        <w:sdtPr>
          <w:citation/>
        </w:sdtPr>
        <w:sdtContent>
          <w:r>
            <w:rPr/>
            <w:fldChar w:fldCharType="begin"/>
          </w:r>
          <w:r>
            <w:rPr/>
            <w:instrText xml:space="preserve"> CITATION Ofe21 \l 1045 </w:instrText>
          </w:r>
          <w:r>
            <w:rPr/>
            <w:fldChar w:fldCharType="separate"/>
          </w:r>
          <w:r>
            <w:rPr/>
            <w:t xml:space="preserve"> [4]</w:t>
          </w:r>
          <w:r>
            <w:rPr/>
            <w:fldChar w:fldCharType="end"/>
          </w:r>
        </w:sdtContent>
      </w:sdt>
      <w:r>
        <w:rPr/>
        <w:t>.</w:t>
      </w:r>
    </w:p>
    <w:p>
      <w:pPr>
        <w:pStyle w:val="Normal"/>
        <w:keepNext w:val="true"/>
        <w:jc w:val="center"/>
        <w:rPr/>
      </w:pPr>
      <w:r>
        <w:rPr/>
        <w:drawing>
          <wp:inline distT="0" distB="0" distL="0" distR="0">
            <wp:extent cx="4869180" cy="3566160"/>
            <wp:effectExtent l="0" t="0" r="0" b="0"/>
            <wp:docPr id="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5"/>
                    <pic:cNvPicPr>
                      <a:picLocks noChangeAspect="1" noChangeArrowheads="1"/>
                    </pic:cNvPicPr>
                  </pic:nvPicPr>
                  <pic:blipFill>
                    <a:blip r:embed="rId4"/>
                    <a:stretch>
                      <a:fillRect/>
                    </a:stretch>
                  </pic:blipFill>
                  <pic:spPr bwMode="auto">
                    <a:xfrm>
                      <a:off x="0" y="0"/>
                      <a:ext cx="4869180" cy="3566160"/>
                    </a:xfrm>
                    <a:prstGeom prst="rect">
                      <a:avLst/>
                    </a:prstGeom>
                    <a:noFill/>
                  </pic:spPr>
                </pic:pic>
              </a:graphicData>
            </a:graphic>
          </wp:inline>
        </w:drawing>
      </w:r>
    </w:p>
    <w:p>
      <w:pPr>
        <w:pStyle w:val="Caption"/>
        <w:rPr/>
      </w:pPr>
      <w:bookmarkStart w:id="11" w:name="_Toc230629501"/>
      <w:r>
        <w:rPr/>
        <w:t xml:space="preserve">Rysunek </w:t>
      </w:r>
      <w:r>
        <w:rPr/>
        <w:fldChar w:fldCharType="begin"/>
      </w:r>
      <w:r>
        <w:rPr/>
        <w:instrText xml:space="preserve"> SEQ Rysunek \* ARABIC </w:instrText>
      </w:r>
      <w:r>
        <w:rPr/>
        <w:fldChar w:fldCharType="separate"/>
      </w:r>
      <w:r>
        <w:rPr/>
        <w:t>2</w:t>
      </w:r>
      <w:r>
        <w:rPr/>
        <w:fldChar w:fldCharType="end"/>
      </w:r>
      <w:r>
        <w:rPr/>
        <w:t xml:space="preserve"> Rak podstawnokomórkowy, BCC</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1"/>
        </w:sdtContent>
      </w:sdt>
    </w:p>
    <w:p>
      <w:pPr>
        <w:pStyle w:val="Heading4"/>
        <w:rPr/>
      </w:pPr>
      <w:r>
        <w:rPr/>
        <w:t>1.1.1.3 Squamous cell carcinoma (rak płaskonabłonkowy, SCC)</w:t>
      </w:r>
    </w:p>
    <w:p>
      <w:pPr>
        <w:pStyle w:val="Normal"/>
        <w:rPr/>
      </w:pPr>
      <w:r>
        <w:rPr/>
        <w:t>Jest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pPr>
        <w:pStyle w:val="Normal"/>
        <w:keepNext w:val="true"/>
        <w:jc w:val="center"/>
        <w:rPr/>
      </w:pPr>
      <w:r>
        <w:rPr/>
        <w:drawing>
          <wp:inline distT="0" distB="0" distL="0" distR="0">
            <wp:extent cx="4221480" cy="2362200"/>
            <wp:effectExtent l="0" t="0" r="0" b="0"/>
            <wp:docPr id="4"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6"/>
                    <pic:cNvPicPr>
                      <a:picLocks noChangeAspect="1" noChangeArrowheads="1"/>
                    </pic:cNvPicPr>
                  </pic:nvPicPr>
                  <pic:blipFill>
                    <a:blip r:embed="rId5"/>
                    <a:stretch>
                      <a:fillRect/>
                    </a:stretch>
                  </pic:blipFill>
                  <pic:spPr bwMode="auto">
                    <a:xfrm>
                      <a:off x="0" y="0"/>
                      <a:ext cx="4221480" cy="2362200"/>
                    </a:xfrm>
                    <a:prstGeom prst="rect">
                      <a:avLst/>
                    </a:prstGeom>
                    <a:noFill/>
                  </pic:spPr>
                </pic:pic>
              </a:graphicData>
            </a:graphic>
          </wp:inline>
        </w:drawing>
      </w:r>
    </w:p>
    <w:p>
      <w:pPr>
        <w:pStyle w:val="Caption"/>
        <w:rPr/>
      </w:pPr>
      <w:bookmarkStart w:id="12" w:name="_Toc230629502"/>
      <w:r>
        <w:rPr/>
        <w:t xml:space="preserve">Rysunek </w:t>
      </w:r>
      <w:r>
        <w:rPr/>
        <w:fldChar w:fldCharType="begin"/>
      </w:r>
      <w:r>
        <w:rPr/>
        <w:instrText xml:space="preserve"> SEQ Rysunek \* ARABIC </w:instrText>
      </w:r>
      <w:r>
        <w:rPr/>
        <w:fldChar w:fldCharType="separate"/>
      </w:r>
      <w:r>
        <w:rPr/>
        <w:t>3</w:t>
      </w:r>
      <w:r>
        <w:rPr/>
        <w:fldChar w:fldCharType="end"/>
      </w:r>
      <w:r>
        <w:rPr/>
        <w:t xml:space="preserve"> Rak płaskonabłonkowy</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2"/>
        </w:sdtContent>
      </w:sdt>
    </w:p>
    <w:p>
      <w:pPr>
        <w:pStyle w:val="Heading4"/>
        <w:rPr/>
      </w:pPr>
      <w:r>
        <w:rPr/>
        <w:t>1.1.1.4 Actinic keratoses</w:t>
      </w:r>
      <w:sdt>
        <w:sdtPr>
          <w:citation/>
        </w:sdtPr>
        <w:sdtContent>
          <w:r>
            <w:rPr/>
            <w:fldChar w:fldCharType="begin"/>
          </w:r>
          <w:r>
            <w:rPr/>
            <w:instrText xml:space="preserve">CITATION Xia23 \l 1045 </w:instrText>
          </w:r>
          <w:r>
            <w:rPr/>
            <w:fldChar w:fldCharType="separate"/>
          </w:r>
          <w:r>
            <w:rPr/>
            <w:t xml:space="preserve"> [5]</w:t>
          </w:r>
          <w:r>
            <w:rPr/>
            <w:fldChar w:fldCharType="end"/>
          </w:r>
        </w:sdtContent>
      </w:sdt>
      <w:r>
        <w:rPr/>
        <w:t xml:space="preserve"> (rogowacenie słoneczne,</w:t>
      </w:r>
      <w:r>
        <w:rPr/>
        <w:t xml:space="preserve"> AK)</w:t>
      </w:r>
    </w:p>
    <w:p>
      <w:pPr>
        <w:pStyle w:val="Normal"/>
        <w:keepNext w:val="true"/>
        <w:ind w:firstLine="708"/>
        <w:rPr/>
      </w:pPr>
      <w:r>
        <w:rPr/>
        <w:t>Stanowi zmianę przednowotworową rozwijającą się w następstwie długotrwałej ekspozycji skóry na promieniowanie ultrafioletowe. Kluczowym mechanizmem patogenetycznym jest stopniowe uszkadzanie materiału genetycznego komórek naskórka przez promieniowanie UV, co prowadzi do kumulacji błędów w DNA i zaburzeń mechanizmów naprawczych komórki. Jednym z najczęściej obserwowanych efektów tych procesów jest mutacja w genie TP53, który pełni istotną rolę w kontroli cyklu komórkowego oraz w odpowiedzi na uszkodzenia DNA.</w:t>
      </w:r>
    </w:p>
    <w:p>
      <w:pPr>
        <w:pStyle w:val="Normal"/>
        <w:widowControl w:val="false"/>
        <w:ind w:firstLine="708"/>
        <w:rPr/>
      </w:pPr>
      <w:r>
        <w:rPr/>
        <w:t>W warunkach przewlekłego narażenia na promieniowanie słoneczne dochodzi do stopniowej utraty kontroli nad proliferacją keratynocytów, co sprzyja rozwojowi zmian dysplastycznych. Nieleczone rogowacenie słoneczne może ulec transformacji nowotworowej w kierunku raka kolczystokomórkowego skóry (SCC) w około 5 do 10 procent przypadków.</w:t>
      </w:r>
    </w:p>
    <w:p>
      <w:pPr>
        <w:pStyle w:val="Normal"/>
        <w:widowControl w:val="false"/>
        <w:ind w:hanging="0"/>
        <w:rPr/>
      </w:pPr>
      <w:r>
        <w:rPr/>
        <w:tab/>
        <w:t>Klinicznie zmiany te manifestują się jako niewielkie ogniska o szorstkiej, chropowatej powierzchni, często pokryte łuską, zlokalizowane na obszarach skóry szczególnie narażonych na przewlekłe działanie słońca, takich jak twarz, owłosiona skóra głowy, grzbiety rąk czy przedramiona.</w:t>
      </w:r>
    </w:p>
    <w:p>
      <w:pPr>
        <w:pStyle w:val="Normal"/>
        <w:keepNext w:val="true"/>
        <w:jc w:val="center"/>
        <w:rPr/>
      </w:pPr>
      <w:r>
        <w:rPr/>
        <w:drawing>
          <wp:inline distT="0" distB="0" distL="0" distR="0">
            <wp:extent cx="3817620" cy="2644140"/>
            <wp:effectExtent l="0" t="0" r="0" b="0"/>
            <wp:docPr id="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7"/>
                    <pic:cNvPicPr>
                      <a:picLocks noChangeAspect="1" noChangeArrowheads="1"/>
                    </pic:cNvPicPr>
                  </pic:nvPicPr>
                  <pic:blipFill>
                    <a:blip r:embed="rId6"/>
                    <a:stretch>
                      <a:fillRect/>
                    </a:stretch>
                  </pic:blipFill>
                  <pic:spPr bwMode="auto">
                    <a:xfrm>
                      <a:off x="0" y="0"/>
                      <a:ext cx="3817620" cy="2644140"/>
                    </a:xfrm>
                    <a:prstGeom prst="rect">
                      <a:avLst/>
                    </a:prstGeom>
                    <a:noFill/>
                  </pic:spPr>
                </pic:pic>
              </a:graphicData>
            </a:graphic>
          </wp:inline>
        </w:drawing>
      </w:r>
    </w:p>
    <w:p>
      <w:pPr>
        <w:pStyle w:val="Caption"/>
        <w:rPr>
          <w:lang w:val="en-US"/>
        </w:rPr>
      </w:pPr>
      <w:bookmarkStart w:id="13" w:name="_Toc230629503"/>
      <w:r>
        <w:rPr/>
        <w:t xml:space="preserve">Rysunek </w:t>
      </w:r>
      <w:r>
        <w:rPr/>
        <w:fldChar w:fldCharType="begin"/>
      </w:r>
      <w:r>
        <w:rPr/>
        <w:instrText xml:space="preserve"> SEQ Rysunek \* ARABIC </w:instrText>
      </w:r>
      <w:r>
        <w:rPr/>
        <w:fldChar w:fldCharType="separate"/>
      </w:r>
      <w:r>
        <w:rPr/>
        <w:t>4</w:t>
      </w:r>
      <w:r>
        <w:rPr/>
        <w:fldChar w:fldCharType="end"/>
      </w:r>
      <w:r>
        <w:rPr/>
        <w:t xml:space="preserve"> Rogowacenie słoneczne</w:t>
        <w:br/>
      </w:r>
      <w:r>
        <w:rPr>
          <w:lang w:val="en-US"/>
        </w:rP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3"/>
        </w:sdtContent>
      </w:sdt>
    </w:p>
    <w:p>
      <w:pPr>
        <w:pStyle w:val="Heading3"/>
        <w:numPr>
          <w:ilvl w:val="2"/>
          <w:numId w:val="10"/>
        </w:numPr>
        <w:rPr/>
      </w:pPr>
      <w:bookmarkStart w:id="14" w:name="_Toc230629442"/>
      <w:r>
        <w:rPr>
          <w:bCs/>
        </w:rPr>
        <w:t>Wirusowe choroby zakaźne z manifestacją skórną</w:t>
      </w:r>
      <w:bookmarkEnd w:id="14"/>
    </w:p>
    <w:p>
      <w:pPr>
        <w:pStyle w:val="Normal"/>
        <w:rPr/>
      </w:pPr>
      <w:r>
        <w:rPr/>
        <w:t>Zbiór MSLDv2.0 wprowadził do zestawu danych klasy chorób zakaźnych, których wspólną cechą jest charakterystyczny obraz skórny. Jest to szczególnie aktualne w kontekście globalnego zagrożenia epidemicznego.</w:t>
      </w:r>
    </w:p>
    <w:p>
      <w:pPr>
        <w:pStyle w:val="Heading4"/>
        <w:rPr/>
      </w:pPr>
      <w:r>
        <w:rPr/>
        <w:t>1.1.2.1 Monkeypox</w:t>
      </w:r>
      <w:sdt>
        <w:sdtPr>
          <w:citation/>
        </w:sdtPr>
        <w:sdtContent>
          <w:r>
            <w:rPr/>
            <w:fldChar w:fldCharType="begin"/>
          </w:r>
          <w:r>
            <w:rPr/>
            <w:instrText xml:space="preserve">CITATION Yad25 \l 1045 </w:instrText>
          </w:r>
          <w:r>
            <w:rPr/>
            <w:fldChar w:fldCharType="separate"/>
          </w:r>
          <w:r>
            <w:rPr/>
            <w:t xml:space="preserve"> [6]</w:t>
          </w:r>
          <w:r>
            <w:rPr/>
            <w:fldChar w:fldCharType="end"/>
          </w:r>
        </w:sdtContent>
      </w:sdt>
      <w:r>
        <w:rPr/>
        <w:t xml:space="preserve"> (małpia ospa)</w:t>
      </w:r>
    </w:p>
    <w:p>
      <w:pPr>
        <w:pStyle w:val="Normal"/>
        <w:rPr/>
      </w:pPr>
      <w:r>
        <w:rPr/>
        <w:t>Choroba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pPr>
        <w:pStyle w:val="Normal"/>
        <w:keepNext w:val="true"/>
        <w:jc w:val="center"/>
        <w:rPr/>
      </w:pPr>
      <w:r>
        <w:rPr/>
        <w:drawing>
          <wp:inline distT="0" distB="0" distL="0" distR="0">
            <wp:extent cx="2133600" cy="2133600"/>
            <wp:effectExtent l="0" t="0" r="0" b="0"/>
            <wp:docPr id="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8"/>
                    <pic:cNvPicPr>
                      <a:picLocks noChangeAspect="1" noChangeArrowheads="1"/>
                    </pic:cNvPicPr>
                  </pic:nvPicPr>
                  <pic:blipFill>
                    <a:blip r:embed="rId7"/>
                    <a:stretch>
                      <a:fillRect/>
                    </a:stretch>
                  </pic:blipFill>
                  <pic:spPr bwMode="auto">
                    <a:xfrm>
                      <a:off x="0" y="0"/>
                      <a:ext cx="2133600" cy="2133600"/>
                    </a:xfrm>
                    <a:prstGeom prst="rect">
                      <a:avLst/>
                    </a:prstGeom>
                    <a:noFill/>
                  </pic:spPr>
                </pic:pic>
              </a:graphicData>
            </a:graphic>
          </wp:inline>
        </w:drawing>
      </w:r>
    </w:p>
    <w:p>
      <w:pPr>
        <w:pStyle w:val="Caption"/>
        <w:rPr>
          <w:lang w:val="en-US"/>
        </w:rPr>
      </w:pPr>
      <w:bookmarkStart w:id="15" w:name="_Toc230629504"/>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5</w:t>
      </w:r>
      <w:r>
        <w:rPr>
          <w:lang w:val="en-US"/>
        </w:rPr>
        <w:fldChar w:fldCharType="end"/>
      </w:r>
      <w:r>
        <w:rPr>
          <w:lang w:val="en-US"/>
        </w:rPr>
        <w:t xml:space="preserve"> : Ospa małpia</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5"/>
        </w:sdtContent>
      </w:sdt>
    </w:p>
    <w:p>
      <w:pPr>
        <w:pStyle w:val="Heading4"/>
        <w:rPr/>
      </w:pPr>
      <w:r>
        <w:rPr/>
        <w:t xml:space="preserve">1.1.2.2 Chickenpox </w:t>
      </w:r>
      <w:sdt>
        <w:sdtPr>
          <w:citation/>
        </w:sdtPr>
        <w:sdtContent>
          <w:r>
            <w:rPr/>
            <w:fldChar w:fldCharType="begin"/>
          </w:r>
          <w:r>
            <w:rPr/>
            <w:instrText xml:space="preserve"> CITATION Sal25 \l 1045 </w:instrText>
          </w:r>
          <w:r>
            <w:rPr/>
            <w:fldChar w:fldCharType="separate"/>
          </w:r>
          <w:r>
            <w:rPr/>
            <w:t>[7]</w:t>
          </w:r>
          <w:r>
            <w:rPr/>
            <w:fldChar w:fldCharType="end"/>
          </w:r>
        </w:sdtContent>
      </w:sdt>
      <w:r>
        <w:rPr/>
        <w:t xml:space="preserve"> </w:t>
      </w:r>
      <w:r>
        <w:rPr/>
        <w:t>(ospa wietrzna)</w:t>
      </w:r>
    </w:p>
    <w:p>
      <w:pPr>
        <w:pStyle w:val="Normal"/>
        <w:rPr/>
      </w:pPr>
      <w:r>
        <w:rPr/>
        <w:t>Choroba wywoływana przez wirus Varicella-Zoster (VZV), przenoszona drogą kropelkową. Charakteryzuje się polimorfizmem wykwitów skórnych, na tym samym obszarze ciała obecne są jednocześnie plamy, grudki, pęcherzyki i strupy (tzw. "rozgwieżdżone niebo"). Zmiany pojawiają się kolejnymi "rzutami" przez 3-5 dni.</w:t>
      </w:r>
    </w:p>
    <w:p>
      <w:pPr>
        <w:pStyle w:val="Normal"/>
        <w:keepNext w:val="true"/>
        <w:jc w:val="center"/>
        <w:rPr/>
      </w:pPr>
      <w:r>
        <w:rPr/>
        <w:drawing>
          <wp:inline distT="0" distB="0" distL="0" distR="0">
            <wp:extent cx="2133600" cy="2133600"/>
            <wp:effectExtent l="0" t="0" r="0" b="0"/>
            <wp:docPr id="7"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9"/>
                    <pic:cNvPicPr>
                      <a:picLocks noChangeAspect="1" noChangeArrowheads="1"/>
                    </pic:cNvPicPr>
                  </pic:nvPicPr>
                  <pic:blipFill>
                    <a:blip r:embed="rId8"/>
                    <a:stretch>
                      <a:fillRect/>
                    </a:stretch>
                  </pic:blipFill>
                  <pic:spPr bwMode="auto">
                    <a:xfrm>
                      <a:off x="0" y="0"/>
                      <a:ext cx="2133600" cy="2133600"/>
                    </a:xfrm>
                    <a:prstGeom prst="rect">
                      <a:avLst/>
                    </a:prstGeom>
                    <a:noFill/>
                  </pic:spPr>
                </pic:pic>
              </a:graphicData>
            </a:graphic>
          </wp:inline>
        </w:drawing>
      </w:r>
    </w:p>
    <w:p>
      <w:pPr>
        <w:pStyle w:val="Caption"/>
        <w:rPr>
          <w:lang w:val="en-US"/>
        </w:rPr>
      </w:pPr>
      <w:bookmarkStart w:id="16" w:name="_Toc230629505"/>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6</w:t>
      </w:r>
      <w:r>
        <w:rPr>
          <w:lang w:val="en-US"/>
        </w:rPr>
        <w:fldChar w:fldCharType="end"/>
      </w:r>
      <w:r>
        <w:rPr>
          <w:lang w:val="en-US"/>
        </w:rPr>
        <w:t xml:space="preserve"> Ospa wietrzna</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6"/>
        </w:sdtContent>
      </w:sdt>
    </w:p>
    <w:p>
      <w:pPr>
        <w:pStyle w:val="Heading4"/>
        <w:rPr/>
      </w:pPr>
      <w:r>
        <w:rPr/>
        <w:t xml:space="preserve">1.1.2.3 Measles </w:t>
      </w:r>
      <w:sdt>
        <w:sdtPr>
          <w:citation/>
        </w:sdtPr>
        <w:sdtContent>
          <w:r>
            <w:rPr/>
            <w:fldChar w:fldCharType="begin"/>
          </w:r>
          <w:r>
            <w:rPr/>
            <w:instrText xml:space="preserve"> CITATION Kon25 \l 1045 </w:instrText>
          </w:r>
          <w:r>
            <w:rPr/>
            <w:fldChar w:fldCharType="separate"/>
          </w:r>
          <w:r>
            <w:rPr/>
            <w:t>[8]</w:t>
          </w:r>
          <w:r>
            <w:rPr/>
            <w:fldChar w:fldCharType="end"/>
          </w:r>
        </w:sdtContent>
      </w:sdt>
      <w:r>
        <w:rPr/>
        <w:t xml:space="preserve"> (odra)</w:t>
      </w:r>
    </w:p>
    <w:p>
      <w:pPr>
        <w:pStyle w:val="Normal"/>
        <w:rPr/>
      </w:pPr>
      <w:r>
        <w:rPr/>
        <w:t>Choroba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w:t>
      </w:r>
    </w:p>
    <w:p>
      <w:pPr>
        <w:pStyle w:val="Normal"/>
        <w:keepNext w:val="true"/>
        <w:jc w:val="center"/>
        <w:rPr/>
      </w:pPr>
      <w:r>
        <w:rPr/>
        <w:drawing>
          <wp:inline distT="0" distB="0" distL="0" distR="0">
            <wp:extent cx="2133600" cy="2133600"/>
            <wp:effectExtent l="0" t="0" r="0" b="0"/>
            <wp:docPr id="8"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10"/>
                    <pic:cNvPicPr>
                      <a:picLocks noChangeAspect="1" noChangeArrowheads="1"/>
                    </pic:cNvPicPr>
                  </pic:nvPicPr>
                  <pic:blipFill>
                    <a:blip r:embed="rId9"/>
                    <a:stretch>
                      <a:fillRect/>
                    </a:stretch>
                  </pic:blipFill>
                  <pic:spPr bwMode="auto">
                    <a:xfrm>
                      <a:off x="0" y="0"/>
                      <a:ext cx="2133600" cy="2133600"/>
                    </a:xfrm>
                    <a:prstGeom prst="rect">
                      <a:avLst/>
                    </a:prstGeom>
                    <a:noFill/>
                  </pic:spPr>
                </pic:pic>
              </a:graphicData>
            </a:graphic>
          </wp:inline>
        </w:drawing>
      </w:r>
    </w:p>
    <w:p>
      <w:pPr>
        <w:pStyle w:val="Caption"/>
        <w:rPr>
          <w:lang w:val="en-US"/>
        </w:rPr>
      </w:pPr>
      <w:bookmarkStart w:id="17" w:name="_Toc230629506"/>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7</w:t>
      </w:r>
      <w:r>
        <w:rPr>
          <w:lang w:val="en-US"/>
        </w:rPr>
        <w:fldChar w:fldCharType="end"/>
      </w:r>
      <w:r>
        <w:rPr>
          <w:lang w:val="en-US"/>
        </w:rPr>
        <w:t xml:space="preserve"> : Odra</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7"/>
        </w:sdtContent>
      </w:sdt>
    </w:p>
    <w:p>
      <w:pPr>
        <w:pStyle w:val="Heading4"/>
        <w:rPr/>
      </w:pPr>
      <w:r>
        <w:rPr/>
        <w:t>1.1.2.4 Cowpox</w:t>
      </w:r>
      <w:sdt>
        <w:sdtPr>
          <w:citation/>
        </w:sdtPr>
        <w:sdtContent>
          <w:r>
            <w:rPr/>
            <w:fldChar w:fldCharType="begin"/>
          </w:r>
          <w:r>
            <w:rPr/>
            <w:instrText xml:space="preserve"> CITATION Ali23 \l 1045 </w:instrText>
          </w:r>
          <w:r>
            <w:rPr/>
            <w:fldChar w:fldCharType="separate"/>
          </w:r>
          <w:r>
            <w:rPr/>
            <w:t xml:space="preserve"> [9]</w:t>
          </w:r>
          <w:r>
            <w:rPr/>
            <w:fldChar w:fldCharType="end"/>
          </w:r>
        </w:sdtContent>
      </w:sdt>
      <w:r>
        <w:rPr/>
        <w:t xml:space="preserve"> </w:t>
      </w:r>
      <w:r>
        <w:rPr/>
        <w:t>(Krowianka) i HFMD</w:t>
      </w:r>
      <w:sdt>
        <w:sdtPr>
          <w:citation/>
        </w:sdtPr>
        <w:sdtContent>
          <w:r>
            <w:rPr/>
            <w:fldChar w:fldCharType="begin"/>
          </w:r>
          <w:r>
            <w:rPr/>
            <w:instrText xml:space="preserve"> CITATION Gue23 \l 1045 </w:instrText>
          </w:r>
          <w:r>
            <w:rPr/>
            <w:fldChar w:fldCharType="separate"/>
          </w:r>
          <w:r>
            <w:rPr/>
            <w:t xml:space="preserve"> [10]</w:t>
          </w:r>
          <w:r>
            <w:rPr/>
            <w:fldChar w:fldCharType="end"/>
          </w:r>
        </w:sdtContent>
      </w:sdt>
      <w:r>
        <w:rPr/>
        <w:t xml:space="preserve"> (choroba dłoni, stóp i jamy ustnej)</w:t>
      </w:r>
    </w:p>
    <w:p>
      <w:pPr>
        <w:pStyle w:val="Normal"/>
        <w:rPr/>
      </w:pPr>
      <w:r>
        <w:rPr/>
        <w:t>Stanowią przykłady zakażeń wirusowych, które manifestują się charakterystycznymi zmianami skórnymi. W przypadku krowianki obserwuje się rozwój zmian o charakterze nadżerek i owrzodzeń, którym może towarzyszyć treść surowiczo-krwotoczna lub ropna. Zmiany te mają zwykle ograniczony, miejscowy charakter i wynikają z bezpośredniego zakażenia skóry wirusem krowianki.</w:t>
      </w:r>
    </w:p>
    <w:p>
      <w:pPr>
        <w:pStyle w:val="Normal"/>
        <w:rPr/>
      </w:pPr>
      <w:r>
        <w:rPr/>
        <w:t xml:space="preserve"> </w:t>
      </w:r>
      <w:r>
        <w:rPr/>
        <w:t>Z kolei HFMD jest chorobą wywoływaną najczęściej przez Enterovirus 71 lub Coxsackievirus A16. Klinicznie objawia się występowaniem drobnych pęcherzyków oraz wykwitów na skórze dłoni i stóp, a także zmian w obrębie błony śluzowej jamy ustnej. Charakterystyczne jest jednoczesne zajęcie tych trzech lokalizacji, co stanowi istotną cechę diagnostyczną tej jednostki chorobowej.</w:t>
      </w:r>
    </w:p>
    <w:p>
      <w:pPr>
        <w:pStyle w:val="Normal"/>
        <w:keepNext w:val="true"/>
        <w:jc w:val="center"/>
        <w:rPr/>
      </w:pPr>
      <w:r>
        <w:rPr/>
        <w:drawing>
          <wp:inline distT="0" distB="0" distL="0" distR="0">
            <wp:extent cx="1743075" cy="1743075"/>
            <wp:effectExtent l="0" t="0" r="0" b="0"/>
            <wp:docPr id="9"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11"/>
                    <pic:cNvPicPr>
                      <a:picLocks noChangeAspect="1" noChangeArrowheads="1"/>
                    </pic:cNvPicPr>
                  </pic:nvPicPr>
                  <pic:blipFill>
                    <a:blip r:embed="rId10"/>
                    <a:stretch>
                      <a:fillRect/>
                    </a:stretch>
                  </pic:blipFill>
                  <pic:spPr bwMode="auto">
                    <a:xfrm>
                      <a:off x="0" y="0"/>
                      <a:ext cx="1743075" cy="1743075"/>
                    </a:xfrm>
                    <a:prstGeom prst="rect">
                      <a:avLst/>
                    </a:prstGeom>
                    <a:noFill/>
                  </pic:spPr>
                </pic:pic>
              </a:graphicData>
            </a:graphic>
          </wp:inline>
        </w:drawing>
      </w:r>
    </w:p>
    <w:p>
      <w:pPr>
        <w:pStyle w:val="Caption"/>
        <w:rPr>
          <w:lang w:val="en-US"/>
        </w:rPr>
      </w:pPr>
      <w:bookmarkStart w:id="18" w:name="_Toc230629507"/>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8</w:t>
      </w:r>
      <w:r>
        <w:rPr>
          <w:lang w:val="en-US"/>
        </w:rPr>
        <w:fldChar w:fldCharType="end"/>
      </w:r>
      <w:r>
        <w:rPr>
          <w:lang w:val="en-US"/>
        </w:rPr>
        <w:t xml:space="preserve"> : HFMD</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8"/>
        </w:sdtContent>
      </w:sdt>
    </w:p>
    <w:p>
      <w:pPr>
        <w:pStyle w:val="Heading3"/>
        <w:numPr>
          <w:ilvl w:val="2"/>
          <w:numId w:val="10"/>
        </w:numPr>
        <w:rPr/>
      </w:pPr>
      <w:bookmarkStart w:id="19" w:name="_Toc230629443"/>
      <w:r>
        <w:rPr>
          <w:bCs/>
        </w:rPr>
        <w:t>Zmiany łagodne i inne klasy diagnostyczne</w:t>
      </w:r>
      <w:bookmarkEnd w:id="19"/>
    </w:p>
    <w:p>
      <w:pPr>
        <w:pStyle w:val="Normal"/>
        <w:spacing w:lineRule="auto" w:line="240" w:beforeAutospacing="1" w:afterAutospacing="1"/>
        <w:ind w:firstLine="708"/>
        <w:rPr>
          <w:rFonts w:eastAsia="Times New Roman" w:cs="Times New Roman"/>
          <w:color w:val="auto"/>
          <w:kern w:val="0"/>
          <w:szCs w:val="24"/>
          <w:lang w:eastAsia="pl-PL"/>
          <w14:ligatures w14:val="none"/>
        </w:rPr>
      </w:pPr>
      <w:r>
        <w:rPr>
          <w:rFonts w:eastAsia="Times New Roman" w:cs="Times New Roman"/>
          <w:color w:val="auto"/>
          <w:kern w:val="0"/>
          <w:szCs w:val="24"/>
          <w:lang w:eastAsia="pl-PL"/>
          <w14:ligatures w14:val="none"/>
        </w:rPr>
        <w:t>Zmiany łagodne stanowią najczęstszą grupę diagnostyczną w dermatoskopii i różnicowaniu z nowotworami skóry.</w:t>
      </w:r>
    </w:p>
    <w:p>
      <w:pPr>
        <w:pStyle w:val="Heading4"/>
        <w:rPr/>
      </w:pPr>
      <w:r>
        <w:rPr/>
        <w:t>1.1.3.1 Melanocytic nevi</w:t>
      </w:r>
      <w:sdt>
        <w:sdtPr>
          <w:citation/>
        </w:sdtPr>
        <w:sdtContent>
          <w:r>
            <w:rPr/>
            <w:fldChar w:fldCharType="begin"/>
          </w:r>
          <w:r>
            <w:rPr/>
            <w:instrText xml:space="preserve"> CITATION Car16 \l 1045 </w:instrText>
          </w:r>
          <w:r>
            <w:rPr/>
            <w:fldChar w:fldCharType="separate"/>
          </w:r>
          <w:r>
            <w:rPr/>
            <w:t xml:space="preserve"> [11]</w:t>
          </w:r>
          <w:r>
            <w:rPr/>
            <w:fldChar w:fldCharType="end"/>
          </w:r>
        </w:sdtContent>
      </w:sdt>
      <w:r>
        <w:rPr/>
        <w:t xml:space="preserve"> (znamiona </w:t>
      </w:r>
      <w:r>
        <w:rPr/>
        <w:t>melanocytarne)</w:t>
      </w:r>
    </w:p>
    <w:p>
      <w:pPr>
        <w:pStyle w:val="Normal"/>
        <w:ind w:firstLine="708"/>
        <w:rPr/>
      </w:pPr>
      <w:r>
        <w:rPr/>
        <w:t>Są łagodnymi zmianami wynikającymi z miejscowego nagromadzenia melanocytów, potocznie określanymi jako „pieprzyki”. Z punktu widzenia diagnostyki klinicznej oraz dermoskopowej zmiany te mogą stanowić istotne wyzwanie interpretacyjne, ponieważ ich obraz bywa zbliżony do wczesnych postaci czerniaka. W konsekwencji najczęściej obserwowanym błędem klasyfikacyjnym w analizowanych modelach jest mylenie zmian z grupy melanoma oraz nevi, co wskazuje na szczególnie wysoką trudność rozróżnienia tych dwóch klas.</w:t>
      </w:r>
    </w:p>
    <w:p>
      <w:pPr>
        <w:pStyle w:val="Normal"/>
        <w:keepNext w:val="true"/>
        <w:jc w:val="center"/>
        <w:rPr/>
      </w:pPr>
      <w:r>
        <w:rPr/>
        <w:drawing>
          <wp:inline distT="0" distB="0" distL="0" distR="0">
            <wp:extent cx="3764280" cy="2499360"/>
            <wp:effectExtent l="0" t="0" r="0" b="0"/>
            <wp:docPr id="10"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2"/>
                    <pic:cNvPicPr>
                      <a:picLocks noChangeAspect="1" noChangeArrowheads="1"/>
                    </pic:cNvPicPr>
                  </pic:nvPicPr>
                  <pic:blipFill>
                    <a:blip r:embed="rId11"/>
                    <a:stretch>
                      <a:fillRect/>
                    </a:stretch>
                  </pic:blipFill>
                  <pic:spPr bwMode="auto">
                    <a:xfrm>
                      <a:off x="0" y="0"/>
                      <a:ext cx="3764280" cy="2499360"/>
                    </a:xfrm>
                    <a:prstGeom prst="rect">
                      <a:avLst/>
                    </a:prstGeom>
                    <a:noFill/>
                  </pic:spPr>
                </pic:pic>
              </a:graphicData>
            </a:graphic>
          </wp:inline>
        </w:drawing>
      </w:r>
    </w:p>
    <w:p>
      <w:pPr>
        <w:pStyle w:val="Caption"/>
        <w:rPr/>
      </w:pPr>
      <w:bookmarkStart w:id="20" w:name="_Toc230629508"/>
      <w:r>
        <w:rPr/>
        <w:t xml:space="preserve">Rysunek </w:t>
      </w:r>
      <w:r>
        <w:rPr/>
        <w:fldChar w:fldCharType="begin"/>
      </w:r>
      <w:r>
        <w:rPr/>
        <w:instrText xml:space="preserve"> SEQ Rysunek \* ARABIC </w:instrText>
      </w:r>
      <w:r>
        <w:rPr/>
        <w:fldChar w:fldCharType="separate"/>
      </w:r>
      <w:r>
        <w:rPr/>
        <w:t>9</w:t>
      </w:r>
      <w:r>
        <w:rPr/>
        <w:fldChar w:fldCharType="end"/>
      </w:r>
      <w:r>
        <w:rPr/>
        <w:t xml:space="preserve"> Znamiona melanocytarne</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20"/>
        </w:sdtContent>
      </w:sdt>
    </w:p>
    <w:p>
      <w:pPr>
        <w:pStyle w:val="Heading4"/>
        <w:rPr/>
      </w:pPr>
      <w:r>
        <w:rPr/>
        <w:t>1.1.3.2 Benign keratosis-like lesions</w:t>
      </w:r>
      <w:sdt>
        <w:sdtPr>
          <w:citation/>
        </w:sdtPr>
        <w:sdtContent>
          <w:r>
            <w:rPr/>
            <w:fldChar w:fldCharType="begin"/>
          </w:r>
          <w:r>
            <w:rPr/>
            <w:instrText xml:space="preserve"> CITATION Sco23 \l 1045 </w:instrText>
          </w:r>
          <w:r>
            <w:rPr/>
            <w:fldChar w:fldCharType="separate"/>
          </w:r>
          <w:r>
            <w:rPr/>
            <w:t xml:space="preserve"> [12]</w:t>
          </w:r>
          <w:r>
            <w:rPr/>
            <w:fldChar w:fldCharType="end"/>
          </w:r>
        </w:sdtContent>
      </w:sdt>
      <w:r>
        <w:rPr/>
        <w:t xml:space="preserve"> (łagodne zmiany </w:t>
      </w:r>
      <w:r>
        <w:rPr/>
        <w:t>keratozopodobne)</w:t>
      </w:r>
    </w:p>
    <w:p>
      <w:pPr>
        <w:pStyle w:val="Normal"/>
        <w:ind w:firstLine="708"/>
        <w:rPr/>
      </w:pPr>
      <w:r>
        <w:rPr/>
        <w:t>To heterogenna kategoria obejmująca zmiany z proliferacją keratynocytów o łagodnym charakterze. W jej skład wchodzą m.in. seborrheic keratosis, lichen planus-like keratosis oraz solar lentigo. Zmiany te często imitują inne patologie skóry, dlatego ich prawidłowe rozpoznanie ma duże znaczenie diagnostyczne.</w:t>
      </w:r>
    </w:p>
    <w:p>
      <w:pPr>
        <w:pStyle w:val="Normal"/>
        <w:ind w:hanging="0"/>
        <w:jc w:val="center"/>
        <w:rPr/>
      </w:pPr>
      <w:r>
        <w:rPr/>
        <w:drawing>
          <wp:inline distT="0" distB="0" distL="0" distR="0">
            <wp:extent cx="4320540" cy="2204085"/>
            <wp:effectExtent l="0" t="0" r="0" b="0"/>
            <wp:docPr id="1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2"/>
                    <pic:cNvPicPr>
                      <a:picLocks noChangeAspect="1" noChangeArrowheads="1"/>
                    </pic:cNvPicPr>
                  </pic:nvPicPr>
                  <pic:blipFill>
                    <a:blip r:embed="rId12"/>
                    <a:stretch>
                      <a:fillRect/>
                    </a:stretch>
                  </pic:blipFill>
                  <pic:spPr bwMode="auto">
                    <a:xfrm>
                      <a:off x="0" y="0"/>
                      <a:ext cx="4320540" cy="2204085"/>
                    </a:xfrm>
                    <a:prstGeom prst="rect">
                      <a:avLst/>
                    </a:prstGeom>
                    <a:noFill/>
                  </pic:spPr>
                </pic:pic>
              </a:graphicData>
            </a:graphic>
          </wp:inline>
        </w:drawing>
      </w:r>
    </w:p>
    <w:p>
      <w:pPr>
        <w:pStyle w:val="Normal"/>
        <w:ind w:hanging="0"/>
        <w:jc w:val="center"/>
        <w:rPr/>
      </w:pPr>
      <w:bookmarkStart w:id="21" w:name="_Toc230629509"/>
      <w:r>
        <w:rPr/>
        <w:t xml:space="preserve">Rysunek </w:t>
      </w:r>
      <w:r>
        <w:rPr/>
        <w:fldChar w:fldCharType="begin"/>
      </w:r>
      <w:r>
        <w:rPr/>
        <w:instrText xml:space="preserve"> SEQ Rysunek \* ARABIC </w:instrText>
      </w:r>
      <w:r>
        <w:rPr/>
        <w:fldChar w:fldCharType="separate"/>
      </w:r>
      <w:r>
        <w:rPr/>
        <w:t>10</w:t>
      </w:r>
      <w:r>
        <w:rPr/>
        <w:fldChar w:fldCharType="end"/>
      </w:r>
      <w:r>
        <w:rPr/>
        <w:t xml:space="preserve"> łagodne zmiany keratozopodobne</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21"/>
        </w:sdtContent>
      </w:sdt>
    </w:p>
    <w:p>
      <w:pPr>
        <w:pStyle w:val="Normal"/>
        <w:ind w:hanging="0"/>
        <w:jc w:val="center"/>
        <w:rPr/>
      </w:pPr>
      <w:r>
        <w:rPr/>
      </w:r>
    </w:p>
    <w:p>
      <w:pPr>
        <w:pStyle w:val="Normal"/>
        <w:ind w:hanging="0"/>
        <w:jc w:val="center"/>
        <w:rPr/>
      </w:pPr>
      <w:r>
        <w:rPr/>
      </w:r>
    </w:p>
    <w:p>
      <w:pPr>
        <w:pStyle w:val="Heading4"/>
        <w:rPr/>
      </w:pPr>
      <w:r>
        <w:rPr/>
        <w:t xml:space="preserve">1.1.3.3 Dermatofibroma </w:t>
      </w:r>
      <w:sdt>
        <w:sdtPr>
          <w:citation/>
        </w:sdtPr>
        <w:sdtContent>
          <w:r>
            <w:rPr/>
            <w:fldChar w:fldCharType="begin"/>
          </w:r>
          <w:r>
            <w:rPr/>
            <w:instrText xml:space="preserve"> CITATION Mye24 \l 1045 </w:instrText>
          </w:r>
          <w:r>
            <w:rPr/>
            <w:fldChar w:fldCharType="separate"/>
          </w:r>
          <w:r>
            <w:rPr/>
            <w:t>[13]</w:t>
          </w:r>
          <w:r>
            <w:rPr/>
            <w:fldChar w:fldCharType="end"/>
          </w:r>
        </w:sdtContent>
      </w:sdt>
      <w:r>
        <w:rPr/>
        <w:t xml:space="preserve"> </w:t>
      </w:r>
      <w:r>
        <w:rPr/>
        <w:t>(włókniak skóry)</w:t>
      </w:r>
    </w:p>
    <w:p>
      <w:pPr>
        <w:pStyle w:val="Normal"/>
        <w:keepNext w:val="true"/>
        <w:jc w:val="start"/>
        <w:rPr/>
      </w:pPr>
      <w:r>
        <w:rPr/>
        <w:t>To łagodny guz fibroblastyczny podskórnej tkanki łącznej, charakteryzujący się objawem „dołeczkowania” i specyficzną strukturą w dermoskopii. Najczęściej pojawia się na kończynach dolnych u osób dorosłych. Jest całkowicie nieszkodliwy, ale ze względu na podobieństwo do innych zmian bywa czasem mylony z czerniakiem.</w:t>
      </w:r>
    </w:p>
    <w:p>
      <w:pPr>
        <w:pStyle w:val="Normal"/>
        <w:keepNext w:val="true"/>
        <w:jc w:val="center"/>
        <w:rPr/>
      </w:pPr>
      <w:r>
        <w:rPr/>
        <w:drawing>
          <wp:inline distT="0" distB="0" distL="0" distR="0">
            <wp:extent cx="3308985" cy="2639695"/>
            <wp:effectExtent l="0" t="0" r="0" b="0"/>
            <wp:docPr id="1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3"/>
                    <pic:cNvPicPr>
                      <a:picLocks noChangeAspect="1" noChangeArrowheads="1"/>
                    </pic:cNvPicPr>
                  </pic:nvPicPr>
                  <pic:blipFill>
                    <a:blip r:embed="rId13"/>
                    <a:stretch>
                      <a:fillRect/>
                    </a:stretch>
                  </pic:blipFill>
                  <pic:spPr bwMode="auto">
                    <a:xfrm>
                      <a:off x="0" y="0"/>
                      <a:ext cx="3308985" cy="2639695"/>
                    </a:xfrm>
                    <a:prstGeom prst="rect">
                      <a:avLst/>
                    </a:prstGeom>
                    <a:noFill/>
                  </pic:spPr>
                </pic:pic>
              </a:graphicData>
            </a:graphic>
          </wp:inline>
        </w:drawing>
      </w:r>
    </w:p>
    <w:p>
      <w:pPr>
        <w:pStyle w:val="Caption"/>
        <w:rPr>
          <w:lang w:val="en-US"/>
        </w:rPr>
      </w:pPr>
      <w:bookmarkStart w:id="22" w:name="_Toc230629510"/>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11</w:t>
      </w:r>
      <w:r>
        <w:rPr>
          <w:lang w:val="en-US"/>
        </w:rPr>
        <w:fldChar w:fldCharType="end"/>
      </w:r>
      <w:r>
        <w:rPr>
          <w:lang w:val="en-US"/>
        </w:rPr>
        <w:t xml:space="preserve"> Włókniak skóry</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22"/>
        </w:sdtContent>
      </w:sdt>
    </w:p>
    <w:p>
      <w:pPr>
        <w:pStyle w:val="Heading4"/>
        <w:rPr/>
      </w:pPr>
      <w:r>
        <w:rPr/>
        <w:t>1.1.3.4 Vascular lesions (zmiany naczyniowe)</w:t>
      </w:r>
    </w:p>
    <w:p>
      <w:pPr>
        <w:pStyle w:val="Normal"/>
        <w:rPr/>
      </w:pPr>
      <w:r>
        <w:rPr/>
        <w:t>To zróżnicowana grupa zmian o podłożu naczyniowym, w tym naczyniaki i pajączki naczyniowe. Często mają charakter wrodzony lub pojawiają się w przebiegu starzenia skóry. Ich wygląd może być bardzo różny, od małych czerwonych punkcików po większe, rozległe przebarwienia.</w:t>
      </w:r>
    </w:p>
    <w:p>
      <w:pPr>
        <w:pStyle w:val="Normal"/>
        <w:rPr/>
      </w:pPr>
      <w:r>
        <w:rPr/>
      </w:r>
    </w:p>
    <w:p>
      <w:pPr>
        <w:pStyle w:val="Normal"/>
        <w:rPr/>
      </w:pPr>
      <w:r>
        <w:rPr/>
      </w:r>
    </w:p>
    <w:p>
      <w:pPr>
        <w:pStyle w:val="Normal"/>
        <w:ind w:hanging="0"/>
        <w:jc w:val="center"/>
        <w:rPr/>
      </w:pPr>
      <w:r>
        <w:rPr/>
        <w:drawing>
          <wp:inline distT="0" distB="0" distL="0" distR="0">
            <wp:extent cx="3935095" cy="2165985"/>
            <wp:effectExtent l="0" t="0" r="0" b="0"/>
            <wp:docPr id="13"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14"/>
                    <pic:cNvPicPr>
                      <a:picLocks noChangeAspect="1" noChangeArrowheads="1"/>
                    </pic:cNvPicPr>
                  </pic:nvPicPr>
                  <pic:blipFill>
                    <a:blip r:embed="rId14"/>
                    <a:stretch>
                      <a:fillRect/>
                    </a:stretch>
                  </pic:blipFill>
                  <pic:spPr bwMode="auto">
                    <a:xfrm>
                      <a:off x="0" y="0"/>
                      <a:ext cx="3935095" cy="2165985"/>
                    </a:xfrm>
                    <a:prstGeom prst="rect">
                      <a:avLst/>
                    </a:prstGeom>
                    <a:noFill/>
                  </pic:spPr>
                </pic:pic>
              </a:graphicData>
            </a:graphic>
          </wp:inline>
        </w:drawing>
      </w:r>
    </w:p>
    <w:p>
      <w:pPr>
        <w:pStyle w:val="Normal"/>
        <w:ind w:hanging="0"/>
        <w:jc w:val="center"/>
        <w:rPr/>
      </w:pPr>
      <w:bookmarkStart w:id="23" w:name="_Toc230629511"/>
      <w:r>
        <w:rPr/>
        <w:t xml:space="preserve">Rysunek </w:t>
      </w:r>
      <w:r>
        <w:rPr/>
        <w:fldChar w:fldCharType="begin"/>
      </w:r>
      <w:r>
        <w:rPr/>
        <w:instrText xml:space="preserve"> SEQ Rysunek \* ARABIC </w:instrText>
      </w:r>
      <w:r>
        <w:rPr/>
        <w:fldChar w:fldCharType="separate"/>
      </w:r>
      <w:r>
        <w:rPr/>
        <w:t>12</w:t>
      </w:r>
      <w:r>
        <w:rPr/>
        <w:fldChar w:fldCharType="end"/>
      </w:r>
      <w:r>
        <w:rPr/>
        <w:t xml:space="preserve"> Zmiany naczyniowe</w:t>
        <w:br/>
      </w:r>
      <w:r>
        <w:rPr>
          <w:lang w:val="en-US"/>
        </w:rP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23"/>
        </w:sdtContent>
      </w:sdt>
    </w:p>
    <w:p>
      <w:pPr>
        <w:pStyle w:val="Heading2"/>
        <w:numPr>
          <w:ilvl w:val="1"/>
          <w:numId w:val="10"/>
        </w:numPr>
        <w:rPr/>
      </w:pPr>
      <w:bookmarkStart w:id="24" w:name="_Toc230629444"/>
      <w:r>
        <w:rPr>
          <w:bCs/>
        </w:rPr>
        <w:t>Rola sztucznej inteligencji we wspomaganiu diagnostyki dermatologicznej</w:t>
      </w:r>
      <w:bookmarkEnd w:id="24"/>
    </w:p>
    <w:p>
      <w:pPr>
        <w:pStyle w:val="Normal"/>
        <w:rPr/>
      </w:pPr>
      <w:r>
        <w:rPr/>
        <w:t xml:space="preserve">Przed </w:t>
      </w:r>
      <w:bookmarkStart w:id="25" w:name="_Hlk168852068"/>
      <w:r>
        <w:rPr/>
        <w:t>przełomowa praca Esteva i in. z 2017 roku</w:t>
      </w:r>
      <w:sdt>
        <w:sdtPr>
          <w:citation/>
        </w:sdtPr>
        <w:sdtContent>
          <w:r>
            <w:rPr/>
            <w:fldChar w:fldCharType="begin"/>
          </w:r>
          <w:r>
            <w:rPr/>
            <w:instrText xml:space="preserve"> CITATION Est17 \l 1045 </w:instrText>
          </w:r>
          <w:r>
            <w:rPr/>
            <w:fldChar w:fldCharType="separate"/>
          </w:r>
          <w:r>
            <w:rPr/>
            <w:t xml:space="preserve"> [1]</w:t>
          </w:r>
          <w:r>
            <w:rPr/>
            <w:fldChar w:fldCharType="end"/>
          </w:r>
        </w:sdtContent>
      </w:sdt>
      <w:r>
        <w:rPr/>
        <w:t xml:space="preserve"> wykazała, że sieć InceptionV3 wytrenowana na 129 450 zdjęciach zmian skórnych w 2032 klasach diagnostycznych osiąga czułość i swoistość na poziomie dermatologów-specjalistów w rozróżnianiu czerniaka od znamion </w:t>
      </w:r>
      <w:r>
        <w:rPr/>
        <w:t>melanocytarnych. Wyniki te zapoczątkowały intensywny rozwój badań nad zastosowaniem sztucznej inteligencji w dermatologii, co znalazło odzwierciedlenie w dynamicznym wzroście liczby publikacji naukowych oraz konkursów klasyfikacyjnych, takich jak coroczny challenge organizowany przez International Skin Imaging Collaboration (ISIC).</w:t>
      </w:r>
    </w:p>
    <w:p>
      <w:pPr>
        <w:pStyle w:val="Normal"/>
        <w:ind w:hanging="0"/>
        <w:rPr/>
      </w:pPr>
      <w:r>
        <w:rPr/>
        <w:t xml:space="preserve">Kluczowymi wyzwaniami w tym obszarze pozostają: </w:t>
      </w:r>
    </w:p>
    <w:p>
      <w:pPr>
        <w:pStyle w:val="ListParagraph"/>
        <w:numPr>
          <w:ilvl w:val="0"/>
          <w:numId w:val="26"/>
        </w:numPr>
        <w:rPr/>
      </w:pPr>
      <w:r>
        <w:rPr/>
        <w:t>interpretowalnność decyzji modelu – w kontekście medycznym niezbędne jest uzasadnienie predykcji, co adresują metody XAI takie jak Grad-CAM,</w:t>
      </w:r>
    </w:p>
    <w:p>
      <w:pPr>
        <w:pStyle w:val="ListParagraph"/>
        <w:numPr>
          <w:ilvl w:val="0"/>
          <w:numId w:val="25"/>
        </w:numPr>
        <w:rPr/>
      </w:pPr>
      <w:r>
        <w:rPr/>
        <w:t xml:space="preserve">nierównowaga klas – w zbiorach dermatologicznych klasy złośliwe są z reguły mniej liczne niż łagodne, co wymaga specjalnych technik próbkowania i warunków oceny, </w:t>
      </w:r>
    </w:p>
    <w:p>
      <w:pPr>
        <w:pStyle w:val="ListParagraph"/>
        <w:numPr>
          <w:ilvl w:val="0"/>
          <w:numId w:val="24"/>
        </w:numPr>
        <w:rPr/>
      </w:pPr>
      <w:r>
        <w:rPr/>
        <w:t>różnorodność aparatury – jakość zdjęć dermoskopowych zależy od sprzętu i warunków wykonania, co obniża generalizację modeli.</w:t>
      </w:r>
    </w:p>
    <w:p>
      <w:pPr>
        <w:pStyle w:val="ListParagraph"/>
        <w:ind w:hanging="0" w:start="720"/>
        <w:rPr/>
      </w:pPr>
      <w:r>
        <w:rPr/>
      </w:r>
    </w:p>
    <w:p>
      <w:pPr>
        <w:pStyle w:val="Normal"/>
        <w:rPr/>
      </w:pPr>
      <w:r>
        <w:rPr/>
        <w:t>Dostępność wielomodalnych zbiorów danych, takich jak ISIC 2020 Challenge Dataset (33 000 zdjęć) czy HAM10000</w:t>
      </w:r>
      <w:sdt>
        <w:sdtPr>
          <w:citation/>
        </w:sdtPr>
        <w:sdtContent>
          <w:r>
            <w:rPr/>
            <w:fldChar w:fldCharType="begin"/>
          </w:r>
          <w:r>
            <w:rPr/>
            <w:instrText xml:space="preserve"> CITATION Tsc18 \l 1045 </w:instrText>
          </w:r>
          <w:r>
            <w:rPr/>
            <w:fldChar w:fldCharType="separate"/>
          </w:r>
          <w:r>
            <w:rPr/>
            <w:t xml:space="preserve"> [14]</w:t>
          </w:r>
          <w:r>
            <w:rPr/>
            <w:fldChar w:fldCharType="end"/>
          </w:r>
        </w:sdtContent>
      </w:sdt>
      <w:r>
        <w:rPr/>
        <w:t xml:space="preserve">, umożliwiła trening modeli na skalę wcześniej nieosiągalną. Równoległy rozwój </w:t>
      </w:r>
      <w:r>
        <w:rPr/>
        <w:t>architektur sieci neuronowych, od AlexNet przez VGG, ResNet, EfficientNet po Vision Transformer, systematycznie podnosiło poprzeczkę klasyfikacyjną w obrazowaniu medycznym.</w:t>
      </w:r>
      <w:bookmarkEnd w:id="1"/>
    </w:p>
    <w:p>
      <w:pPr>
        <w:pStyle w:val="Heading3"/>
        <w:numPr>
          <w:ilvl w:val="2"/>
          <w:numId w:val="11"/>
        </w:numPr>
        <w:rPr/>
      </w:pPr>
      <w:bookmarkStart w:id="26" w:name="_Toc230629445"/>
      <w:r>
        <w:rPr/>
        <w:t>Konwolucyjne sieci neuronowe - podstawy teoretyczne</w:t>
      </w:r>
      <w:bookmarkEnd w:id="26"/>
    </w:p>
    <w:p>
      <w:pPr>
        <w:pStyle w:val="Normal"/>
        <w:ind w:firstLine="708"/>
        <w:rPr/>
      </w:pPr>
      <w:r>
        <w:rPr/>
        <w:t xml:space="preserve">Konwolucyjna sieć neuronowa (CNN) jest klasą modeli głębokiego uczenia inspirowanych strukturą kory wzrokowej ssaków. Została zaproponowana przez LeCuna i współautorów w 1989 roku </w:t>
      </w:r>
      <w:sdt>
        <w:sdtPr>
          <w:citation/>
        </w:sdtPr>
        <w:sdtContent>
          <w:r>
            <w:rPr/>
            <w:fldChar w:fldCharType="begin"/>
          </w:r>
          <w:r>
            <w:rPr/>
            <w:instrText xml:space="preserve"> CITATION LeC15 \l 1045 </w:instrText>
          </w:r>
          <w:r>
            <w:rPr/>
            <w:fldChar w:fldCharType="separate"/>
          </w:r>
          <w:r>
            <w:rPr/>
            <w:t>[15]</w:t>
          </w:r>
          <w:r>
            <w:rPr/>
            <w:fldChar w:fldCharType="end"/>
          </w:r>
        </w:sdtContent>
      </w:sdt>
      <w:r>
        <w:rPr/>
        <w:t xml:space="preserve">, zyskała powszechne uznanie po sukcesie </w:t>
      </w:r>
      <w:r>
        <w:rPr/>
        <w:t>AlexNet w konkursie ImageNet Large Scale Visual Recognition Challenge (ILSVRC) w 2012 roku, gdzie obniżyła wskaźnik błędu top-5 z 26% do 15%.</w:t>
      </w:r>
    </w:p>
    <w:p>
      <w:pPr>
        <w:pStyle w:val="Normal"/>
        <w:ind w:firstLine="708"/>
        <w:rPr/>
      </w:pPr>
      <w:r>
        <w:rPr/>
        <w:t>Podstawowym budulcem CNN jest warstwa konwolucyjna. Składa się ona z zestawu konfigurowalnych filtrów (jąder konwolucji), które przesuwa się po wejściowej mapie cech, obliczając lokalne iloczyny skalarne. Każdy filtr uczy się wykrywać określony wzorzec dla niskich warstwa są to proste cechy (krawędzie, naroża, barwy), na wyższych struktury złożone (tekstury, wzorce, obiekty). Kluczową właściwością CNN jest dzielenie wag identyczny filtr stosowany jest w każdej pozycji obrazu, co drastycznie redukuje liczbę parametrów w stosunku do w pełni połączonej sieci.</w:t>
      </w:r>
    </w:p>
    <w:p>
      <w:pPr>
        <w:pStyle w:val="Normal"/>
        <w:ind w:firstLine="708"/>
        <w:rPr/>
      </w:pPr>
      <w:r>
        <w:rPr/>
        <w:t>Warstwy łączące (ang. pooling) redukują przestrzenny rozmiar map cech: MaxPool wybiera maksymalną wartość w oknie, AveragePool oblicza średnią. Global Average Pooling (GAP) zastępuje tradycyjne spłaszczenie mapy cech przed klasyfikatorem, uśredniając każdą mapę cech do jednej liczby co redukuje liczbę parametrów i zmniejsza ryzyko przeuczenia. Normalizacja wsadowa (Batch Normalization) stabilizuje rozkład aktywacji i przyspiesza trenowanie. Funkcja aktywacji ReLU (Rectified Linear Unit), f(x) = max(0, x), wprowadza nieliniowość i jest obliczeniowo wydajna. Dropout losowo zeruje wybrane neurony podczas treningu, wymuszając budowanie nadmiarowych reprezentacji.</w:t>
      </w:r>
    </w:p>
    <w:p>
      <w:pPr>
        <w:pStyle w:val="Normal"/>
        <w:keepNext w:val="true"/>
        <w:ind w:hanging="0"/>
        <w:jc w:val="center"/>
        <w:rPr/>
      </w:pPr>
      <w:r>
        <w:rPr/>
        <w:drawing>
          <wp:inline distT="0" distB="0" distL="0" distR="0">
            <wp:extent cx="3811270" cy="1480820"/>
            <wp:effectExtent l="0" t="0" r="0" b="0"/>
            <wp:docPr id="14"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26"/>
                    <pic:cNvPicPr>
                      <a:picLocks noChangeAspect="1" noChangeArrowheads="1"/>
                    </pic:cNvPicPr>
                  </pic:nvPicPr>
                  <pic:blipFill>
                    <a:blip r:embed="rId15"/>
                    <a:stretch>
                      <a:fillRect/>
                    </a:stretch>
                  </pic:blipFill>
                  <pic:spPr bwMode="auto">
                    <a:xfrm>
                      <a:off x="0" y="0"/>
                      <a:ext cx="3811270" cy="1480820"/>
                    </a:xfrm>
                    <a:prstGeom prst="rect">
                      <a:avLst/>
                    </a:prstGeom>
                    <a:noFill/>
                  </pic:spPr>
                </pic:pic>
              </a:graphicData>
            </a:graphic>
          </wp:inline>
        </w:drawing>
      </w:r>
    </w:p>
    <w:p>
      <w:pPr>
        <w:pStyle w:val="Caption"/>
        <w:rPr/>
      </w:pPr>
      <w:bookmarkStart w:id="27" w:name="_Toc230629512"/>
      <w:r>
        <w:rPr/>
        <w:t xml:space="preserve">Rysunek </w:t>
      </w:r>
      <w:r>
        <w:rPr/>
        <w:fldChar w:fldCharType="begin"/>
      </w:r>
      <w:r>
        <w:rPr/>
        <w:instrText xml:space="preserve"> SEQ Rysunek \* ARABIC </w:instrText>
      </w:r>
      <w:r>
        <w:rPr/>
        <w:fldChar w:fldCharType="separate"/>
      </w:r>
      <w:r>
        <w:rPr/>
        <w:t>13</w:t>
      </w:r>
      <w:r>
        <w:rPr/>
        <w:fldChar w:fldCharType="end"/>
      </w:r>
      <w:r>
        <w:rPr/>
        <w:t xml:space="preserve"> CNN jak działa? </w:t>
        <w:br/>
        <w:t>Źródło: http://python.plainenglish.io/decoding-cnns-a-beginners-guide-to-convolutional-neural-networks-and-their-applications-1a8806cbf536</w:t>
      </w:r>
      <w:bookmarkEnd w:id="27"/>
    </w:p>
    <w:p>
      <w:pPr>
        <w:pStyle w:val="Heading3"/>
        <w:numPr>
          <w:ilvl w:val="2"/>
          <w:numId w:val="11"/>
        </w:numPr>
        <w:rPr/>
      </w:pPr>
      <w:bookmarkStart w:id="28" w:name="_Toc230629446"/>
      <w:r>
        <w:rPr/>
        <w:t>ResNet-50 i połączenia rezydualne</w:t>
      </w:r>
      <w:bookmarkEnd w:id="28"/>
    </w:p>
    <w:p>
      <w:pPr>
        <w:pStyle w:val="Normal"/>
        <w:ind w:hanging="0"/>
        <w:rPr/>
      </w:pPr>
      <w:r>
        <w:rPr/>
        <w:t xml:space="preserve">Model ResNet (Residual Network), zaproponowany przez He i in. w 2016 roku </w:t>
      </w:r>
      <w:sdt>
        <w:sdtPr>
          <w:citation/>
        </w:sdtPr>
        <w:sdtContent>
          <w:r>
            <w:rPr/>
            <w:fldChar w:fldCharType="begin"/>
          </w:r>
          <w:r>
            <w:rPr/>
            <w:instrText xml:space="preserve"> CITATION HeK16 \l 1045 </w:instrText>
          </w:r>
          <w:r>
            <w:rPr/>
            <w:fldChar w:fldCharType="separate"/>
          </w:r>
          <w:r>
            <w:rPr/>
            <w:t>[16]</w:t>
          </w:r>
          <w:r>
            <w:rPr/>
            <w:fldChar w:fldCharType="end"/>
          </w:r>
        </w:sdtContent>
      </w:sdt>
      <w:r>
        <w:rPr/>
        <w:t>, rozwiązuje fundamentalny problem zanikającego gradientu w bardzo głębokich sieciach neuronowych poprzez wprowadzenie tzw. połączeń rezydualnych.</w:t>
      </w:r>
      <w:r>
        <w:rPr/>
        <w:t xml:space="preserve"> Zamiast uczyć się bezpośredniego </w:t>
      </w:r>
    </w:p>
    <w:p>
      <w:pPr>
        <w:pStyle w:val="Normal"/>
        <w:ind w:hanging="0"/>
        <w:rPr/>
      </w:pPr>
      <w:r>
        <w:rPr/>
        <w:t>odwzorowania H(x), blok rezydualny uczy się residuum F(x) = H(x) − x, co sprawia, że propagacja gradientu odbywa się bezpośrednio przez połączenie skrótowe:</w:t>
      </w:r>
    </w:p>
    <w:p>
      <w:pPr>
        <w:pStyle w:val="Normal"/>
        <w:jc w:val="center"/>
        <w:rPr>
          <w:rFonts w:eastAsia="游明朝" w:eastAsiaTheme="minorEastAsia"/>
        </w:rPr>
      </w:pPr>
      <w:r>
        <w:rPr/>
      </w:r>
      <m:oMathPara xmlns:m="http://schemas.openxmlformats.org/officeDocument/2006/math">
        <m:oMathParaPr>
          <m:jc m:val="center"/>
        </m:oMathParaPr>
        <m:oMath>
          <m:f>
            <m:num>
              <m:r>
                <m:t xml:space="preserve">∂</m:t>
              </m:r>
              <m:r>
                <m:t xml:space="preserve">L</m:t>
              </m:r>
            </m:num>
            <m:den>
              <m:r>
                <m:t xml:space="preserve">∂</m:t>
              </m:r>
              <m:r>
                <m:t xml:space="preserve">x</m:t>
              </m:r>
            </m:den>
          </m:f>
          <m:r>
            <m:rPr>
              <m:lit/>
              <m:nor/>
            </m:rPr>
            <m:t xml:space="preserve">=</m:t>
          </m:r>
          <m:f>
            <m:num>
              <m:r>
                <m:t xml:space="preserve">∂</m:t>
              </m:r>
              <m:r>
                <m:t xml:space="preserve">L</m:t>
              </m:r>
            </m:num>
            <m:den>
              <m:r>
                <m:t xml:space="preserve">∂</m:t>
              </m:r>
              <m:r>
                <m:t xml:space="preserve">H</m:t>
              </m:r>
              <m:d>
                <m:dPr>
                  <m:begChr m:val="("/>
                  <m:endChr m:val=")"/>
                </m:dPr>
                <m:e>
                  <m:r>
                    <m:t xml:space="preserve">1</m:t>
                  </m:r>
                  <m:r>
                    <m:rPr>
                      <m:lit/>
                      <m:nor/>
                    </m:rPr>
                    <m:t xml:space="preserve">+</m:t>
                  </m:r>
                  <m:f>
                    <m:num>
                      <m:r>
                        <m:t xml:space="preserve">∂</m:t>
                      </m:r>
                      <m:r>
                        <m:t xml:space="preserve">F</m:t>
                      </m:r>
                    </m:num>
                    <m:den>
                      <m:r>
                        <m:t xml:space="preserve">∂</m:t>
                      </m:r>
                      <m:r>
                        <m:t xml:space="preserve">x</m:t>
                      </m:r>
                    </m:den>
                  </m:f>
                </m:e>
              </m:d>
            </m:den>
          </m:f>
        </m:oMath>
      </m:oMathPara>
    </w:p>
    <w:p>
      <w:pPr>
        <w:pStyle w:val="Normal"/>
        <w:ind w:firstLine="708"/>
        <w:rPr/>
      </w:pPr>
      <w:r>
        <w:rPr/>
        <w:t xml:space="preserve">Architektura składa się z czterech głównych grup bloków konwolucyjnych, nazywanych etapami. Każdy blok zawiera po trzy bloki typu </w:t>
      </w:r>
      <w:r>
        <w:rPr>
          <w:i/>
          <w:iCs/>
        </w:rPr>
        <w:t>bottleneck</w:t>
      </w:r>
      <w:r>
        <w:rPr/>
        <w:t xml:space="preserve">. Blok </w:t>
      </w:r>
      <w:r>
        <w:rPr>
          <w:i/>
          <w:iCs/>
        </w:rPr>
        <w:t>bottleneck</w:t>
      </w:r>
      <w:r>
        <w:rPr/>
        <w:t xml:space="preserve"> działa w następujący sposób: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pPr>
        <w:pStyle w:val="Normal"/>
        <w:rPr/>
      </w:pPr>
      <w:r>
        <w:rPr/>
        <w:t>Cały model ResNet-50 liczy około 25,6 miliona parametrów. W badaniach niniejszej pracy wykorzystano wersję wstępnie wytrenowaną na zbiorze ImageNet, który zawiera ponad 1,28 miliona obrazów należących do 1000 klas.</w:t>
      </w:r>
    </w:p>
    <w:p>
      <w:pPr>
        <w:pStyle w:val="Normal"/>
        <w:keepNext w:val="true"/>
        <w:rPr/>
      </w:pPr>
      <w:r>
        <w:rPr/>
        <w:drawing>
          <wp:inline distT="0" distB="0" distL="0" distR="0">
            <wp:extent cx="5320030" cy="1631315"/>
            <wp:effectExtent l="0" t="0" r="0" b="0"/>
            <wp:docPr id="15"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5"/>
                    <pic:cNvPicPr>
                      <a:picLocks noChangeAspect="1" noChangeArrowheads="1"/>
                    </pic:cNvPicPr>
                  </pic:nvPicPr>
                  <pic:blipFill>
                    <a:blip r:embed="rId16"/>
                    <a:stretch>
                      <a:fillRect/>
                    </a:stretch>
                  </pic:blipFill>
                  <pic:spPr bwMode="auto">
                    <a:xfrm>
                      <a:off x="0" y="0"/>
                      <a:ext cx="5320030" cy="1631315"/>
                    </a:xfrm>
                    <a:prstGeom prst="rect">
                      <a:avLst/>
                    </a:prstGeom>
                    <a:noFill/>
                  </pic:spPr>
                </pic:pic>
              </a:graphicData>
            </a:graphic>
          </wp:inline>
        </w:drawing>
      </w:r>
    </w:p>
    <w:p>
      <w:pPr>
        <w:pStyle w:val="Caption"/>
        <w:rPr/>
      </w:pPr>
      <w:bookmarkStart w:id="29" w:name="_Toc230629513"/>
      <w:r>
        <w:rPr/>
        <w:t xml:space="preserve">Rysunek </w:t>
      </w:r>
      <w:r>
        <w:rPr/>
        <w:fldChar w:fldCharType="begin"/>
      </w:r>
      <w:r>
        <w:rPr/>
        <w:instrText xml:space="preserve"> SEQ Rysunek \* ARABIC </w:instrText>
      </w:r>
      <w:r>
        <w:rPr/>
        <w:fldChar w:fldCharType="separate"/>
      </w:r>
      <w:r>
        <w:rPr/>
        <w:t>14</w:t>
      </w:r>
      <w:r>
        <w:rPr/>
        <w:fldChar w:fldCharType="end"/>
      </w:r>
      <w:r>
        <w:rPr/>
        <w:t xml:space="preserve"> ResNet50 </w:t>
        <w:br/>
        <w:t>Źródło: https://blog.devgenius.io/resnet50-6b42934db431</w:t>
      </w:r>
      <w:bookmarkEnd w:id="29"/>
    </w:p>
    <w:p>
      <w:pPr>
        <w:pStyle w:val="Heading3"/>
        <w:numPr>
          <w:ilvl w:val="2"/>
          <w:numId w:val="11"/>
        </w:numPr>
        <w:rPr/>
      </w:pPr>
      <w:bookmarkStart w:id="30" w:name="_Toc230629447"/>
      <w:r>
        <w:rPr/>
        <w:t>MobileNetV3 – architektura mobilna</w:t>
      </w:r>
      <w:bookmarkEnd w:id="30"/>
    </w:p>
    <w:p>
      <w:pPr>
        <w:pStyle w:val="Normal"/>
        <w:rPr>
          <w:rFonts w:eastAsia="Calibri" w:cs="Arial"/>
        </w:rPr>
      </w:pPr>
      <w:r>
        <w:rPr>
          <w:rFonts w:eastAsia="Calibri" w:cs="Arial"/>
        </w:rPr>
        <w:t xml:space="preserve">MobileNetV3, zaproponowany przez Howarda i współpracowników w 2019 roku </w:t>
      </w:r>
      <w:sdt>
        <w:sdtPr>
          <w:citation/>
        </w:sdtPr>
        <w:sdtContent>
          <w:r>
            <w:rPr>
              <w:rFonts w:eastAsia="Calibri" w:cs="Arial"/>
            </w:rPr>
            <w:fldChar w:fldCharType="begin"/>
          </w:r>
          <w:r>
            <w:rPr>
              <w:rFonts w:eastAsia="Calibri" w:cs="Arial"/>
            </w:rPr>
            <w:instrText xml:space="preserve"> CITATION How19 \l 1045 </w:instrText>
          </w:r>
          <w:r>
            <w:rPr>
              <w:rFonts w:eastAsia="Calibri" w:cs="Arial"/>
            </w:rPr>
            <w:fldChar w:fldCharType="separate"/>
          </w:r>
          <w:r>
            <w:rPr>
              <w:rFonts w:eastAsia="Calibri" w:cs="Arial"/>
            </w:rPr>
            <w:t>[17]</w:t>
          </w:r>
          <w:r>
            <w:rPr>
              <w:rFonts w:eastAsia="Calibri" w:cs="Arial"/>
            </w:rPr>
            <w:fldChar w:fldCharType="end"/>
          </w:r>
        </w:sdtContent>
      </w:sdt>
      <w:r>
        <w:rPr>
          <w:rFonts w:eastAsia="Calibri" w:cs="Arial"/>
        </w:rPr>
        <w:t xml:space="preserve">, stanowi połączenie kilku kluczowych rozwiązań. Bazuje na odwróconych blokach rezydualnych z liniowym </w:t>
      </w:r>
      <w:r>
        <w:rPr>
          <w:rFonts w:eastAsia="Calibri" w:cs="Arial"/>
        </w:rPr>
        <w:t>bottleneckiem znanych z MobileNetV2, do których dodano bloki uwagi Squeeze-and-Excitation (SE) oraz elementy architektury odkryte automatycznie za pomocą Neural Architecture Search (NAS).</w:t>
      </w:r>
    </w:p>
    <w:p>
      <w:pPr>
        <w:pStyle w:val="Normal"/>
        <w:rPr>
          <w:rFonts w:eastAsia="Calibri" w:cs="Arial"/>
        </w:rPr>
      </w:pPr>
      <w:r>
        <w:rPr>
          <w:rFonts w:eastAsia="Calibri" w:cs="Arial"/>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uwagę kanałową, model uczy się automatycznie ważenia poszczególnych kanałów mapy cech. Warto również zwrócić uwagę na aktywację h-swish, zdefiniowaną jako </w:t>
      </w:r>
      <w:r>
        <w:rPr/>
      </w:r>
      <m:oMath xmlns:m="http://schemas.openxmlformats.org/officeDocument/2006/math">
        <m:f>
          <m:num>
            <m:r>
              <m:t xml:space="preserve">x</m:t>
            </m:r>
            <m:r>
              <m:t xml:space="preserve">⋅</m:t>
            </m:r>
            <m:r>
              <m:t xml:space="preserve">ReLU</m:t>
            </m:r>
            <m:r>
              <m:t xml:space="preserve">6</m:t>
            </m:r>
            <m:d>
              <m:dPr>
                <m:begChr m:val="("/>
                <m:endChr m:val=")"/>
              </m:dPr>
              <m:e>
                <m:r>
                  <m:t xml:space="preserve">x</m:t>
                </m:r>
                <m:r>
                  <m:rPr>
                    <m:lit/>
                    <m:nor/>
                  </m:rPr>
                  <m:t xml:space="preserve">+</m:t>
                </m:r>
                <m:r>
                  <m:t xml:space="preserve">3</m:t>
                </m:r>
              </m:e>
            </m:d>
          </m:num>
          <m:den>
            <m:r>
              <m:t xml:space="preserve">6</m:t>
            </m:r>
          </m:den>
        </m:f>
      </m:oMath>
      <w:r>
        <w:rPr/>
        <w:t>​,</w:t>
      </w:r>
      <w:r>
        <w:rPr>
          <w:rFonts w:eastAsia="Calibri" w:cs="Arial"/>
        </w:rPr>
        <w:t xml:space="preserve"> która jest znacznie tańsza obliczeniowo od oryginalnej funkcji swish, przy jednoczesnym zachowaniu dobrej wydajności.</w:t>
      </w:r>
    </w:p>
    <w:p>
      <w:pPr>
        <w:pStyle w:val="Normal"/>
        <w:rPr>
          <w:rFonts w:eastAsia="Calibri" w:cs="Arial"/>
        </w:rPr>
      </w:pPr>
      <w:r>
        <w:rPr>
          <w:rFonts w:eastAsia="Calibri" w:cs="Arial"/>
        </w:rPr>
        <w:t>Wersja Large modelu MobileNetV3 zawiera około 5,4 miliona parametrów. W niniejszej pracy wykorzystano wariant wstępnie wytrenowany na zbiorze ImageNet, dostępny domyślnie w bibliotece PyTorch.</w:t>
      </w:r>
    </w:p>
    <w:p>
      <w:pPr>
        <w:pStyle w:val="Normal"/>
        <w:ind w:hanging="0"/>
        <w:rPr>
          <w:rFonts w:eastAsia="Calibri" w:cs="Arial"/>
        </w:rPr>
      </w:pPr>
      <w:r>
        <w:rPr>
          <w:rFonts w:eastAsia="Calibri" w:cs="Arial"/>
        </w:rPr>
      </w:r>
    </w:p>
    <w:p>
      <w:pPr>
        <w:pStyle w:val="Normal"/>
        <w:keepNext w:val="true"/>
        <w:jc w:val="center"/>
        <w:rPr/>
      </w:pPr>
      <w:r>
        <w:rPr/>
        <w:drawing>
          <wp:inline distT="0" distB="0" distL="0" distR="0">
            <wp:extent cx="4939030" cy="2050415"/>
            <wp:effectExtent l="0" t="0" r="0" b="0"/>
            <wp:docPr id="16"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24"/>
                    <pic:cNvPicPr>
                      <a:picLocks noChangeAspect="1" noChangeArrowheads="1"/>
                    </pic:cNvPicPr>
                  </pic:nvPicPr>
                  <pic:blipFill>
                    <a:blip r:embed="rId17"/>
                    <a:stretch>
                      <a:fillRect/>
                    </a:stretch>
                  </pic:blipFill>
                  <pic:spPr bwMode="auto">
                    <a:xfrm>
                      <a:off x="0" y="0"/>
                      <a:ext cx="4939030" cy="2050415"/>
                    </a:xfrm>
                    <a:prstGeom prst="rect">
                      <a:avLst/>
                    </a:prstGeom>
                    <a:noFill/>
                  </pic:spPr>
                </pic:pic>
              </a:graphicData>
            </a:graphic>
          </wp:inline>
        </w:drawing>
      </w:r>
    </w:p>
    <w:p>
      <w:pPr>
        <w:pStyle w:val="Caption"/>
        <w:rPr>
          <w:rFonts w:cs="Arial"/>
        </w:rPr>
      </w:pPr>
      <w:bookmarkStart w:id="31" w:name="_Toc230629514"/>
      <w:r>
        <w:rPr/>
        <w:t xml:space="preserve">Rysunek </w:t>
      </w:r>
      <w:r>
        <w:rPr/>
        <w:fldChar w:fldCharType="begin"/>
      </w:r>
      <w:r>
        <w:rPr/>
        <w:instrText xml:space="preserve"> SEQ Rysunek \* ARABIC </w:instrText>
      </w:r>
      <w:r>
        <w:rPr/>
        <w:fldChar w:fldCharType="separate"/>
      </w:r>
      <w:r>
        <w:rPr/>
        <w:t>15</w:t>
      </w:r>
      <w:r>
        <w:rPr/>
        <w:fldChar w:fldCharType="end"/>
      </w:r>
      <w:r>
        <w:rPr/>
        <w:t xml:space="preserve"> MobileNetV3 </w:t>
        <w:br/>
        <w:t>Źródło: https://pytorch.org/blog/torchvision-mobilenet-v3-implementation/</w:t>
      </w:r>
      <w:bookmarkEnd w:id="31"/>
    </w:p>
    <w:p>
      <w:pPr>
        <w:pStyle w:val="Heading3"/>
        <w:numPr>
          <w:ilvl w:val="2"/>
          <w:numId w:val="11"/>
        </w:numPr>
        <w:rPr/>
      </w:pPr>
      <w:bookmarkStart w:id="32" w:name="_Toc230629448"/>
      <w:r>
        <w:rPr/>
        <w:t>EfficientNet-B0 – złożone skalowanie</w:t>
      </w:r>
      <w:bookmarkEnd w:id="32"/>
    </w:p>
    <w:p>
      <w:pPr>
        <w:pStyle w:val="Normal"/>
        <w:rPr/>
      </w:pPr>
      <w:r>
        <w:rPr/>
        <w:t xml:space="preserve">EfficientNet, zaproponowany przez Tana i Le w 2019 roku </w:t>
      </w:r>
      <w:sdt>
        <w:sdtPr>
          <w:citation/>
        </w:sdtPr>
        <w:sdtContent>
          <w:r>
            <w:rPr/>
            <w:fldChar w:fldCharType="begin"/>
          </w:r>
          <w:r>
            <w:rPr/>
            <w:instrText xml:space="preserve"> CITATION Tan19 \l 1045 </w:instrText>
          </w:r>
          <w:r>
            <w:rPr/>
            <w:fldChar w:fldCharType="separate"/>
          </w:r>
          <w:r>
            <w:rPr/>
            <w:t>[18]</w:t>
          </w:r>
          <w:r>
            <w:rPr/>
            <w:fldChar w:fldCharType="end"/>
          </w:r>
        </w:sdtContent>
      </w:sdt>
      <w:r>
        <w:rPr/>
        <w:t>, wprowadza koncepcję złożonego skalowania</w:t>
      </w:r>
      <w:r>
        <w:rPr/>
        <w:t>. 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pPr>
        <w:pStyle w:val="Normal"/>
        <w:rPr/>
      </w:pPr>
      <w:r>
        <w:rPr/>
        <w:t>Bazowy wariant EfficientNet-B0 składa się z sekwencji siedmiu bloków MBConv (Mobile Inverted Bottleneck Convolution), które różnią się między sobą parametrami ekspansji oraz rozmiarami jąder konwolucyjnych. Mimo stosunkowo niewielkiej liczby parametrów (około 5,3 miliona) model osiąga bardzo dobrą wydajność dzięki znacznie efektywniejszemu wykorzystaniu zasobów w porównaniu z wcześniejszymi architekturami.</w:t>
      </w:r>
    </w:p>
    <w:p>
      <w:pPr>
        <w:pStyle w:val="Normal"/>
        <w:rPr/>
      </w:pPr>
      <w:r>
        <w:rPr/>
        <w:t>W niniejszej pracy wykorzystano właśnie wariant B0, który ze względu na korzystny stosunek dokładności do złożoności obliczeniowej dobrze sprawdza się w zadaniach klasyfikacji obrazów medycznych.</w:t>
      </w:r>
    </w:p>
    <w:p>
      <w:pPr>
        <w:pStyle w:val="Normal"/>
        <w:keepNext w:val="true"/>
        <w:jc w:val="center"/>
        <w:rPr/>
      </w:pPr>
      <w:r>
        <w:rPr/>
        <w:drawing>
          <wp:inline distT="0" distB="0" distL="0" distR="0">
            <wp:extent cx="3617595" cy="1630680"/>
            <wp:effectExtent l="0" t="0" r="0" b="0"/>
            <wp:docPr id="17"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27"/>
                    <pic:cNvPicPr>
                      <a:picLocks noChangeAspect="1" noChangeArrowheads="1"/>
                    </pic:cNvPicPr>
                  </pic:nvPicPr>
                  <pic:blipFill>
                    <a:blip r:embed="rId18"/>
                    <a:stretch>
                      <a:fillRect/>
                    </a:stretch>
                  </pic:blipFill>
                  <pic:spPr bwMode="auto">
                    <a:xfrm>
                      <a:off x="0" y="0"/>
                      <a:ext cx="3617595" cy="1630680"/>
                    </a:xfrm>
                    <a:prstGeom prst="rect">
                      <a:avLst/>
                    </a:prstGeom>
                    <a:noFill/>
                  </pic:spPr>
                </pic:pic>
              </a:graphicData>
            </a:graphic>
          </wp:inline>
        </w:drawing>
      </w:r>
    </w:p>
    <w:p>
      <w:pPr>
        <w:pStyle w:val="Caption"/>
        <w:rPr/>
      </w:pPr>
      <w:bookmarkStart w:id="33" w:name="_Toc230629515"/>
      <w:r>
        <w:rPr/>
        <w:t xml:space="preserve">Rysunek </w:t>
      </w:r>
      <w:r>
        <w:rPr/>
        <w:fldChar w:fldCharType="begin"/>
      </w:r>
      <w:r>
        <w:rPr/>
        <w:instrText xml:space="preserve"> SEQ Rysunek \* ARABIC </w:instrText>
      </w:r>
      <w:r>
        <w:rPr/>
        <w:fldChar w:fldCharType="separate"/>
      </w:r>
      <w:r>
        <w:rPr/>
        <w:t>16</w:t>
      </w:r>
      <w:r>
        <w:rPr/>
        <w:fldChar w:fldCharType="end"/>
      </w:r>
      <w:r>
        <w:rPr/>
        <w:t xml:space="preserve"> EfficientNet architektura </w:t>
        <w:br/>
        <w:t>Źródło: https://viso.ai/deep-learning/efficientnet/</w:t>
      </w:r>
      <w:bookmarkEnd w:id="33"/>
    </w:p>
    <w:p>
      <w:pPr>
        <w:pStyle w:val="Heading3"/>
        <w:numPr>
          <w:ilvl w:val="2"/>
          <w:numId w:val="11"/>
        </w:numPr>
        <w:rPr/>
      </w:pPr>
      <w:bookmarkStart w:id="34" w:name="_Toc230629449"/>
      <w:r>
        <w:rPr/>
        <w:t>Transformer wizyjny - podstawy teoretyczne</w:t>
      </w:r>
      <w:bookmarkEnd w:id="34"/>
    </w:p>
    <w:p>
      <w:pPr>
        <w:pStyle w:val="Normal"/>
        <w:rPr/>
      </w:pPr>
      <w:r>
        <w:rPr/>
        <w:t>Vision Transformer (ViT) stanowi przełom w wizji komputerowej, przenosząc architekturę transformatorową, pierwotnie opracowaną dla przetwarzania języka naturalnego (NLP), bezpośrednio do dziedziny analizy obrazów cyfrowych. Koncepcja ta, zaprezentowana przez Dosovitskiy’ego i in. w 2020 roku w pracy pt. „An Image is Worth 16x16 Words”</w:t>
      </w:r>
      <w:sdt>
        <w:sdtPr>
          <w:citation/>
        </w:sdtPr>
        <w:sdtContent>
          <w:r>
            <w:rPr/>
            <w:fldChar w:fldCharType="begin"/>
          </w:r>
          <w:r>
            <w:rPr/>
            <w:instrText xml:space="preserve"> CITATION Dos20 \l 1045 </w:instrText>
          </w:r>
          <w:r>
            <w:rPr/>
            <w:fldChar w:fldCharType="separate"/>
          </w:r>
          <w:r>
            <w:rPr/>
            <w:t xml:space="preserve"> [19]</w:t>
          </w:r>
          <w:r>
            <w:rPr/>
            <w:fldChar w:fldCharType="end"/>
          </w:r>
        </w:sdtContent>
      </w:sdt>
      <w:r>
        <w:rPr/>
        <w:t xml:space="preserve">, podważyła dotychczasową dominację warstw </w:t>
      </w:r>
      <w:r>
        <w:rPr/>
        <w:t>konwolucyjnych. Autorzy wykazali, że mechanizm samoatencji może skutecznie uczyć się reprezentacji wizualnych, osiągając wyniki porównywalne lub lepsze od klasycznych sieci CNN, pod warunkiem dostępu do odpowiednio dużych zbiorów danych treningowych.</w:t>
      </w:r>
    </w:p>
    <w:p>
      <w:pPr>
        <w:pStyle w:val="Normal"/>
        <w:rPr/>
      </w:pPr>
      <w:r>
        <w:rPr/>
        <w:t>Proces przetwarzania w ViT zaczyna się od podziału obrazu wejściowego na siatkę płatów o stałym rozmiarze (np. 16 na 16 pikseli). Każdy płat jest następnie spłaszczany do wektora i rzutowany liniowo do niższej wymiarowości, tworząc tzw. tokeny wizualne. Ponieważ mechanizm atencji jest z natury niewrażliwy na kolejność elementów w sekwencji, do tokenów dodawane są zanurzenia pozycyjne. Dostarczają one sieci niezbędnych informacji o przestrzennym rozmieszczeniu fragmentów obrazu względem siebie. Na wzór modeli językowych typu BERT, do sekwencji dołączany jest również specjalny, uczony token klasyfikacyjny, którego stan na wyjściu służy do generowania ostatecznej predykcji.</w:t>
      </w:r>
    </w:p>
    <w:p>
      <w:pPr>
        <w:pStyle w:val="Normal"/>
        <w:rPr/>
      </w:pPr>
      <w:r>
        <w:rPr/>
        <w:t>Sercem ViT jest koder transformatora, składający się z naprzemiennych warstw wielogłowicowej samoatencji (ang. Multi-Head Self-Attention, MHSA) oraz bloków sieci w pełni połączonych (MLP). W przeciwieństwie do CNN, które operują na lokalnych sąsiedztwach pikseli, mechanizm MHSA pozwala modelowi na wychwytywanie globalnych zależności dalekosiężnych już na najniższych warstwach architektury. ViT charakteryzuje się jednak znacznie mniejszym indukcyjnym obciążeniem niż sieci konwolucyjne, bo nie posiada on wbudowanych założeń o lokalności cech czy translacyjnej ekwiwariancji. Z tego powodu modele te wykazują duży apetyt na dane wymagając wstępnego trenowania na potężnych korpusach, takich jak ImageNet-21k lub JFT-300M, aby w pełni wykorzystać swój potencjał w zadaniach klasyfikacji medycznej.</w:t>
      </w:r>
    </w:p>
    <w:p>
      <w:pPr>
        <w:pStyle w:val="Heading3"/>
        <w:numPr>
          <w:ilvl w:val="2"/>
          <w:numId w:val="11"/>
        </w:numPr>
        <w:rPr>
          <w:lang w:val="en-US"/>
        </w:rPr>
      </w:pPr>
      <w:bookmarkStart w:id="35" w:name="_Toc230629450"/>
      <w:r>
        <w:rPr>
          <w:lang w:val="en-US"/>
        </w:rPr>
        <w:t>Vision Transformer (ViT-B/16)</w:t>
      </w:r>
      <w:bookmarkEnd w:id="35"/>
    </w:p>
    <w:p>
      <w:pPr>
        <w:pStyle w:val="Normal"/>
        <w:rPr/>
      </w:pPr>
      <w:r>
        <w:rPr/>
        <w:t>Model ViT-B/16 wykorzystany w badaniach to wariant „Base” (stąd litera B) z podziałem na płaty o rozmiarze 16×16 pikseli. Wybór tego konkretnego rozmiaru płata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w:t>
      </w:r>
    </w:p>
    <w:p>
      <w:pPr>
        <w:pStyle w:val="Normal"/>
        <w:rPr/>
      </w:pPr>
      <w:r>
        <w:rPr/>
        <w:t>Kluczowym elementem wariantu B/16 jest zastosowanie wielogłowicowej atencji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pPr>
        <w:pStyle w:val="Normal"/>
        <w:ind w:firstLine="708"/>
        <w:rPr/>
      </w:pPr>
      <w:r>
        <w:rPr/>
        <w:t>W niniejszym projekcie model ViT-B/16</w:t>
      </w:r>
      <w:sdt>
        <w:sdtPr>
          <w:citation/>
        </w:sdtPr>
        <w:sdtContent>
          <w:r>
            <w:rPr/>
            <w:fldChar w:fldCharType="begin"/>
          </w:r>
          <w:r>
            <w:rPr/>
            <w:instrText xml:space="preserve"> CITATION Dos20 \l 1045 </w:instrText>
          </w:r>
          <w:r>
            <w:rPr/>
            <w:fldChar w:fldCharType="separate"/>
          </w:r>
          <w:r>
            <w:rPr/>
            <w:t xml:space="preserve"> [19]</w:t>
          </w:r>
          <w:r>
            <w:rPr/>
            <w:fldChar w:fldCharType="end"/>
          </w:r>
        </w:sdtContent>
      </w:sdt>
      <w:r>
        <w:rPr/>
        <w:t xml:space="preserve">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pPr>
        <w:pStyle w:val="Normal"/>
        <w:rPr/>
      </w:pPr>
      <w:r>
        <w:rPr/>
      </w:r>
    </w:p>
    <w:p>
      <w:pPr>
        <w:pStyle w:val="Normal"/>
        <w:keepNext w:val="true"/>
        <w:ind w:hanging="0"/>
        <w:jc w:val="center"/>
        <w:rPr/>
      </w:pPr>
      <w:r>
        <w:rPr/>
        <w:drawing>
          <wp:inline distT="0" distB="0" distL="0" distR="0">
            <wp:extent cx="4256405" cy="1996440"/>
            <wp:effectExtent l="0" t="0" r="0" b="0"/>
            <wp:docPr id="18"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28"/>
                    <pic:cNvPicPr>
                      <a:picLocks noChangeAspect="1" noChangeArrowheads="1"/>
                    </pic:cNvPicPr>
                  </pic:nvPicPr>
                  <pic:blipFill>
                    <a:blip r:embed="rId19"/>
                    <a:stretch>
                      <a:fillRect/>
                    </a:stretch>
                  </pic:blipFill>
                  <pic:spPr bwMode="auto">
                    <a:xfrm>
                      <a:off x="0" y="0"/>
                      <a:ext cx="4256405" cy="1996440"/>
                    </a:xfrm>
                    <a:prstGeom prst="rect">
                      <a:avLst/>
                    </a:prstGeom>
                    <a:noFill/>
                  </pic:spPr>
                </pic:pic>
              </a:graphicData>
            </a:graphic>
          </wp:inline>
        </w:drawing>
      </w:r>
    </w:p>
    <w:p>
      <w:pPr>
        <w:pStyle w:val="Caption"/>
        <w:rPr/>
      </w:pPr>
      <w:bookmarkStart w:id="36" w:name="_Toc230629516"/>
      <w:r>
        <w:rPr/>
        <w:t xml:space="preserve">Rysunek </w:t>
      </w:r>
      <w:r>
        <w:rPr/>
        <w:fldChar w:fldCharType="begin"/>
      </w:r>
      <w:r>
        <w:rPr/>
        <w:instrText xml:space="preserve"> SEQ Rysunek \* ARABIC </w:instrText>
      </w:r>
      <w:r>
        <w:rPr/>
        <w:fldChar w:fldCharType="separate"/>
      </w:r>
      <w:r>
        <w:rPr/>
        <w:t>17</w:t>
      </w:r>
      <w:r>
        <w:rPr/>
        <w:fldChar w:fldCharType="end"/>
      </w:r>
      <w:r>
        <w:rPr/>
        <w:t xml:space="preserve"> Schemat działania transformera wizyjnego</w:t>
        <w:br/>
        <w:t>Źródło: https://sh-tsang.medium.com/review-vision-transformer-vit-406568603de0</w:t>
      </w:r>
      <w:bookmarkEnd w:id="36"/>
    </w:p>
    <w:p>
      <w:pPr>
        <w:pStyle w:val="Normal"/>
        <w:ind w:hanging="0"/>
        <w:rPr/>
      </w:pPr>
      <w:r>
        <w:rPr/>
      </w:r>
    </w:p>
    <w:p>
      <w:pPr>
        <w:pStyle w:val="Heading1"/>
        <w:numPr>
          <w:ilvl w:val="0"/>
          <w:numId w:val="2"/>
        </w:numPr>
        <w:ind w:hanging="851" w:start="851"/>
        <w:rPr/>
      </w:pPr>
      <w:bookmarkStart w:id="37" w:name="_Toc230629451"/>
      <w:r>
        <w:rPr/>
        <w:t>Projekt</w:t>
      </w:r>
      <w:bookmarkEnd w:id="37"/>
    </w:p>
    <w:p>
      <w:pPr>
        <w:pStyle w:val="Normal"/>
        <w:ind w:firstLine="708"/>
        <w:rPr/>
      </w:pPr>
      <w:bookmarkStart w:id="38" w:name="_Toc137420675"/>
      <w:r>
        <w:rPr/>
        <w:t>Zaprojektowany i wykonany zostanie system informatyczny wspomagający klasyfikację zmian skórnych, wykorzystujący modele głębokiego uczenia. System będzie uwzględniać cztery główne elementy:</w:t>
      </w:r>
    </w:p>
    <w:p>
      <w:pPr>
        <w:pStyle w:val="ListParagraph"/>
        <w:numPr>
          <w:ilvl w:val="0"/>
          <w:numId w:val="12"/>
        </w:numPr>
        <w:rPr/>
      </w:pPr>
      <w:r>
        <w:rPr/>
        <w:t>Wielomodelową analizę obrazu: wytrenowanie i porównanie pięciu architektur: ResNet50, EfficientNet-B0, Vision Transformer (ViT-B/16)</w:t>
      </w:r>
      <w:sdt>
        <w:sdtPr>
          <w:citation/>
        </w:sdtPr>
        <w:sdtContent>
          <w:r>
            <w:rPr/>
            <w:fldChar w:fldCharType="begin"/>
          </w:r>
          <w:r>
            <w:rPr/>
            <w:instrText xml:space="preserve"> CITATION Dos20 \l 1045 </w:instrText>
          </w:r>
          <w:r>
            <w:rPr/>
            <w:fldChar w:fldCharType="separate"/>
          </w:r>
          <w:r>
            <w:rPr/>
            <w:t xml:space="preserve"> [19]</w:t>
          </w:r>
          <w:r>
            <w:rPr/>
            <w:fldChar w:fldCharType="end"/>
          </w:r>
        </w:sdtContent>
      </w:sdt>
      <w:r>
        <w:rPr/>
        <w:t>, MobileNetV3</w:t>
      </w:r>
      <w:sdt>
        <w:sdtPr>
          <w:citation/>
        </w:sdtPr>
        <w:sdtContent>
          <w:r>
            <w:rPr/>
            <w:fldChar w:fldCharType="begin"/>
          </w:r>
          <w:r>
            <w:rPr/>
            <w:instrText xml:space="preserve"> CITATION How19 \l 1045 </w:instrText>
          </w:r>
          <w:r>
            <w:rPr/>
            <w:fldChar w:fldCharType="separate"/>
          </w:r>
          <w:r>
            <w:rPr/>
            <w:t xml:space="preserve"> [17]</w:t>
          </w:r>
          <w:r>
            <w:rPr/>
            <w:fldChar w:fldCharType="end"/>
          </w:r>
        </w:sdtContent>
      </w:sdt>
      <w:r>
        <w:rPr/>
        <w:t xml:space="preserve"> oraz autorskiej sieci </w:t>
      </w:r>
      <w:r>
        <w:rPr/>
        <w:t>Custom CNN,</w:t>
      </w:r>
    </w:p>
    <w:p>
      <w:pPr>
        <w:pStyle w:val="ListParagraph"/>
        <w:numPr>
          <w:ilvl w:val="0"/>
          <w:numId w:val="12"/>
        </w:numPr>
        <w:rPr/>
      </w:pPr>
      <w:r>
        <w:rPr/>
        <w:t>Elastyczną akwizycję danych: możliwość wgrania zdjęcia z dysku lub bezpośredniego połączenia z telefonem w celu wykonania i przesłania fotografii,</w:t>
      </w:r>
    </w:p>
    <w:p>
      <w:pPr>
        <w:pStyle w:val="ListParagraph"/>
        <w:numPr>
          <w:ilvl w:val="0"/>
          <w:numId w:val="12"/>
        </w:numPr>
        <w:rPr/>
      </w:pPr>
      <w:r>
        <w:rPr/>
        <w:t>Wyjaśnialność predykcji (XAI): prezentację wyników w formie prawdopodobieństwa oraz generowanie map Grad-CAM, wskazujących obszary, na których skupił się model,</w:t>
      </w:r>
    </w:p>
    <w:p>
      <w:pPr>
        <w:pStyle w:val="ListParagraph"/>
        <w:numPr>
          <w:ilvl w:val="0"/>
          <w:numId w:val="12"/>
        </w:numPr>
        <w:rPr/>
      </w:pPr>
      <w:r>
        <w:rPr/>
        <w:t>Kontekstualizację badania: możliwość prowadzenia historii badań oraz przypisanie zdjęcia do konkretnej lokalizacji na ciele użytkownika (wybór miejsca na schemacie anatomicznym).</w:t>
      </w:r>
    </w:p>
    <w:p>
      <w:pPr>
        <w:pStyle w:val="Normal"/>
        <w:ind w:hanging="0"/>
        <w:rPr/>
      </w:pPr>
      <w:r>
        <w:rPr/>
        <w:t>Szczegóły techniczne i funkcjonalne zdefiniowane zostaną w następnych podrozdziałach.</w:t>
      </w:r>
    </w:p>
    <w:p>
      <w:pPr>
        <w:pStyle w:val="Heading2"/>
        <w:numPr>
          <w:ilvl w:val="0"/>
          <w:numId w:val="0"/>
        </w:numPr>
        <w:ind w:hanging="0" w:start="0"/>
        <w:rPr/>
      </w:pPr>
      <w:bookmarkStart w:id="39" w:name="_Toc230629452"/>
      <w:r>
        <w:rPr/>
        <w:t>2.1 Charakterystyka środowiska i stosu technologicznego</w:t>
      </w:r>
      <w:bookmarkEnd w:id="39"/>
    </w:p>
    <w:p>
      <w:pPr>
        <w:pStyle w:val="Normal"/>
        <w:rPr/>
      </w:pPr>
      <w:r>
        <w:rPr/>
        <w:t>Wybór technologii został podyktowany koniecznością zapewnienia wysokiej wydajności obliczeniowej w fazie trenowania modeli oraz responsywności interfejsu w fazie produkcyjnej.</w:t>
      </w:r>
    </w:p>
    <w:p>
      <w:pPr>
        <w:pStyle w:val="ListParagraph"/>
        <w:numPr>
          <w:ilvl w:val="0"/>
          <w:numId w:val="15"/>
        </w:numPr>
        <w:rPr/>
      </w:pPr>
      <w:r>
        <w:rPr/>
        <w:t>Środowisko obliczeniowe: Proces uczenia oraz eksperymenty z architekturami sieciowymi przeprowadzono w środowisku Kaggle. Wykorzystanie tej platformy pozwoliło na dostęp do akceleratorów graficznych (GPU Nvidia Tesla), co było niezbędne przy optymalizacji złożonych modeli, takich jak Vision Transformer czy EfficientNet.</w:t>
      </w:r>
    </w:p>
    <w:p>
      <w:pPr>
        <w:pStyle w:val="ListParagraph"/>
        <w:numPr>
          <w:ilvl w:val="0"/>
          <w:numId w:val="15"/>
        </w:numPr>
        <w:rPr/>
      </w:pPr>
      <w:r>
        <w:rPr/>
        <w:t>Język i biblioteki ML: Głównym narzędziem implementacyjnym jest język Python wraz z frameworkiem PyTorch. Wybór PyTorcha wynika z jego elastyczności w definiowaniu własnych warstw sieci (Custom CNN) oraz doskonałego wsparcia dla mechanizmów wyjaśnialności modeli (XAI).</w:t>
      </w:r>
    </w:p>
    <w:p>
      <w:pPr>
        <w:pStyle w:val="ListParagraph"/>
        <w:numPr>
          <w:ilvl w:val="0"/>
          <w:numId w:val="15"/>
        </w:numPr>
        <w:rPr/>
      </w:pPr>
      <w:r>
        <w:rPr/>
        <w:t>Backend: Logika serwerowa została oparta na frameworku FastAPI. Zdecydowano się na to rozwiązanie ze względu na natywną obsługę asynchroniczności oraz łatwość serwowania predykcji z modeli ML. Backend odpowiada nie tylko za klasyfikację, ale również za zarządzanie bazą danych SQLite, w której przechowywana jest historia badań, dane użytkowników oraz współrzędne anatomiczne wykonanych zdjęć.</w:t>
      </w:r>
    </w:p>
    <w:p>
      <w:pPr>
        <w:pStyle w:val="ListParagraph"/>
        <w:numPr>
          <w:ilvl w:val="0"/>
          <w:numId w:val="15"/>
        </w:numPr>
        <w:rPr/>
      </w:pPr>
      <w:r>
        <w:rPr/>
        <w:t>Frontend: Interfejs użytkownika zrealizowano w technologii React. Pozwala ona na stworzenie dynamicznej aplikacji typu SPA (Single Page Application), która umożliwia bezpośredni dostęp do aparatu urządzenia, interaktywny wybór miejsca badania na schemacie ciała oraz personalizację interfejsu (zmiana motywów graficznych i wersji językowej).</w:t>
      </w:r>
    </w:p>
    <w:p>
      <w:pPr>
        <w:pStyle w:val="Heading2"/>
        <w:numPr>
          <w:ilvl w:val="0"/>
          <w:numId w:val="0"/>
        </w:numPr>
        <w:ind w:hanging="0" w:start="0"/>
        <w:rPr/>
      </w:pPr>
      <w:bookmarkStart w:id="40" w:name="_Toc230629453"/>
      <w:r>
        <w:rPr/>
        <w:t>2.2 Przygotowanie danych</w:t>
      </w:r>
      <w:bookmarkEnd w:id="40"/>
    </w:p>
    <w:p>
      <w:pPr>
        <w:pStyle w:val="Normal"/>
        <w:ind w:firstLine="708"/>
        <w:rPr/>
      </w:pPr>
      <w:r>
        <w:rPr/>
        <w:t xml:space="preserve">Podstawę empiryczną niniejszej pracy stanowi zbiór danych Skin Lesions Classification Dataset </w:t>
      </w:r>
      <w:sdt>
        <w:sdtPr>
          <w:citation/>
        </w:sdtPr>
        <w:sdtContent>
          <w:r>
            <w:rPr/>
            <w:fldChar w:fldCharType="begin"/>
          </w:r>
          <w:r>
            <w:rPr/>
            <w:instrText xml:space="preserve"> CITATION ahm23 \l 1045 </w:instrText>
          </w:r>
          <w:r>
            <w:rPr/>
            <w:fldChar w:fldCharType="separate"/>
          </w:r>
          <w:r>
            <w:rPr/>
            <w:t>[2]</w:t>
          </w:r>
          <w:r>
            <w:rPr/>
            <w:fldChar w:fldCharType="end"/>
          </w:r>
        </w:sdtContent>
      </w:sdt>
      <w:r>
        <w:rPr/>
        <w:t>, będący wynikiem fuzji dwóch uznanych w literaturze przedmiotu repozytoriów</w:t>
      </w:r>
      <w:r>
        <w:rPr/>
        <w:t xml:space="preserve"> HAM10000</w:t>
      </w:r>
      <w:sdt>
        <w:sdtPr>
          <w:citation/>
        </w:sdtPr>
        <w:sdtContent>
          <w:r>
            <w:rPr/>
            <w:fldChar w:fldCharType="begin"/>
          </w:r>
          <w:r>
            <w:rPr/>
            <w:instrText xml:space="preserve"> CITATION Tsc18 \l 1045 </w:instrText>
          </w:r>
          <w:r>
            <w:rPr/>
            <w:fldChar w:fldCharType="separate"/>
          </w:r>
          <w:r>
            <w:rPr/>
            <w:t xml:space="preserve"> [14]</w:t>
          </w:r>
          <w:r>
            <w:rPr/>
            <w:fldChar w:fldCharType="end"/>
          </w:r>
        </w:sdtContent>
      </w:sdt>
      <w:r>
        <w:rPr/>
        <w:t xml:space="preserve"> oraz MSLDv2.0</w:t>
      </w:r>
      <w:r>
        <w:rPr/>
        <w:t>. Połączenie to miało na celu zwiększenie różnorodności przypadków klinicznych oraz poprawę zdolności generalizacyjnych modelu poprzez uwzględnienie szerszego spektrum jednostek chorobowych.</w:t>
      </w:r>
    </w:p>
    <w:p>
      <w:pPr>
        <w:pStyle w:val="Normal"/>
        <w:ind w:firstLine="708"/>
        <w:rPr/>
      </w:pPr>
      <w:r>
        <w:rPr/>
        <w:t>Pierwszy z komponentów, zbiór HAM10000</w:t>
      </w:r>
      <w:sdt>
        <w:sdtPr>
          <w:citation/>
        </w:sdtPr>
        <w:sdtContent>
          <w:r>
            <w:rPr/>
            <w:fldChar w:fldCharType="begin"/>
          </w:r>
          <w:r>
            <w:rPr/>
            <w:instrText xml:space="preserve"> CITATION Tsc18 \l 1045 </w:instrText>
          </w:r>
          <w:r>
            <w:rPr/>
            <w:fldChar w:fldCharType="separate"/>
          </w:r>
          <w:r>
            <w:rPr/>
            <w:t xml:space="preserve"> [14]</w:t>
          </w:r>
          <w:r>
            <w:rPr/>
            <w:fldChar w:fldCharType="end"/>
          </w:r>
        </w:sdtContent>
      </w:sdt>
      <w:r>
        <w:rPr/>
        <w:t xml:space="preserve">, opracowany przez zespół </w:t>
      </w:r>
      <w:r>
        <w:rPr/>
        <w:t>Tschandla w 2018 roku, stanowi standard w badaniach nad automatyczną diagnostyką dermatologiczną. Dane te zostały pozyskane z trzech ośrodków klinicznych: Departamentu Dermatologii Uniwersytetu Medycznego w Wiedniu, Hospital Clínic de Barcelona oraz z anonimowych placówek w ramach projektu MSK. Zbiór ten dostarcza wysokiej jakości obrazów dermoskopowych obejmujących siedem podstawowych kategorii zmian skórnych, w tym zmiany łagodne i nowotworowe.</w:t>
      </w:r>
    </w:p>
    <w:p>
      <w:pPr>
        <w:pStyle w:val="Normal"/>
        <w:ind w:firstLine="708"/>
        <w:rPr/>
      </w:pPr>
      <w:r>
        <w:rPr/>
        <w:t>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wynikającego z różnic w pigmentacji skóry.</w:t>
      </w:r>
    </w:p>
    <w:p>
      <w:pPr>
        <w:pStyle w:val="Normal"/>
        <w:ind w:firstLine="708"/>
        <w:rPr/>
      </w:pPr>
      <w:r>
        <w:rP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pPr>
        <w:pStyle w:val="ListParagraph"/>
        <w:numPr>
          <w:ilvl w:val="0"/>
          <w:numId w:val="13"/>
        </w:numPr>
        <w:rPr/>
      </w:pPr>
      <w:r>
        <w:rPr/>
        <w:t>Zbiór treningowy, wykorzystywany do optymalizacji wag modelu,</w:t>
      </w:r>
    </w:p>
    <w:p>
      <w:pPr>
        <w:pStyle w:val="ListParagraph"/>
        <w:numPr>
          <w:ilvl w:val="0"/>
          <w:numId w:val="13"/>
        </w:numPr>
        <w:jc w:val="start"/>
        <w:rPr/>
      </w:pPr>
      <w:r>
        <w:rPr/>
        <w:t>Zbiór testowy, obejmujący 3 674 obrazy (ok. 20% całości), służący do końcowej oceny skuteczności klasyfikacji.</w:t>
      </w:r>
    </w:p>
    <w:p>
      <w:pPr>
        <w:pStyle w:val="Normal"/>
        <w:ind w:firstLine="360"/>
        <w:rPr/>
      </w:pPr>
      <w:r>
        <w:rPr/>
        <w:t>Wykorzystanie tak sformułowanego zbioru danych, pochodzącego z platformy Kaggle, pozwala na zachowanie powtarzalności badań przy jednoczesnym zachowaniu wysokiej różnorodności materiału zdjęciowego.</w:t>
      </w:r>
    </w:p>
    <w:p>
      <w:pPr>
        <w:pStyle w:val="Heading2"/>
        <w:numPr>
          <w:ilvl w:val="0"/>
          <w:numId w:val="0"/>
        </w:numPr>
        <w:ind w:hanging="0" w:start="0"/>
        <w:rPr/>
      </w:pPr>
      <w:bookmarkStart w:id="41" w:name="_Toc230629454"/>
      <w:r>
        <w:rPr/>
        <w:t>2.3 Podział danych oraz techniki przetwarzania wstępnego</w:t>
      </w:r>
      <w:bookmarkEnd w:id="41"/>
    </w:p>
    <w:p>
      <w:pPr>
        <w:pStyle w:val="Normal"/>
        <w:rPr/>
      </w:pPr>
      <w:r>
        <w:rPr/>
        <w:t>W procesie przygotowania eksperymentu zbiór danych został podzielony na trzy rozłączne podzbiory: treningowy, walidacyjny oraz testowy. Kluczowym wyzwaniem na tym etapie prac była znaczna nierównowaga liczebna poszczególnych klas. Przykładowo, klasa Melanocytic nevi jest reprezentowana przez około sześciokrotnie większą liczbę próbek niż klasa Dermatofibroma. Taka dysproporcja mogłaby prowadzić do obciążenia modelu i faworyzowania klas większościowych, co w diagnostyce medycznej jest zjawiskiem niepożądanym, gdyż mogłoby skutkować błędnym rozpoznawaniem rzadszych, a potencjalnie groźnych zmian.</w:t>
      </w:r>
    </w:p>
    <w:p>
      <w:pPr>
        <w:pStyle w:val="Normal"/>
        <w:rPr/>
      </w:pPr>
      <w:r>
        <w:rPr/>
        <w:t>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pPr>
        <w:pStyle w:val="Normal"/>
        <w:rPr/>
      </w:pPr>
      <w:r>
        <w:rPr/>
        <w:t>Wstępne przetwarzanie danych obejmowało ujednolicenie wymiarów wszystkich obrazów do rozdzielczości 224 na 224 piksele, co jest standardem dla większości nowoczesnych architektur splotowych sieci neuronowych. Dodatkowo przeprowadzono normalizację wartości pikseli z wykorzystaniem statystyk zbioru ImageNet, stosując średnią oraz odchylenie standardowe dla kanałów RGB. Aby zwiększyć zdolność modelu do generalizacji i ograniczyć ryzyko nadmiernego dopasowania do danych treningowych, zastosowano techniki augmentacji</w:t>
      </w:r>
      <w:sdt>
        <w:sdtPr>
          <w:citation/>
        </w:sdtPr>
        <w:sdtContent>
          <w:r>
            <w:rPr/>
            <w:fldChar w:fldCharType="begin"/>
          </w:r>
          <w:r>
            <w:rPr/>
            <w:instrText xml:space="preserve"> CITATION Sho19 \l 1045 </w:instrText>
          </w:r>
          <w:r>
            <w:rPr/>
            <w:fldChar w:fldCharType="separate"/>
          </w:r>
          <w:r>
            <w:rPr/>
            <w:t xml:space="preserve"> [20]</w:t>
          </w:r>
          <w:r>
            <w:rPr/>
            <w:fldChar w:fldCharType="end"/>
          </w:r>
        </w:sdtContent>
      </w:sdt>
      <w:r>
        <w:rPr/>
        <w:t xml:space="preserve">. </w:t>
      </w:r>
      <w:r>
        <w:rPr/>
        <w:t>W skład potoku transformacji weszły losowe obroty, odbicia lustrzane, modyfikacje parametrów jasności, kontrastu oraz nasycenia, a także losowe przycięcia obrazów.</w:t>
      </w:r>
    </w:p>
    <w:p>
      <w:pPr>
        <w:pStyle w:val="Normal"/>
        <w:rPr/>
      </w:pPr>
      <w:r>
        <w:rPr/>
        <w:fldChar w:fldCharType="begin"/>
      </w:r>
      <w:r>
        <w:rPr/>
        <w:instrText xml:space="preserve"> REF _Ref225605038 \h </w:instrText>
      </w:r>
      <w:r>
        <w:rPr/>
        <w:fldChar w:fldCharType="separate"/>
      </w:r>
      <w:r>
        <w:rPr/>
        <w:t>Tabela 1</w:t>
      </w:r>
      <w:r>
        <w:rPr/>
        <w:fldChar w:fldCharType="end"/>
      </w:r>
      <w:r>
        <w:rPr/>
        <w:t xml:space="preserve"> </w:t>
      </w:r>
      <w:r>
        <w:rPr/>
        <w:t>prezentuje szczegółowe zestawienie liczby próbek w zbiorze testowym, który stanowi 20 procent całkowitego wolumenu danych. Zbiór ten pozostał nienaruszony podczas procesu trenowania i służył wyłącznie do finalnej weryfikacji skuteczności klasyfikacji.</w:t>
      </w:r>
    </w:p>
    <w:p>
      <w:pPr>
        <w:pStyle w:val="Normal"/>
        <w:ind w:hanging="0"/>
        <w:rPr/>
      </w:pPr>
      <w:r>
        <w:rPr/>
      </w:r>
    </w:p>
    <w:p>
      <w:pPr>
        <w:pStyle w:val="Caption"/>
        <w:rPr/>
      </w:pPr>
      <w:bookmarkStart w:id="42" w:name="_Toc230629542"/>
      <w:bookmarkStart w:id="43" w:name="_Ref225604959"/>
      <w:bookmarkStart w:id="44" w:name="_Ref225605038"/>
      <w:r>
        <w:rPr/>
        <w:t xml:space="preserve">Tabela </w:t>
      </w:r>
      <w:r>
        <w:rPr/>
        <w:fldChar w:fldCharType="begin"/>
      </w:r>
      <w:r>
        <w:rPr/>
        <w:instrText xml:space="preserve"> SEQ Tabela \* ARABIC </w:instrText>
      </w:r>
      <w:r>
        <w:rPr/>
        <w:fldChar w:fldCharType="separate"/>
      </w:r>
      <w:r>
        <w:rPr/>
        <w:t>1</w:t>
      </w:r>
      <w:r>
        <w:rPr/>
        <w:fldChar w:fldCharType="end"/>
      </w:r>
      <w:bookmarkEnd w:id="44"/>
      <w:r>
        <w:rPr/>
        <w:t xml:space="preserve"> Liczba próbek w zbiorze testowym dla poszczególnych klas</w:t>
      </w:r>
      <w:bookmarkEnd w:id="42"/>
      <w:bookmarkEnd w:id="43"/>
    </w:p>
    <w:tbl>
      <w:tblPr>
        <w:tblW w:w="8788"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834"/>
        <w:gridCol w:w="1976"/>
        <w:gridCol w:w="1978"/>
      </w:tblGrid>
      <w:tr>
        <w:trPr/>
        <w:tc>
          <w:tcPr>
            <w:tcW w:w="4834"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Klasa</w:t>
            </w:r>
          </w:p>
        </w:tc>
        <w:tc>
          <w:tcPr>
            <w:tcW w:w="1976"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Próbki testowe</w:t>
            </w:r>
          </w:p>
        </w:tc>
        <w:tc>
          <w:tcPr>
            <w:tcW w:w="1978"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Procent zbioru testowego</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Actinic keratoses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88</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2.4%</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Basal cell carcinoma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333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9.1%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Benign keratosis-like lesions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263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7.2%</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Chickenpox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113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Cowpox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99</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Dermatofibroma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25</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0.7%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HFMD</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242</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6.6%</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Healthy</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171</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Measles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83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2.3%</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Melanocytic nevi</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1288</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35.1%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Melanoma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453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12.3%</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Monkeypox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426</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11.6%</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Squamous cell carcinoma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64</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Vascular lesions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26</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0.7%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RAZEM</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3 674</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100%</w:t>
            </w:r>
          </w:p>
        </w:tc>
      </w:tr>
    </w:tbl>
    <w:p>
      <w:pPr>
        <w:pStyle w:val="Heading2"/>
        <w:numPr>
          <w:ilvl w:val="0"/>
          <w:numId w:val="0"/>
        </w:numPr>
        <w:ind w:hanging="0" w:start="0"/>
        <w:rPr/>
      </w:pPr>
      <w:bookmarkStart w:id="45" w:name="_Toc230629455"/>
      <w:r>
        <w:rPr/>
        <w:t>2.4 Parametry treningu</w:t>
      </w:r>
      <w:bookmarkEnd w:id="45"/>
    </w:p>
    <w:p>
      <w:pPr>
        <w:pStyle w:val="Normal"/>
        <w:ind w:firstLine="708"/>
        <w:rPr/>
      </w:pPr>
      <w:r>
        <w:rPr/>
        <w:t>Proces uczenia każdego z modeli zaplanowano na maksymalnie 25 epok. W celu optymalizacji czasu obliczeń oraz zapobiegania zjawisku przeuczenia wykorzystano mechanizm wczesnego zatrzymywania z parametrem cierpliwości ustawionym na 5 epok. W praktyce oznaczało to przerwanie procedury treningowej w sytuacji, gdy przez pięć kolejnych cykli nie odnotowano poprawy wskaźnika dokładności na zbiorze walidacyjnym.</w:t>
      </w:r>
    </w:p>
    <w:p>
      <w:pPr>
        <w:pStyle w:val="Normal"/>
        <w:ind w:firstLine="708"/>
        <w:rPr/>
      </w:pPr>
      <w:r>
        <w:rPr/>
        <w:t>Jako algorytm optymalizacji wykorzystano metodę Adam ze współczynnikiem uczenia równym 0,0001, natomiast do obliczania błędu posłużyła funkcja straty entropii krzyżowej. Funkcja ta uwzględniała wagi przypisane poszczególnym klasom, co stanowiło dopełnienie wcześniej opisanego sposobu losowania próbek. Wielkość pojedynczej paczki danych ustalono na 32 obrazy.</w:t>
      </w:r>
    </w:p>
    <w:p>
      <w:pPr>
        <w:pStyle w:val="Normal"/>
        <w:ind w:firstLine="708"/>
        <w:rPr/>
      </w:pPr>
      <w:r>
        <w:rPr/>
        <w:t>W przypadku modeli korzystających z wag wstępnie wytrenowanych, za wyjątkiem autorskiej architektury sieci splotowej, zdecydowano się na pełne dostrajanie parametrów całej sieci bez blokowania poszczególnych warstw. Takie podejście było uzasadnione relatywnie niewielką liczbą przewidzianych epok treningowych, co pozwoliło na lepsze dopasowanie filtrów do specyfiki obrazów medycznych przy zachowaniu stabilności procesu uczenia.</w:t>
      </w:r>
    </w:p>
    <w:p>
      <w:pPr>
        <w:pStyle w:val="Heading2"/>
        <w:numPr>
          <w:ilvl w:val="0"/>
          <w:numId w:val="0"/>
        </w:numPr>
        <w:ind w:hanging="0" w:start="0"/>
        <w:rPr/>
      </w:pPr>
      <w:bookmarkStart w:id="46" w:name="_Toc230629456"/>
      <w:r>
        <w:rPr/>
        <w:t>2.5 Architektura własnego modelu CNN</w:t>
      </w:r>
      <w:bookmarkEnd w:id="46"/>
    </w:p>
    <w:p>
      <w:pPr>
        <w:pStyle w:val="Normal"/>
        <w:widowControl w:val="false"/>
        <w:rPr/>
      </w:pPr>
      <w:r>
        <w:rPr/>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pPr>
        <w:pStyle w:val="Normal"/>
        <w:rPr/>
      </w:pPr>
      <w:r>
        <w:rPr/>
        <w:t>Struktura zaproponowanej sieci składa się z czterech bloków splotowych ułożonych sekwencyjnie</w:t>
      </w:r>
      <w:r>
        <w:rPr/>
        <w:fldChar w:fldCharType="begin"/>
      </w:r>
      <w:r>
        <w:rPr/>
        <w:instrText xml:space="preserve"> REF _Ref229156309 \h </w:instrText>
      </w:r>
      <w:r>
        <w:rPr/>
        <w:fldChar w:fldCharType="separate"/>
      </w:r>
      <w:r>
        <w:rPr/>
        <w:t>Rysunek 18</w:t>
      </w:r>
      <w:r>
        <w:rPr/>
        <w:fldChar w:fldCharType="end"/>
      </w:r>
      <w:r>
        <w:rPr/>
        <w:t>. Każdy z tych bloków zawiera dwuwymiarową warstwę konwolucyjną, po której następuje operacja normalizacji wsadowej. Ma ona na celu przyspieszenie procesu zbieżności oraz stabilizację uczenia. Bezpośrednio po niej zastosowano funkcję aktywacji typu ReLU oraz warstwę podpróbkowania realizującą operację maksymalnego łączenia w oknie 2 na 2. Liczba filtrów w kolejnych segmentach sieci wzrasta w postępie geometrycznym, przyjmując wartości 32, 64, 128 oraz 256.</w:t>
      </w:r>
    </w:p>
    <w:p>
      <w:pPr>
        <w:pStyle w:val="Normal"/>
        <w:jc w:val="start"/>
        <w:rPr/>
      </w:pPr>
      <w:r>
        <w:rPr/>
      </w:r>
    </w:p>
    <w:p>
      <w:pPr>
        <w:pStyle w:val="Normal"/>
        <w:rPr/>
      </w:pPr>
      <w:r>
        <w:rPr/>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14 zdefiniowanych kategorii chorobowych.</w:t>
      </w:r>
    </w:p>
    <w:p>
      <w:pPr>
        <w:pStyle w:val="Normal"/>
        <w:ind w:firstLine="708"/>
        <w:rPr/>
      </w:pPr>
      <w:r>
        <w:rPr/>
        <w:t>Uczenie sieci splotowej od podstaw na nielicznym zbiorze danych medycznych stanowi istotne wyzwanie, co potwierdziły wyniki modelu Custom CNN.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pPr>
        <w:pStyle w:val="Normal"/>
        <w:rPr/>
      </w:pPr>
      <w:r>
        <w:rPr/>
        <w:drawing>
          <wp:inline distT="0" distB="0" distL="0" distR="0">
            <wp:extent cx="5760085" cy="6798310"/>
            <wp:effectExtent l="0" t="0" r="0" b="0"/>
            <wp:docPr id="19"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29"/>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760085" cy="6798310"/>
                    </a:xfrm>
                    <a:prstGeom prst="rect">
                      <a:avLst/>
                    </a:prstGeom>
                    <a:noFill/>
                  </pic:spPr>
                </pic:pic>
              </a:graphicData>
            </a:graphic>
          </wp:inline>
        </w:drawing>
      </w:r>
    </w:p>
    <w:p>
      <w:pPr>
        <w:pStyle w:val="Normal"/>
        <w:keepNext w:val="true"/>
        <w:ind w:hanging="0"/>
        <w:rPr/>
      </w:pPr>
      <w:r>
        <w:rPr/>
      </w:r>
    </w:p>
    <w:p>
      <w:pPr>
        <w:pStyle w:val="Caption"/>
        <w:rPr/>
      </w:pPr>
      <w:bookmarkStart w:id="47" w:name="_Toc230629517"/>
      <w:bookmarkStart w:id="48" w:name="_Ref229156309"/>
      <w:r>
        <w:rPr/>
        <w:t xml:space="preserve">Rysunek </w:t>
      </w:r>
      <w:r>
        <w:rPr/>
        <w:fldChar w:fldCharType="begin"/>
      </w:r>
      <w:r>
        <w:rPr/>
        <w:instrText xml:space="preserve"> SEQ Rysunek \* ARABIC </w:instrText>
      </w:r>
      <w:r>
        <w:rPr/>
        <w:fldChar w:fldCharType="separate"/>
      </w:r>
      <w:r>
        <w:rPr/>
        <w:t>18</w:t>
      </w:r>
      <w:r>
        <w:rPr/>
        <w:fldChar w:fldCharType="end"/>
      </w:r>
      <w:bookmarkEnd w:id="48"/>
      <w:r>
        <w:rPr/>
        <w:t xml:space="preserve"> CNN - architektura modelu</w:t>
      </w:r>
      <w:bookmarkEnd w:id="47"/>
    </w:p>
    <w:p>
      <w:pPr>
        <w:pStyle w:val="Heading2"/>
        <w:numPr>
          <w:ilvl w:val="0"/>
          <w:numId w:val="0"/>
        </w:numPr>
        <w:ind w:hanging="0" w:start="0"/>
        <w:rPr/>
      </w:pPr>
      <w:bookmarkStart w:id="49" w:name="_Toc230629457"/>
      <w:r>
        <w:rPr/>
        <w:t>2.6 Wizualizacja decyzji modelu za pomocą GRAD-CAM</w:t>
      </w:r>
      <w:bookmarkEnd w:id="49"/>
    </w:p>
    <w:p>
      <w:pPr>
        <w:pStyle w:val="Normal"/>
        <w:rPr/>
      </w:pPr>
      <w:r>
        <w:rPr/>
        <w:t>Ważnym aspektem oceny działania głębokich sieci neuronowych, szczególnie w zastosowaniach medycznych, jest zrozumienie procesów decyzyjnych zachodzących wewnątrz modelu. W niniejszej pracy do tego celu wykorzystano metodę Gradient-weighted</w:t>
      </w:r>
      <w:sdt>
        <w:sdtPr>
          <w:citation/>
        </w:sdtPr>
        <w:sdtContent>
          <w:r>
            <w:rPr/>
            <w:fldChar w:fldCharType="begin"/>
          </w:r>
          <w:r>
            <w:rPr/>
            <w:instrText xml:space="preserve"> CITATION Sel17 \l 1045 </w:instrText>
          </w:r>
          <w:r>
            <w:rPr/>
            <w:fldChar w:fldCharType="separate"/>
          </w:r>
          <w:r>
            <w:rPr/>
            <w:t xml:space="preserve"> [21]</w:t>
          </w:r>
          <w:r>
            <w:rPr/>
            <w:fldChar w:fldCharType="end"/>
          </w:r>
        </w:sdtContent>
      </w:sdt>
      <w:r>
        <w:rPr/>
        <w:t xml:space="preserve"> Class </w:t>
      </w:r>
      <w:r>
        <w:rPr/>
        <w:t>Activation Mapping, opracowaną przez zespół Selvaraju.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podstawnokomórkowym. Pozwala to również wykluczyć sytuacje, w których algorytm podejmuje decyzję na podstawie artefaktów tła, do których należą włosy, odblaski żelu dermatoskopowego czy oznaczenia skali linijki.</w:t>
      </w:r>
    </w:p>
    <w:p>
      <w:pPr>
        <w:pStyle w:val="Normal"/>
        <w:rPr/>
      </w:pPr>
      <w:r>
        <w:rPr/>
        <w:t>Działanie algorytmu opiera się na analizie przepływu gradientów klasy docelowej do ostatniej warstwy konwolucyjnej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sumacja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pPr>
        <w:pStyle w:val="Normal"/>
        <w:ind w:hanging="0"/>
        <w:rPr/>
      </w:pPr>
      <w:r>
        <w:rPr/>
        <w:t>Matematyczny opis powyższej procedury przedstawiają poniższe zależności:</w:t>
      </w:r>
    </w:p>
    <w:p>
      <w:pPr>
        <w:pStyle w:val="Normal"/>
        <w:ind w:hanging="0"/>
        <w:rPr/>
      </w:pPr>
      <w:r>
        <w:rPr/>
      </w:r>
    </w:p>
    <w:p>
      <w:pPr>
        <w:pStyle w:val="Caption"/>
        <w:rPr/>
      </w:pPr>
      <w:r>
        <w:rPr/>
        <w:t xml:space="preserve">Równanie </w:t>
      </w:r>
      <w:r>
        <w:rPr/>
        <w:fldChar w:fldCharType="begin"/>
      </w:r>
      <w:r>
        <w:rPr/>
        <w:instrText xml:space="preserve"> SEQ Równanie \* ARABIC </w:instrText>
      </w:r>
      <w:r>
        <w:rPr/>
        <w:fldChar w:fldCharType="separate"/>
      </w:r>
      <w:r>
        <w:rPr/>
        <w:t>1</w:t>
      </w:r>
      <w:r>
        <w:rPr/>
        <w:fldChar w:fldCharType="end"/>
      </w:r>
      <w:r>
        <w:rPr/>
        <w:t xml:space="preserve"> Współczynnik ważenia mapy cech w metodzie Grad-CAM</w:t>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α</m:t>
              </m:r>
            </m:e>
            <m:sub>
              <m:r>
                <m:t xml:space="preserve">k</m:t>
              </m:r>
            </m:sub>
            <m:sup>
              <m:r>
                <m:t xml:space="preserve">c</m:t>
              </m:r>
            </m:sup>
          </m:sSubSup>
          <m:r>
            <m:rPr>
              <m:lit/>
              <m:nor/>
            </m:rPr>
            <m:t xml:space="preserve">=</m:t>
          </m:r>
          <m:f>
            <m:num>
              <m:r>
                <m:t xml:space="preserve">1</m:t>
              </m:r>
            </m:num>
            <m:den>
              <m:r>
                <m:t xml:space="preserve">Z</m:t>
              </m:r>
            </m:den>
          </m:f>
          <m:nary>
            <m:naryPr>
              <m:chr m:val="∑"/>
              <m:supHide m:val="1"/>
            </m:naryPr>
            <m:sub>
              <m:r>
                <m:t xml:space="preserve">i</m:t>
              </m:r>
            </m:sub>
            <m:sup/>
            <m:e>
              <m:nary>
                <m:naryPr>
                  <m:chr m:val="∑"/>
                  <m:supHide m:val="1"/>
                </m:naryPr>
                <m:sub>
                  <m:r>
                    <m:t xml:space="preserve">j</m:t>
                  </m:r>
                </m:sub>
                <m:sup/>
                <m:e>
                  <m:f>
                    <m:num>
                      <m:r>
                        <m:t xml:space="preserve">∂</m:t>
                      </m:r>
                      <m:sSup>
                        <m:e>
                          <m:r>
                            <m:t xml:space="preserve">y</m:t>
                          </m:r>
                        </m:e>
                        <m:sup>
                          <m:r>
                            <m:t xml:space="preserve">c</m:t>
                          </m:r>
                        </m:sup>
                      </m:sSup>
                    </m:num>
                    <m:den>
                      <m:r>
                        <m:t xml:space="preserve">∂</m:t>
                      </m:r>
                      <m:sSubSup>
                        <m:e>
                          <m:r>
                            <m:t xml:space="preserve">A</m:t>
                          </m:r>
                        </m:e>
                        <m:sub>
                          <m:d>
                            <m:dPr>
                              <m:begChr m:val="{"/>
                              <m:endChr m:val="}"/>
                            </m:dPr>
                            <m:e>
                              <m:r>
                                <m:t xml:space="preserve">ij</m:t>
                              </m:r>
                            </m:e>
                          </m:d>
                        </m:sub>
                        <m:sup>
                          <m:r>
                            <m:t xml:space="preserve">k</m:t>
                          </m:r>
                        </m:sup>
                      </m:sSubSup>
                    </m:den>
                  </m:f>
                </m:e>
              </m:nary>
            </m:e>
          </m:nary>
        </m:oMath>
      </m:oMathPara>
    </w:p>
    <w:p>
      <w:pPr>
        <w:pStyle w:val="Caption"/>
        <w:rPr/>
      </w:pPr>
      <w:r>
        <w:rPr/>
        <w:t xml:space="preserve">Równanie </w:t>
      </w:r>
      <w:r>
        <w:rPr/>
        <w:fldChar w:fldCharType="begin"/>
      </w:r>
      <w:r>
        <w:rPr/>
        <w:instrText xml:space="preserve"> SEQ Równanie \* ARABIC </w:instrText>
      </w:r>
      <w:r>
        <w:rPr/>
        <w:fldChar w:fldCharType="separate"/>
      </w:r>
      <w:r>
        <w:rPr/>
        <w:t>2</w:t>
      </w:r>
      <w:r>
        <w:rPr/>
        <w:fldChar w:fldCharType="end"/>
      </w:r>
      <w:r>
        <w:rPr/>
        <w:t xml:space="preserve"> Mapa aktywacji klasy w metodzie Grad-CAM</w:t>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L</m:t>
              </m:r>
            </m:e>
            <m:sub>
              <m:d>
                <m:dPr>
                  <m:begChr m:val="{"/>
                  <m:endChr m:val="}"/>
                </m:dPr>
                <m:e>
                  <m:r>
                    <m:t xml:space="preserve">Grad</m:t>
                  </m:r>
                  <m:r>
                    <m:rPr>
                      <m:lit/>
                      <m:nor/>
                    </m:rPr>
                    <m:t xml:space="preserve">-</m:t>
                  </m:r>
                  <m:r>
                    <m:t xml:space="preserve">CAM</m:t>
                  </m:r>
                </m:e>
              </m:d>
            </m:sub>
            <m:sup>
              <m:r>
                <m:t xml:space="preserve">c</m:t>
              </m:r>
            </m:sup>
          </m:sSubSup>
          <m:r>
            <m:rPr>
              <m:lit/>
              <m:nor/>
            </m:rPr>
            <m:t xml:space="preserve">=</m:t>
          </m:r>
          <m:r>
            <m:t xml:space="preserve">ReLU</m:t>
          </m:r>
          <m:d>
            <m:dPr>
              <m:begChr m:val="("/>
              <m:endChr m:val=")"/>
            </m:dPr>
            <m:e>
              <m:nary>
                <m:naryPr>
                  <m:chr m:val="∑"/>
                  <m:supHide m:val="1"/>
                </m:naryPr>
                <m:sub>
                  <m:r>
                    <m:t xml:space="preserve">k</m:t>
                  </m:r>
                </m:sub>
                <m:sup/>
                <m:e>
                  <m:sSubSup>
                    <m:e>
                      <m:r>
                        <m:t xml:space="preserve">α</m:t>
                      </m:r>
                    </m:e>
                    <m:sub>
                      <m:r>
                        <m:t xml:space="preserve">k</m:t>
                      </m:r>
                    </m:sub>
                    <m:sup>
                      <m:r>
                        <m:t xml:space="preserve">c</m:t>
                      </m:r>
                    </m:sup>
                  </m:sSubSup>
                  <m:sSup>
                    <m:e>
                      <m:r>
                        <m:t xml:space="preserve">A</m:t>
                      </m:r>
                    </m:e>
                    <m:sup>
                      <m:r>
                        <m:t xml:space="preserve">k</m:t>
                      </m:r>
                    </m:sup>
                  </m:sSup>
                </m:e>
              </m:nary>
            </m:e>
          </m:d>
        </m:oMath>
      </m:oMathPara>
    </w:p>
    <w:p>
      <w:pPr>
        <w:pStyle w:val="Normal"/>
        <w:ind w:hanging="0"/>
        <w:rPr/>
      </w:pPr>
      <w:r>
        <w:rPr/>
        <w:t>W powyższych równaniach przyjęto następujące oznaczenia zmiennych:</w:t>
      </w:r>
    </w:p>
    <w:p>
      <w:pPr>
        <w:pStyle w:val="ListParagraph"/>
        <w:numPr>
          <w:ilvl w:val="0"/>
          <w:numId w:val="14"/>
        </w:numPr>
        <w:rPr>
          <w:rFonts w:eastAsia="游明朝" w:eastAsiaTheme="minorEastAsia"/>
        </w:rPr>
      </w:pPr>
      <w:r>
        <w:rPr/>
      </w:r>
      <m:oMath xmlns:m="http://schemas.openxmlformats.org/officeDocument/2006/math">
        <m:sSup>
          <m:e>
            <m:r>
              <m:t xml:space="preserve">y</m:t>
            </m:r>
          </m:e>
          <m:sup>
            <m:r>
              <m:t xml:space="preserve">c</m:t>
            </m:r>
          </m:sup>
        </m:sSup>
      </m:oMath>
      <w:r>
        <w:rPr>
          <w:rFonts w:eastAsia="游明朝" w:eastAsiaTheme="minorEastAsia"/>
        </w:rPr>
        <w:t xml:space="preserve"> </w:t>
      </w:r>
      <w:r>
        <w:rPr>
          <w:rFonts w:eastAsia="游明朝" w:eastAsiaTheme="minorEastAsia"/>
        </w:rPr>
        <w:t xml:space="preserve">oznacza wynik surowy (logit) uzyskany przez sieć dla analizowanej klasy </w:t>
      </w:r>
      <w:r>
        <w:rPr/>
      </w:r>
      <m:oMath xmlns:m="http://schemas.openxmlformats.org/officeDocument/2006/math">
        <m:r>
          <m:t xml:space="preserve">c</m:t>
        </m:r>
      </m:oMath>
    </w:p>
    <w:p>
      <w:pPr>
        <w:pStyle w:val="ListParagraph"/>
        <w:numPr>
          <w:ilvl w:val="0"/>
          <w:numId w:val="14"/>
        </w:numPr>
        <w:rPr>
          <w:rFonts w:eastAsia="游明朝" w:eastAsiaTheme="minorEastAsia"/>
        </w:rPr>
      </w:pPr>
      <w:r>
        <w:rPr/>
      </w:r>
      <m:oMath xmlns:m="http://schemas.openxmlformats.org/officeDocument/2006/math">
        <m:sSup>
          <m:e>
            <m:r>
              <m:t xml:space="preserve">A</m:t>
            </m:r>
          </m:e>
          <m:sup>
            <m:r>
              <m:t xml:space="preserve">k</m:t>
            </m:r>
          </m:sup>
        </m:sSup>
      </m:oMath>
      <w:r>
        <w:rPr>
          <w:rFonts w:eastAsia="游明朝" w:eastAsiaTheme="minorEastAsia"/>
        </w:rPr>
        <w:t xml:space="preserve">  </w:t>
      </w:r>
      <w:r>
        <w:rPr>
          <w:rFonts w:eastAsia="游明朝" w:eastAsiaTheme="minorEastAsia"/>
        </w:rPr>
        <w:t>reprezentuje aktywację k-tej mapy cech w ostatniej warstwie splotowej.</w:t>
      </w:r>
    </w:p>
    <w:p>
      <w:pPr>
        <w:pStyle w:val="ListParagraph"/>
        <w:numPr>
          <w:ilvl w:val="0"/>
          <w:numId w:val="14"/>
        </w:numPr>
        <w:rPr>
          <w:rFonts w:eastAsia="游明朝" w:eastAsiaTheme="minorEastAsia"/>
        </w:rPr>
      </w:pPr>
      <w:r>
        <w:rPr/>
      </w:r>
      <m:oMath xmlns:m="http://schemas.openxmlformats.org/officeDocument/2006/math">
        <m:r>
          <m:t xml:space="preserve">i</m:t>
        </m:r>
      </m:oMath>
      <w:r>
        <w:rPr>
          <w:rFonts w:eastAsia="游明朝" w:eastAsiaTheme="minorEastAsia"/>
        </w:rPr>
        <w:t xml:space="preserve"> </w:t>
      </w:r>
      <w:r>
        <w:rPr>
          <w:rFonts w:eastAsia="游明朝" w:eastAsiaTheme="minorEastAsia"/>
        </w:rPr>
        <w:t xml:space="preserve">oraz </w:t>
      </w:r>
      <w:r>
        <w:rPr/>
      </w:r>
      <m:oMath xmlns:m="http://schemas.openxmlformats.org/officeDocument/2006/math">
        <m:r>
          <m:t xml:space="preserve">j</m:t>
        </m:r>
      </m:oMath>
      <w:r>
        <w:rPr>
          <w:rFonts w:eastAsia="游明朝" w:eastAsiaTheme="minorEastAsia"/>
        </w:rPr>
        <w:t xml:space="preserve">  to współrzędne przestrzenne pikseli w obrębie mapy cech.</w:t>
      </w:r>
    </w:p>
    <w:p>
      <w:pPr>
        <w:pStyle w:val="ListParagraph"/>
        <w:numPr>
          <w:ilvl w:val="0"/>
          <w:numId w:val="14"/>
        </w:numPr>
        <w:rPr>
          <w:rFonts w:eastAsia="游明朝" w:eastAsiaTheme="minorEastAsia"/>
        </w:rPr>
      </w:pPr>
      <w:r>
        <w:rPr/>
      </w:r>
      <m:oMath xmlns:m="http://schemas.openxmlformats.org/officeDocument/2006/math">
        <m:r>
          <m:t xml:space="preserve">Z</m:t>
        </m:r>
      </m:oMath>
      <w:r>
        <w:rPr>
          <w:rFonts w:eastAsia="游明朝" w:eastAsiaTheme="minorEastAsia"/>
        </w:rPr>
        <w:t xml:space="preserve"> </w:t>
      </w:r>
      <w:r>
        <w:rPr>
          <w:rFonts w:eastAsia="游明朝" w:eastAsiaTheme="minorEastAsia"/>
        </w:rPr>
        <w:t>określa całkowitą liczbę pikseli w mapie aktywacji, co wynika z operacji uśredniania.</w:t>
      </w:r>
    </w:p>
    <w:p>
      <w:pPr>
        <w:pStyle w:val="ListParagraph"/>
        <w:numPr>
          <w:ilvl w:val="0"/>
          <w:numId w:val="14"/>
        </w:numPr>
        <w:rPr>
          <w:rFonts w:eastAsia="游明朝" w:eastAsiaTheme="minorEastAsia"/>
        </w:rPr>
      </w:pPr>
      <w:r>
        <w:rPr/>
      </w:r>
      <m:oMath xmlns:m="http://schemas.openxmlformats.org/officeDocument/2006/math">
        <m:sSubSup>
          <m:e>
            <m:r>
              <m:t xml:space="preserve">α</m:t>
            </m:r>
          </m:e>
          <m:sub>
            <m:r>
              <m:t xml:space="preserve">k</m:t>
            </m:r>
          </m:sub>
          <m:sup>
            <m:r>
              <m:t xml:space="preserve">c</m:t>
            </m:r>
          </m:sup>
        </m:sSubSup>
      </m:oMath>
      <w:r>
        <w:rPr>
          <w:rFonts w:eastAsia="游明朝" w:eastAsiaTheme="minorEastAsia"/>
        </w:rPr>
        <w:t xml:space="preserve"> </w:t>
      </w:r>
      <w:r>
        <w:rPr>
          <w:rFonts w:eastAsia="游明朝" w:eastAsiaTheme="minorEastAsia"/>
        </w:rPr>
        <w:t xml:space="preserve">stanowi wagę przypisaną k-tej mapie cech dla klasy </w:t>
      </w:r>
      <w:r>
        <w:rPr/>
      </w:r>
      <m:oMath xmlns:m="http://schemas.openxmlformats.org/officeDocument/2006/math">
        <m:r>
          <m:t xml:space="preserve">c</m:t>
        </m:r>
      </m:oMath>
      <w:r>
        <w:rPr>
          <w:rFonts w:eastAsia="游明朝" w:eastAsiaTheme="minorEastAsia"/>
        </w:rPr>
        <w:t>, określającą jej istotność.</w:t>
      </w:r>
    </w:p>
    <w:p>
      <w:pPr>
        <w:pStyle w:val="Normal"/>
        <w:keepNext w:val="true"/>
        <w:ind w:hanging="0" w:start="360"/>
        <w:rPr/>
      </w:pPr>
      <w:r>
        <w:rPr/>
      </w:r>
      <m:oMath xmlns:m="http://schemas.openxmlformats.org/officeDocument/2006/math">
        <m:r>
          <m:t xml:space="preserve">ReLU</m:t>
        </m:r>
      </m:oMath>
      <w:r>
        <w:rPr>
          <w:rFonts w:eastAsia="游明朝" w:ascii="Cambria Math" w:hAnsi="Cambria Math" w:eastAsiaTheme="minorEastAsia"/>
          <w:i/>
        </w:rPr>
        <w:t xml:space="preserve"> </w:t>
      </w:r>
      <w:r>
        <w:rPr>
          <w:rFonts w:eastAsia="游明朝" w:ascii="Cambria Math" w:hAnsi="Cambria Math" w:eastAsiaTheme="minorEastAsia"/>
          <w:iCs/>
        </w:rPr>
        <w:t>to funkcja aktywacji odcinająca wartości mniejsze od zera, co pozwala na uwzględnienie wyłącznie cech wspierających decyzję o przynależności do danej klasy.</w:t>
      </w:r>
      <w:r>
        <w:rPr/>
        <w:t xml:space="preserve"> </w:t>
      </w:r>
    </w:p>
    <w:p>
      <w:pPr>
        <w:pStyle w:val="Caption"/>
        <w:rPr/>
      </w:pPr>
      <w:r>
        <w:rPr/>
        <w:drawing>
          <wp:inline distT="0" distB="0" distL="0" distR="0">
            <wp:extent cx="5760720" cy="2373630"/>
            <wp:effectExtent l="0" t="0" r="0" b="0"/>
            <wp:docPr id="20"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30"/>
                    <pic:cNvPicPr>
                      <a:picLocks noChangeAspect="1" noChangeArrowheads="1"/>
                    </pic:cNvPicPr>
                  </pic:nvPicPr>
                  <pic:blipFill>
                    <a:blip r:embed="rId22"/>
                    <a:stretch>
                      <a:fillRect/>
                    </a:stretch>
                  </pic:blipFill>
                  <pic:spPr bwMode="auto">
                    <a:xfrm>
                      <a:off x="0" y="0"/>
                      <a:ext cx="5760720" cy="2373630"/>
                    </a:xfrm>
                    <a:prstGeom prst="rect">
                      <a:avLst/>
                    </a:prstGeom>
                    <a:noFill/>
                  </pic:spPr>
                </pic:pic>
              </a:graphicData>
            </a:graphic>
          </wp:inline>
        </w:drawing>
      </w:r>
    </w:p>
    <w:p>
      <w:pPr>
        <w:pStyle w:val="Caption"/>
        <w:rPr/>
      </w:pPr>
      <w:bookmarkStart w:id="50" w:name="_Toc230629518"/>
      <w:r>
        <w:rPr/>
        <w:t xml:space="preserve">Rysunek </w:t>
      </w:r>
      <w:r>
        <w:rPr/>
        <w:fldChar w:fldCharType="begin"/>
      </w:r>
      <w:r>
        <w:rPr/>
        <w:instrText xml:space="preserve"> SEQ Rysunek \* ARABIC </w:instrText>
      </w:r>
      <w:r>
        <w:rPr/>
        <w:fldChar w:fldCharType="separate"/>
      </w:r>
      <w:r>
        <w:rPr/>
        <w:t>19</w:t>
      </w:r>
      <w:r>
        <w:rPr/>
        <w:fldChar w:fldCharType="end"/>
      </w:r>
      <w:r>
        <w:rPr/>
        <w:t xml:space="preserve"> Z lewej strony oryginalne zdjęcie pacjenta z Krowianką, po lewej GRAD-CAM modelu mobilNetV3, pokazujący, gdzie skupił największą uwagę podczas oceny.</w:t>
      </w:r>
      <w:bookmarkEnd w:id="50"/>
    </w:p>
    <w:p>
      <w:pPr>
        <w:pStyle w:val="Caption"/>
        <w:rPr/>
      </w:pPr>
      <w:bookmarkStart w:id="51" w:name="_Toc137420675"/>
      <w:r>
        <w:rPr/>
        <w:t xml:space="preserve"> </w:t>
      </w:r>
      <w:bookmarkEnd w:id="25"/>
      <w:bookmarkEnd w:id="51"/>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Heading1"/>
        <w:numPr>
          <w:ilvl w:val="0"/>
          <w:numId w:val="2"/>
        </w:numPr>
        <w:spacing w:before="0" w:after="840"/>
        <w:ind w:hanging="851" w:start="851"/>
        <w:rPr/>
      </w:pPr>
      <w:bookmarkStart w:id="52" w:name="_Toc230629458"/>
      <w:r>
        <w:rPr/>
        <w:t>Implementacja</w:t>
      </w:r>
      <w:bookmarkEnd w:id="52"/>
    </w:p>
    <w:p>
      <w:pPr>
        <w:pStyle w:val="Normal"/>
        <w:rPr/>
      </w:pPr>
      <w:r>
        <w:rP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z przystępnym i responsywnym interfejsem użytkownika.</w:t>
      </w:r>
    </w:p>
    <w:p>
      <w:pPr>
        <w:pStyle w:val="Normal"/>
        <w:ind w:hanging="0"/>
        <w:jc w:val="start"/>
        <w:rPr/>
      </w:pPr>
      <w:r>
        <w:rPr/>
        <w:t>Proces budowy systemu został podzielony na trzy kluczowe obszary:</w:t>
      </w:r>
    </w:p>
    <w:p>
      <w:pPr>
        <w:pStyle w:val="ListParagraph"/>
        <w:numPr>
          <w:ilvl w:val="0"/>
          <w:numId w:val="16"/>
        </w:numPr>
        <w:rPr/>
      </w:pPr>
      <w:r>
        <w:rPr/>
        <w:t>Moduł analityczny: Obejmujący definicję architektur sieciowych w środowisku PyTorch, proces ich douczania oraz implementację algorytmów wyjaśnialności (Grad-CAM).</w:t>
      </w:r>
    </w:p>
    <w:p>
      <w:pPr>
        <w:pStyle w:val="ListParagraph"/>
        <w:numPr>
          <w:ilvl w:val="0"/>
          <w:numId w:val="16"/>
        </w:numPr>
        <w:rPr/>
      </w:pPr>
      <w:r>
        <w:rPr/>
        <w:t>Warstwa serwerowa (Backend): Zrealizowana w frameworku FastAPI, pełniąca rolę pośrednika między modelami matematycznymi a aplikacją końcową.</w:t>
      </w:r>
    </w:p>
    <w:p>
      <w:pPr>
        <w:pStyle w:val="ListParagraph"/>
        <w:numPr>
          <w:ilvl w:val="0"/>
          <w:numId w:val="16"/>
        </w:numPr>
        <w:rPr/>
      </w:pPr>
      <w:r>
        <w:rPr/>
        <w:t>Warstwa prezentacji (Frontend): Stworzona w technologii React, umożliwiająca interakcję z systemem, obsługę aparatu oraz wizualizację wyników diagnostycznych.</w:t>
      </w:r>
    </w:p>
    <w:p>
      <w:pPr>
        <w:pStyle w:val="Normal"/>
        <w:rPr/>
      </w:pPr>
      <w:r>
        <w:rP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oraz wzorcami projektowymi, co zapewnia łatwą rozbudowę systemu w przyszłości.</w:t>
      </w:r>
    </w:p>
    <w:p>
      <w:pPr>
        <w:pStyle w:val="Heading2"/>
        <w:numPr>
          <w:ilvl w:val="1"/>
          <w:numId w:val="8"/>
        </w:numPr>
        <w:rPr/>
      </w:pPr>
      <w:bookmarkStart w:id="53" w:name="_Toc137420687"/>
      <w:bookmarkStart w:id="54" w:name="_Toc230629459"/>
      <w:r>
        <w:rPr/>
        <w:t>Struktura projektu i modułowość</w:t>
      </w:r>
      <w:bookmarkEnd w:id="54"/>
    </w:p>
    <w:p>
      <w:pPr>
        <w:pStyle w:val="Normal"/>
        <w:ind w:firstLine="708"/>
        <w:rPr/>
      </w:pPr>
      <w:r>
        <w:rPr/>
        <w:t>Architektura systemu została zaprojektowana w sposób modułowy, co pozwala na wyraźne rozdzielenie odpowiedzialności poszczególnych komponentów oraz zapewnia elastyczność w dalszym rozwoju aplikacji. Całość opiera się na trójwarstwowym modelu obejmującym warstwę analityczną, warstwę serwerową oraz warstwę prezentacji, które współpracują ze sobą w ramach jednolitego procesu diagnostycznego.</w:t>
      </w:r>
    </w:p>
    <w:p>
      <w:pPr>
        <w:pStyle w:val="Normal"/>
        <w:ind w:hanging="0"/>
        <w:rPr/>
      </w:pPr>
      <w:r>
        <w:rPr/>
        <w:br/>
      </w:r>
    </w:p>
    <w:p>
      <w:pPr>
        <w:pStyle w:val="Normal"/>
        <w:ind w:firstLine="708"/>
        <w:rPr/>
      </w:pPr>
      <w:r>
        <w:rPr/>
        <w:t>System przetwarza dane obrazowe w sposób sekwencyjny, rozpoczynając od ich analizy przez modele uczenia maszynowego, następnie przekazując wyniki przez warstwę backendową, aż do ich prezentacji użytkownikowi końcowemu w interfejsie graficznym. Takie podejście umożliwia zarówno skalowalność, jak i łatwiejsze utrzymanie oraz rozwój poszczególnych komponentów.</w:t>
      </w:r>
    </w:p>
    <w:p>
      <w:pPr>
        <w:pStyle w:val="Heading3"/>
        <w:numPr>
          <w:ilvl w:val="2"/>
          <w:numId w:val="8"/>
        </w:numPr>
        <w:rPr/>
      </w:pPr>
      <w:bookmarkStart w:id="55" w:name="_Toc230629460"/>
      <w:r>
        <w:rPr/>
        <w:t>Środowisko treningowe</w:t>
      </w:r>
      <w:bookmarkEnd w:id="55"/>
    </w:p>
    <w:p>
      <w:pPr>
        <w:pStyle w:val="Normal"/>
        <w:ind w:hanging="0"/>
        <w:rPr/>
      </w:pPr>
      <w:r>
        <w:rPr/>
        <w:t>Proces badawczy i treningowy został odizolowany od głównej aplikacji. Wykorzystanie środowiska Kaggle pozwoliło na:</w:t>
      </w:r>
    </w:p>
    <w:p>
      <w:pPr>
        <w:pStyle w:val="ListParagraph"/>
        <w:numPr>
          <w:ilvl w:val="0"/>
          <w:numId w:val="17"/>
        </w:numPr>
        <w:rPr/>
      </w:pPr>
      <w:r>
        <w:rPr/>
        <w:t>Przeprowadzenie czyszczenia i augmentacji danych w izolowanym kontenerze.</w:t>
      </w:r>
    </w:p>
    <w:p>
      <w:pPr>
        <w:pStyle w:val="ListParagraph"/>
        <w:numPr>
          <w:ilvl w:val="0"/>
          <w:numId w:val="17"/>
        </w:numPr>
        <w:rPr/>
      </w:pPr>
      <w:r>
        <w:rPr/>
        <w:t>Wykorzystanie akceleracji GPU do trenowania pięciu różnych architektur sieciowych.</w:t>
      </w:r>
    </w:p>
    <w:p>
      <w:pPr>
        <w:pStyle w:val="ListParagraph"/>
        <w:numPr>
          <w:ilvl w:val="0"/>
          <w:numId w:val="17"/>
        </w:numPr>
        <w:rPr/>
      </w:pPr>
      <w:r>
        <w:rPr/>
        <w:t>Eksport wytrenowanych wag modeli do formatu „.pth”, które następnie zostały zaimplementowane w warstwie produkcyjnej backendu.</w:t>
      </w:r>
    </w:p>
    <w:p>
      <w:pPr>
        <w:pStyle w:val="Heading3"/>
        <w:numPr>
          <w:ilvl w:val="2"/>
          <w:numId w:val="8"/>
        </w:numPr>
        <w:rPr/>
      </w:pPr>
      <w:bookmarkStart w:id="56" w:name="_Toc230629461"/>
      <w:r>
        <w:rPr/>
        <w:t>Architektura warstwy serwerowej</w:t>
      </w:r>
      <w:bookmarkEnd w:id="56"/>
    </w:p>
    <w:p>
      <w:pPr>
        <w:pStyle w:val="Normal"/>
        <w:ind w:hanging="0"/>
        <w:rPr/>
      </w:pPr>
      <w:r>
        <w:rPr/>
        <w:t>Backend aplikacji został ustrukturyzowany w sposób modularny, co odzwierciedla struktura plików i folderów. Zastosowano podział na logiczne pakiety, co minimalizuje powiązania między modułami:</w:t>
      </w:r>
    </w:p>
    <w:p>
      <w:pPr>
        <w:pStyle w:val="ListParagraph"/>
        <w:numPr>
          <w:ilvl w:val="0"/>
          <w:numId w:val="18"/>
        </w:numPr>
        <w:rPr/>
      </w:pPr>
      <w:r>
        <w:rPr/>
        <w:t>api/: Zawiera definicje punktów końcowych (routes) oraz zależności (deps.py). Moduł ten odpowiada za obsługę żądań HTTP i walidację danych wejściowych.</w:t>
      </w:r>
    </w:p>
    <w:p>
      <w:pPr>
        <w:pStyle w:val="ListParagraph"/>
        <w:numPr>
          <w:ilvl w:val="0"/>
          <w:numId w:val="18"/>
        </w:numPr>
        <w:rPr/>
      </w:pPr>
      <w:r>
        <w:rPr/>
        <w:t>core/: Miejsce konfiguracji globalnej aplikacji (config.py), obsługi wyjątków oraz logowania zdarzeń. Zapewnia spójne działanie systemu niezależnie od środowiska.</w:t>
      </w:r>
    </w:p>
    <w:p>
      <w:pPr>
        <w:pStyle w:val="ListParagraph"/>
        <w:numPr>
          <w:ilvl w:val="0"/>
          <w:numId w:val="18"/>
        </w:numPr>
        <w:rPr/>
      </w:pPr>
      <w:r>
        <w:rPr/>
        <w:t>ml/: Kluczowy moduł zawierający definicje architektur sieciowych oraz logikę ładowania wag modeli. To tutaj odbywa się właściwa inferencja i generowanie map Grad-CAM.</w:t>
      </w:r>
    </w:p>
    <w:p>
      <w:pPr>
        <w:pStyle w:val="ListParagraph"/>
        <w:numPr>
          <w:ilvl w:val="0"/>
          <w:numId w:val="18"/>
        </w:numPr>
        <w:rPr/>
      </w:pPr>
      <w:r>
        <w:rPr/>
        <w:t>db/: Warstwa dostępu do danych, odpowiedzialna za komunikację z bazą SQLite (skinscanner.db). Przechowuje ona historię badań i metadane użytkowników.</w:t>
      </w:r>
    </w:p>
    <w:p>
      <w:pPr>
        <w:pStyle w:val="ListParagraph"/>
        <w:numPr>
          <w:ilvl w:val="0"/>
          <w:numId w:val="18"/>
        </w:numPr>
        <w:rPr/>
      </w:pPr>
      <w:r>
        <w:rPr/>
        <w:t>schemas/: Definicje modeli Pydantic, które zapewniają ścisłe typowanie danych przesyłanych w formacie JSON między klientem a serwerem.</w:t>
      </w:r>
    </w:p>
    <w:p>
      <w:pPr>
        <w:pStyle w:val="ListParagraph"/>
        <w:numPr>
          <w:ilvl w:val="0"/>
          <w:numId w:val="18"/>
        </w:numPr>
        <w:rPr/>
      </w:pPr>
      <w:r>
        <w:rPr/>
        <w:t>services/: Warstwa logiki biznesowej, która agreguje funkcjonalności z modułów ML i bazy danych, dostarczając gotowe dane do warstwy API.</w:t>
      </w:r>
    </w:p>
    <w:p>
      <w:pPr>
        <w:pStyle w:val="Heading3"/>
        <w:numPr>
          <w:ilvl w:val="2"/>
          <w:numId w:val="8"/>
        </w:numPr>
        <w:rPr/>
      </w:pPr>
      <w:bookmarkStart w:id="57" w:name="_Toc230629462"/>
      <w:r>
        <w:rPr/>
        <w:t>Architektura warstwy klienta</w:t>
      </w:r>
      <w:bookmarkEnd w:id="57"/>
    </w:p>
    <w:p>
      <w:pPr>
        <w:pStyle w:val="Normal"/>
        <w:ind w:hanging="0"/>
        <w:rPr/>
      </w:pPr>
      <w:r>
        <w:rPr/>
        <w:t>Frontend został zbudowany z wykorzystaniem narzędzia Vite, co zapewnia szybkie budowanie aplikacji i nowoczesne podejście do modułowości JavaScript. Struktura katalogu frontend/src opiera się na komponentach funkcyjnych:</w:t>
      </w:r>
    </w:p>
    <w:p>
      <w:pPr>
        <w:pStyle w:val="ListParagraph"/>
        <w:numPr>
          <w:ilvl w:val="0"/>
          <w:numId w:val="19"/>
        </w:numPr>
        <w:jc w:val="start"/>
        <w:rPr/>
      </w:pPr>
      <w:r>
        <w:rPr/>
        <w:t>components/: Reużywalne elementy interfejsu (np. przyciski, modale).</w:t>
      </w:r>
    </w:p>
    <w:p>
      <w:pPr>
        <w:pStyle w:val="ListParagraph"/>
        <w:numPr>
          <w:ilvl w:val="0"/>
          <w:numId w:val="19"/>
        </w:numPr>
        <w:jc w:val="start"/>
        <w:rPr/>
      </w:pPr>
      <w:r>
        <w:rPr/>
        <w:t>pages/: Główne widoki aplikacji, takie jak ekran diagnostyczny, historia badań czy schemat anatomiczny.</w:t>
      </w:r>
    </w:p>
    <w:p>
      <w:pPr>
        <w:pStyle w:val="ListParagraph"/>
        <w:numPr>
          <w:ilvl w:val="0"/>
          <w:numId w:val="19"/>
        </w:numPr>
        <w:jc w:val="start"/>
        <w:rPr/>
      </w:pPr>
      <w:r>
        <w:rPr/>
        <w:t>hooks/: Autorskie funkcje Reactowe, izolujące logikę (np. obsługę aparatu czy komunikację z API) od warstwy wizualnej.</w:t>
      </w:r>
    </w:p>
    <w:p>
      <w:pPr>
        <w:pStyle w:val="ListParagraph"/>
        <w:numPr>
          <w:ilvl w:val="0"/>
          <w:numId w:val="19"/>
        </w:numPr>
        <w:jc w:val="start"/>
        <w:rPr/>
      </w:pPr>
      <w:r>
        <w:rPr/>
        <w:t>api/: Centralny moduł obsługujący zapytania asynchroniczne do backendu, zapewniający spójną strukturę przesyłania zdjęć.</w:t>
      </w:r>
    </w:p>
    <w:p>
      <w:pPr>
        <w:pStyle w:val="ListParagraph"/>
        <w:numPr>
          <w:ilvl w:val="0"/>
          <w:numId w:val="19"/>
        </w:numPr>
        <w:jc w:val="start"/>
        <w:rPr/>
      </w:pPr>
      <w:r>
        <w:rPr/>
        <w:t>store/: Zarządzanie stanem globalnym aplikacji (wyniki ostatniego badania).</w:t>
      </w:r>
    </w:p>
    <w:p>
      <w:pPr>
        <w:pStyle w:val="ListParagraph"/>
        <w:numPr>
          <w:ilvl w:val="0"/>
          <w:numId w:val="19"/>
        </w:numPr>
        <w:jc w:val="start"/>
        <w:rPr/>
      </w:pPr>
      <w:r>
        <w:rPr/>
        <w:t>i18n/: Moduł internacjonalizacji, umożliwiający łatwą zmianę języka interfejsu.</w:t>
      </w:r>
    </w:p>
    <w:p>
      <w:pPr>
        <w:pStyle w:val="ListParagraph"/>
        <w:numPr>
          <w:ilvl w:val="0"/>
          <w:numId w:val="19"/>
        </w:numPr>
        <w:jc w:val="start"/>
        <w:rPr/>
      </w:pPr>
      <w:r>
        <w:rPr/>
        <w:t>types/: Definicje interfejsów TypeScript, które odzwierciedlają schematy z backendu, eliminując błędy niezgodności danych na etapie kompilacji.</w:t>
      </w:r>
    </w:p>
    <w:p>
      <w:pPr>
        <w:pStyle w:val="Heading3"/>
        <w:numPr>
          <w:ilvl w:val="2"/>
          <w:numId w:val="8"/>
        </w:numPr>
        <w:rPr/>
      </w:pPr>
      <w:bookmarkStart w:id="58" w:name="_Toc230629463"/>
      <w:r>
        <w:rPr/>
        <w:t>Warstwa persystencji</w:t>
      </w:r>
      <w:bookmarkEnd w:id="58"/>
    </w:p>
    <w:p>
      <w:pPr>
        <w:pStyle w:val="Normal"/>
        <w:rPr/>
      </w:pPr>
      <w:r>
        <w:rPr/>
        <w:t>Jako silnik bazy danych wybrano SQLite (</w:t>
      </w:r>
      <w:r>
        <w:rPr/>
        <w:fldChar w:fldCharType="begin"/>
      </w:r>
      <w:r>
        <w:rPr/>
        <w:instrText xml:space="preserve"> REF _Ref225790753 \h </w:instrText>
      </w:r>
      <w:r>
        <w:rPr/>
        <w:fldChar w:fldCharType="separate"/>
      </w:r>
      <w:r>
        <w:rPr/>
        <w:t>Rysunek 20</w:t>
      </w:r>
      <w:r>
        <w:rPr/>
        <w:fldChar w:fldCharType="end"/>
      </w:r>
      <w:r>
        <w:rPr/>
        <w:t>). Jest to rozwiązanie bezserwerowe, co w kontekście niniejszej pracy magisterskiej pozwala na pełną przenośność systemu bez konieczności konfiguracji zewnętrznych klastrów bazodanowych. Baza przechowuje relacje między użytkownikami, ich badaniami oraz lokalizacją zmian skórnych na modelu 3D/schemacie.</w:t>
      </w:r>
    </w:p>
    <w:p>
      <w:pPr>
        <w:pStyle w:val="Normal"/>
        <w:keepNext w:val="true"/>
        <w:jc w:val="center"/>
        <w:rPr/>
      </w:pPr>
      <w:r>
        <w:rPr/>
        <w:drawing>
          <wp:inline distT="0" distB="0" distL="0" distR="0">
            <wp:extent cx="5613400" cy="5934710"/>
            <wp:effectExtent l="0" t="0" r="0" b="0"/>
            <wp:docPr id="21"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15"/>
                    <pic:cNvPicPr>
                      <a:picLocks noChangeAspect="1" noChangeArrowheads="1"/>
                    </pic:cNvPicPr>
                  </pic:nvPicPr>
                  <pic:blipFill>
                    <a:blip r:embed="rId23"/>
                    <a:stretch>
                      <a:fillRect/>
                    </a:stretch>
                  </pic:blipFill>
                  <pic:spPr bwMode="auto">
                    <a:xfrm>
                      <a:off x="0" y="0"/>
                      <a:ext cx="5613400" cy="5934710"/>
                    </a:xfrm>
                    <a:prstGeom prst="rect">
                      <a:avLst/>
                    </a:prstGeom>
                    <a:noFill/>
                  </pic:spPr>
                </pic:pic>
              </a:graphicData>
            </a:graphic>
          </wp:inline>
        </w:drawing>
      </w:r>
    </w:p>
    <w:p>
      <w:pPr>
        <w:pStyle w:val="Caption"/>
        <w:rPr/>
      </w:pPr>
      <w:bookmarkStart w:id="59" w:name="_Toc230629519"/>
      <w:bookmarkStart w:id="60" w:name="_Ref225790746"/>
      <w:bookmarkStart w:id="61" w:name="_Ref225790753"/>
      <w:r>
        <w:rPr/>
        <w:t xml:space="preserve">Rysunek </w:t>
      </w:r>
      <w:r>
        <w:rPr/>
        <w:fldChar w:fldCharType="begin"/>
      </w:r>
      <w:r>
        <w:rPr/>
        <w:instrText xml:space="preserve"> SEQ Rysunek \* ARABIC </w:instrText>
      </w:r>
      <w:r>
        <w:rPr/>
        <w:fldChar w:fldCharType="separate"/>
      </w:r>
      <w:r>
        <w:rPr/>
        <w:t>20</w:t>
      </w:r>
      <w:r>
        <w:rPr/>
        <w:fldChar w:fldCharType="end"/>
      </w:r>
      <w:bookmarkEnd w:id="61"/>
      <w:r>
        <w:rPr/>
        <w:t xml:space="preserve"> Model bazy danych</w:t>
      </w:r>
      <w:bookmarkEnd w:id="59"/>
      <w:bookmarkEnd w:id="60"/>
    </w:p>
    <w:p>
      <w:pPr>
        <w:pStyle w:val="Heading3"/>
        <w:numPr>
          <w:ilvl w:val="2"/>
          <w:numId w:val="8"/>
        </w:numPr>
        <w:rPr/>
      </w:pPr>
      <w:bookmarkStart w:id="62" w:name="_Toc230629464"/>
      <w:r>
        <w:rPr/>
        <w:t>Użyte biblioteki</w:t>
      </w:r>
      <w:bookmarkEnd w:id="62"/>
    </w:p>
    <w:p>
      <w:pPr>
        <w:pStyle w:val="Normal"/>
        <w:ind w:hanging="0"/>
        <w:rPr/>
      </w:pPr>
      <w:r>
        <w:rPr/>
        <w:t>W celu realizacji założonych funkcjonalności systemu, wykorzystano ekosystem bibliotek języka Python oraz środowiska JavaScript, które stanowią standard w dziedzinie inżynierii oprogramowania i uczenia maszynowego.</w:t>
      </w:r>
    </w:p>
    <w:p>
      <w:pPr>
        <w:pStyle w:val="ListParagraph"/>
        <w:numPr>
          <w:ilvl w:val="0"/>
          <w:numId w:val="20"/>
        </w:numPr>
        <w:jc w:val="start"/>
        <w:rPr/>
      </w:pPr>
      <w:r>
        <w:rPr/>
        <w:t>PyTorch (torch): Główny framework wykorzystany do budowy, trenowania i inferencji modeli głębokiego uczenia. Wybór PyTorcha podyktowany był jego dynamicznym grafem obliczeniowym oraz szerokim wsparciem dla badań naukowych, co ułatwiło implementację autorskiej architektury Custom CNN.</w:t>
      </w:r>
    </w:p>
    <w:p>
      <w:pPr>
        <w:pStyle w:val="ListParagraph"/>
        <w:numPr>
          <w:ilvl w:val="0"/>
          <w:numId w:val="20"/>
        </w:numPr>
        <w:jc w:val="start"/>
        <w:rPr/>
      </w:pPr>
      <w:r>
        <w:rPr/>
        <w:t>Torchvision: Biblioteka pomocnicza dla PyTorch, która dostarczyła gotowe architektury modeli (ResNet, EfficientNet, MobileNet) oraz zaawansowane algorytmy transformacji obrazu, wykorzystane w procesie augmentacji danych.</w:t>
      </w:r>
    </w:p>
    <w:p>
      <w:pPr>
        <w:pStyle w:val="ListParagraph"/>
        <w:numPr>
          <w:ilvl w:val="0"/>
          <w:numId w:val="20"/>
        </w:numPr>
        <w:jc w:val="start"/>
        <w:rPr/>
      </w:pPr>
      <w:r>
        <w:rPr/>
        <w:t>Grad-cam: Kluczowa biblioteka z punktu widzenia medycznego aspektu pracy. Umożliwiła ona implementację mechanizmów wyjaśnialnej sztucznej inteligencji (XAI), generując mapy aktywacji, które wskazują obszary obrazu determinujące decyzję modelu.</w:t>
      </w:r>
    </w:p>
    <w:p>
      <w:pPr>
        <w:pStyle w:val="ListParagraph"/>
        <w:numPr>
          <w:ilvl w:val="0"/>
          <w:numId w:val="20"/>
        </w:numPr>
        <w:jc w:val="start"/>
        <w:rPr/>
      </w:pPr>
      <w:r>
        <w:rPr/>
        <w:t>OpenCV i Pillow: Zestaw narzędzi do niskopoziomowego przetwarzania obrazów. OpenCV wykorzystano do nakładania map ciepła na zdjęcia oryginalne oraz do obsługi strumienia wideo, natomiast Pillow posłużyło do podstawowych operacji na formatach plików graficznych.</w:t>
      </w:r>
    </w:p>
    <w:p>
      <w:pPr>
        <w:pStyle w:val="ListParagraph"/>
        <w:numPr>
          <w:ilvl w:val="0"/>
          <w:numId w:val="20"/>
        </w:numPr>
        <w:jc w:val="start"/>
        <w:rPr/>
      </w:pPr>
      <w:r>
        <w:rPr/>
        <w:t>NumPy: Biblioteka do obliczeń macierzowych, stanowiąca fundament dla wszystkich operacji na wagach sieci oraz reprezentacji obrazów w formie numerycznej.</w:t>
      </w:r>
    </w:p>
    <w:p>
      <w:pPr>
        <w:pStyle w:val="ListParagraph"/>
        <w:numPr>
          <w:ilvl w:val="0"/>
          <w:numId w:val="20"/>
        </w:numPr>
        <w:jc w:val="start"/>
        <w:rPr/>
      </w:pPr>
      <w:r>
        <w:rPr/>
        <w:t>FastAPI: Nowoczesny framework webowy wykorzystany do budowy interfejsu API. Wybrano go ze względu na natywne wsparcie dla asynchroniczności (async/await), co pozwala na wydajną obsługę żądań klasyfikacji bez blokowania zasobów serwera.</w:t>
      </w:r>
    </w:p>
    <w:p>
      <w:pPr>
        <w:pStyle w:val="ListParagraph"/>
        <w:numPr>
          <w:ilvl w:val="0"/>
          <w:numId w:val="20"/>
        </w:numPr>
        <w:jc w:val="start"/>
        <w:rPr/>
      </w:pPr>
      <w:r>
        <w:rPr/>
        <w:t>SQLAlchemy: Warstwa abstrakcji bazy danych (ORM), która umożliwiła zarządzanie bazą SQLite w sposób obiektowy. Dzięki niej zaimplementowano moduł historii badań, zapewniając spójność danych między sesjami użytkownika.</w:t>
      </w:r>
    </w:p>
    <w:p>
      <w:pPr>
        <w:pStyle w:val="ListParagraph"/>
        <w:numPr>
          <w:ilvl w:val="0"/>
          <w:numId w:val="20"/>
        </w:numPr>
        <w:jc w:val="start"/>
        <w:rPr/>
      </w:pPr>
      <w:r>
        <w:rPr/>
        <w:t>Pydantic: Biblioteka wykorzystana do walidacji danych wejściowych oraz zarządzania konfiguracją systemu (zmienne środowiskowe), co zwiększyło bezpieczeństwo i odporność aplikacji na błędne dane.</w:t>
      </w:r>
    </w:p>
    <w:p>
      <w:pPr>
        <w:pStyle w:val="ListParagraph"/>
        <w:numPr>
          <w:ilvl w:val="0"/>
          <w:numId w:val="20"/>
        </w:numPr>
        <w:jc w:val="start"/>
        <w:rPr/>
      </w:pPr>
      <w:r>
        <w:rPr/>
        <w:t>React i TypeScript: Główna biblioteka budowy interfejsu. Zastosowanie TypeScriptu pozwoliło na wprowadzenie silnego typowania, co było kluczowe przy przesyłaniu złożonych obiektów diagnostycznych między frontendem a backendem.</w:t>
      </w:r>
    </w:p>
    <w:p>
      <w:pPr>
        <w:pStyle w:val="ListParagraph"/>
        <w:numPr>
          <w:ilvl w:val="0"/>
          <w:numId w:val="20"/>
        </w:numPr>
        <w:jc w:val="start"/>
        <w:rPr/>
      </w:pPr>
      <w:r>
        <w:rPr/>
        <w:t>Zustand: Lekki system zarządzania stanem aplikacji, wykorzystany do przechowywania wyników bieżącej analizy oraz ustawień użytkownika (np. motyw graficzny, język).</w:t>
      </w:r>
    </w:p>
    <w:p>
      <w:pPr>
        <w:pStyle w:val="ListParagraph"/>
        <w:numPr>
          <w:ilvl w:val="0"/>
          <w:numId w:val="20"/>
        </w:numPr>
        <w:jc w:val="start"/>
        <w:rPr/>
      </w:pPr>
      <w:r>
        <w:rPr/>
        <w:t>TanStack Query: Narzędzie do obsługi asynchronicznych zapytań do API. Zapewnia ono automatyczne zarządzanie stanem ładowania oraz buforowanie wyników, co znacząco poprawiło komfort użytkowania aplikacji (UX).</w:t>
      </w:r>
    </w:p>
    <w:p>
      <w:pPr>
        <w:pStyle w:val="ListParagraph"/>
        <w:numPr>
          <w:ilvl w:val="0"/>
          <w:numId w:val="20"/>
        </w:numPr>
        <w:jc w:val="start"/>
        <w:rPr/>
      </w:pPr>
      <w:r>
        <w:rPr/>
        <w:t>Tailwind CSS: Framework CSS wykorzystany do stworzenia responsywnego interfejsu użytkownika (RWD), zapewniającego poprawną prezentację schematów anatomicznych zarówno na komputerach, jak i urządzeniach mobilnych.</w:t>
      </w:r>
    </w:p>
    <w:p>
      <w:pPr>
        <w:pStyle w:val="Heading2"/>
        <w:numPr>
          <w:ilvl w:val="1"/>
          <w:numId w:val="8"/>
        </w:numPr>
        <w:rPr/>
      </w:pPr>
      <w:bookmarkStart w:id="63" w:name="_Toc230629465"/>
      <w:r>
        <w:rPr/>
        <w:t>Architektura systemu i przepływ danych</w:t>
      </w:r>
      <w:bookmarkEnd w:id="63"/>
    </w:p>
    <w:p>
      <w:pPr>
        <w:pStyle w:val="Normal"/>
        <w:rPr/>
      </w:pPr>
      <w:r>
        <w:rPr/>
        <w:t>System został zaprojektowany w modelu klient-serwer, gdzie kluczowym aspektem jest separacja ciężkich obliczeń AI od lekkiego interfejsu użytkownika. Przepływ danych (</w:t>
      </w:r>
      <w:r>
        <w:rPr/>
        <w:fldChar w:fldCharType="begin"/>
      </w:r>
      <w:r>
        <w:rPr/>
        <w:instrText xml:space="preserve"> REF _Ref228641417 \h </w:instrText>
      </w:r>
      <w:r>
        <w:rPr/>
        <w:fldChar w:fldCharType="separate"/>
      </w:r>
      <w:r>
        <w:rPr/>
        <w:t>Rysunek 21</w:t>
      </w:r>
      <w:r>
        <w:rPr/>
        <w:fldChar w:fldCharType="end"/>
      </w:r>
      <w:r>
        <w:rPr/>
        <w:t>) w aplikacji przebiega w następujących etapach:</w:t>
      </w:r>
    </w:p>
    <w:p>
      <w:pPr>
        <w:pStyle w:val="ListParagraph"/>
        <w:numPr>
          <w:ilvl w:val="0"/>
          <w:numId w:val="28"/>
        </w:numPr>
        <w:jc w:val="start"/>
        <w:rPr/>
      </w:pPr>
      <w:r>
        <w:rPr/>
        <w:t>Akwizycja i przygotowanie: Użytkownik pozyskuje obraz (upload, kamera live lub stream z telefonu). Przed wysyłką obraz jest kadrowany w przeglądarce (Crop tool), co redukuje szum informacyjny i zmniejsza rozmiar przesyłanego pliku.</w:t>
      </w:r>
    </w:p>
    <w:p>
      <w:pPr>
        <w:pStyle w:val="ListParagraph"/>
        <w:numPr>
          <w:ilvl w:val="0"/>
          <w:numId w:val="28"/>
        </w:numPr>
        <w:jc w:val="start"/>
        <w:rPr/>
      </w:pPr>
      <w:r>
        <w:rPr/>
        <w:t>Żądanie API: Obraz w formie binarnej trafia do endpointu /predict w FastAPI.</w:t>
      </w:r>
    </w:p>
    <w:p>
      <w:pPr>
        <w:pStyle w:val="ListParagraph"/>
        <w:numPr>
          <w:ilvl w:val="0"/>
          <w:numId w:val="28"/>
        </w:numPr>
        <w:jc w:val="start"/>
        <w:rPr/>
      </w:pPr>
      <w:r>
        <w:rPr/>
        <w:t>Przetwarzanie i Inferencja: Backend normalizuje zdjęcie i przekazuje je do zespołu pięciu modeli. Każdy model generuje niezależną predykcję oraz mapę aktywacji Grad-CAM.</w:t>
      </w:r>
    </w:p>
    <w:p>
      <w:pPr>
        <w:pStyle w:val="ListParagraph"/>
        <w:numPr>
          <w:ilvl w:val="0"/>
          <w:numId w:val="28"/>
        </w:numPr>
        <w:jc w:val="start"/>
        <w:rPr/>
      </w:pPr>
      <w:r>
        <w:rPr/>
        <w:t>Persystencja i Odpowiedź: Wyniki (diagnoza, pewność, heatmapy) są zapisywane w bazie SQLite, a następnie zwracane do frontendu w formacie JSON.</w:t>
      </w:r>
    </w:p>
    <w:p>
      <w:pPr>
        <w:pStyle w:val="Normal"/>
        <w:keepNext w:val="true"/>
        <w:jc w:val="center"/>
        <w:rPr/>
      </w:pPr>
      <w:r>
        <w:rPr/>
        <w:drawing>
          <wp:inline distT="0" distB="0" distL="0" distR="0">
            <wp:extent cx="4780280" cy="4333240"/>
            <wp:effectExtent l="0" t="0" r="0" b="0"/>
            <wp:docPr id="22"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16"/>
                    <pic:cNvPicPr>
                      <a:picLocks noChangeAspect="1" noChangeArrowheads="1"/>
                    </pic:cNvPicPr>
                  </pic:nvPicPr>
                  <pic:blipFill>
                    <a:blip r:embed="rId24"/>
                    <a:stretch>
                      <a:fillRect/>
                    </a:stretch>
                  </pic:blipFill>
                  <pic:spPr bwMode="auto">
                    <a:xfrm>
                      <a:off x="0" y="0"/>
                      <a:ext cx="4780280" cy="4333240"/>
                    </a:xfrm>
                    <a:prstGeom prst="rect">
                      <a:avLst/>
                    </a:prstGeom>
                    <a:noFill/>
                  </pic:spPr>
                </pic:pic>
              </a:graphicData>
            </a:graphic>
          </wp:inline>
        </w:drawing>
      </w:r>
    </w:p>
    <w:p>
      <w:pPr>
        <w:pStyle w:val="Caption"/>
        <w:rPr/>
      </w:pPr>
      <w:bookmarkStart w:id="64" w:name="_Toc230629520"/>
      <w:bookmarkStart w:id="65" w:name="_Ref228641417"/>
      <w:r>
        <w:rPr/>
        <w:t xml:space="preserve">Rysunek </w:t>
      </w:r>
      <w:r>
        <w:rPr/>
        <w:fldChar w:fldCharType="begin"/>
      </w:r>
      <w:r>
        <w:rPr/>
        <w:instrText xml:space="preserve"> SEQ Rysunek \* ARABIC </w:instrText>
      </w:r>
      <w:r>
        <w:rPr/>
        <w:fldChar w:fldCharType="separate"/>
      </w:r>
      <w:r>
        <w:rPr/>
        <w:t>21</w:t>
      </w:r>
      <w:r>
        <w:rPr/>
        <w:fldChar w:fldCharType="end"/>
      </w:r>
      <w:bookmarkEnd w:id="65"/>
      <w:r>
        <w:rPr/>
        <w:t xml:space="preserve"> Schemat przepływu danych</w:t>
      </w:r>
      <w:bookmarkEnd w:id="64"/>
    </w:p>
    <w:p>
      <w:pPr>
        <w:pStyle w:val="Heading2"/>
        <w:numPr>
          <w:ilvl w:val="1"/>
          <w:numId w:val="8"/>
        </w:numPr>
        <w:rPr/>
      </w:pPr>
      <w:bookmarkStart w:id="66" w:name="_Toc230629466"/>
      <w:r>
        <w:rPr/>
        <w:t>Zbiór danych i przygotowanie materiału badawczego</w:t>
      </w:r>
      <w:bookmarkEnd w:id="66"/>
    </w:p>
    <w:p>
      <w:pPr>
        <w:pStyle w:val="Normal"/>
        <w:rPr/>
      </w:pPr>
      <w:r>
        <w:rPr/>
        <w:t>Do treningu oraz ewaluacji opracowanych modeli wykorzystano publicznie dostępny zbiór Skin Lesions Classification Dataset</w:t>
      </w:r>
      <w:sdt>
        <w:sdtPr>
          <w:citation/>
        </w:sdtPr>
        <w:sdtContent>
          <w:r>
            <w:rPr/>
            <w:fldChar w:fldCharType="begin"/>
          </w:r>
          <w:r>
            <w:rPr/>
            <w:instrText xml:space="preserve"> CITATION ahm23 \l 1045 </w:instrText>
          </w:r>
          <w:r>
            <w:rPr/>
            <w:fldChar w:fldCharType="separate"/>
          </w:r>
          <w:r>
            <w:rPr/>
            <w:t xml:space="preserve"> [2]</w:t>
          </w:r>
          <w:r>
            <w:rPr/>
            <w:fldChar w:fldCharType="end"/>
          </w:r>
        </w:sdtContent>
      </w:sdt>
      <w:r>
        <w:rPr/>
        <w:t>. Zbiór ten obejmuje około 29 000 obrazów dermatologicznych sklasyfikowanych w 14 kategoriach. Tak szeroki zakres klas sprawia, że zbiór obejmuje zarówno schorzenia łagodne i zakaźne, jak i zmiany o charakterze nowotworowym, co czyni zadanie klasyfikacji szczególnie wymagającym.</w:t>
      </w:r>
    </w:p>
    <w:p>
      <w:pPr>
        <w:pStyle w:val="Normal"/>
        <w:rPr/>
      </w:pPr>
      <w:r>
        <w:rPr/>
        <w:t>Istotnym wyzwaniem podczas pracy z tym zbiorem był znaczący brak równowagi klas. Najliczniej reprezentowaną kategorią są znamiona melanocytarne liczące ponad 10 000 przykładów, podczas gdy włókniak skóry zawiera jedynie 193 obrazy (</w:t>
      </w:r>
      <w:r>
        <w:rPr/>
        <w:fldChar w:fldCharType="begin"/>
      </w:r>
      <w:r>
        <w:rPr/>
        <w:instrText xml:space="preserve"> REF _Ref228207578 \h </w:instrText>
      </w:r>
      <w:r>
        <w:rPr/>
        <w:fldChar w:fldCharType="separate"/>
      </w:r>
      <w:r>
        <w:rPr/>
        <w:t>Tabela 2</w:t>
      </w:r>
      <w:r>
        <w:rPr/>
        <w:fldChar w:fldCharType="end"/>
      </w:r>
      <w:r>
        <w:rPr/>
        <w:t>). Podobna dysproporcja dotyczy również kilku innych klas, co w standardowych warunkach treningu prowadziłoby do systematycznego faworyzowania klas większościowych przez model. Aby temu przeciwdziałać, zastosowano ważone losowanie próbek za pomocą mechanizmu WeightedRandomSampler. Każdej próbce treningowej przypisano wagę odwrotnie proporcjonalną do liczebności jej klasy, dzięki czemu w kolejnych epokach model stykał się z przykładami rzadkich klas równie często jak z klasami dominującymi.</w:t>
      </w:r>
    </w:p>
    <w:p>
      <w:pPr>
        <w:pStyle w:val="Normal"/>
        <w:rPr/>
      </w:pPr>
      <w:r>
        <w:rPr/>
        <w:t>Przed przystąpieniem do treningu przeprowadzono preprocessing danych. Wszystkie obrazy zostały przeskalowane do rozmiaru 224x224 pikseli, a następnie znormalizowane z użyciem wartości średniej i odchylenia standardowego wyznaczonych na zbiorze ImageNet, co jest standardową praktyką przy stosowaniu uczenia transferowego. W celu zwiększenia różnorodności materiału treningowego i ograniczenia zjawiska przeuczenia zastosowano augmentację danych</w:t>
      </w:r>
      <w:sdt>
        <w:sdtPr>
          <w:citation/>
        </w:sdtPr>
        <w:sdtContent>
          <w:r>
            <w:rPr/>
            <w:fldChar w:fldCharType="begin"/>
          </w:r>
          <w:r>
            <w:rPr/>
            <w:instrText xml:space="preserve"> CITATION Sho19 \l 1045 </w:instrText>
          </w:r>
          <w:r>
            <w:rPr/>
            <w:fldChar w:fldCharType="separate"/>
          </w:r>
          <w:r>
            <w:rPr/>
            <w:t xml:space="preserve"> [20]</w:t>
          </w:r>
          <w:r>
            <w:rPr/>
            <w:fldChar w:fldCharType="end"/>
          </w:r>
        </w:sdtContent>
      </w:sdt>
      <w:r>
        <w:rPr/>
        <w:t xml:space="preserve">. Obejmowała ona losowe odbicia poziome i pionowe, obroty o losowy kąt do 30 stopni, a także modyfikację jasności, kontrastu i nasycenia barw za pomocą transformacji </w:t>
      </w:r>
      <w:r>
        <w:rPr/>
        <w:t>ColorJitter.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p>
    <w:p>
      <w:pPr>
        <w:pStyle w:val="Caption"/>
        <w:rPr/>
      </w:pPr>
      <w:bookmarkStart w:id="67" w:name="_Toc230629543"/>
      <w:bookmarkStart w:id="68" w:name="_Ref228207578"/>
      <w:r>
        <w:rPr/>
        <w:t xml:space="preserve">Tabela </w:t>
      </w:r>
      <w:r>
        <w:rPr/>
        <w:fldChar w:fldCharType="begin"/>
      </w:r>
      <w:r>
        <w:rPr/>
        <w:instrText xml:space="preserve"> SEQ Tabela \* ARABIC </w:instrText>
      </w:r>
      <w:r>
        <w:rPr/>
        <w:fldChar w:fldCharType="separate"/>
      </w:r>
      <w:r>
        <w:rPr/>
        <w:t>2</w:t>
      </w:r>
      <w:r>
        <w:rPr/>
        <w:fldChar w:fldCharType="end"/>
      </w:r>
      <w:bookmarkEnd w:id="68"/>
      <w:r>
        <w:rPr/>
        <w:t xml:space="preserve"> Klasy wraz z ilością zdjęć</w:t>
      </w:r>
      <w:bookmarkEnd w:id="67"/>
    </w:p>
    <w:tbl>
      <w:tblPr>
        <w:tblW w:w="9067" w:type="dxa"/>
        <w:jc w:val="start"/>
        <w:tblInd w:w="55" w:type="dxa"/>
        <w:tblLayout w:type="fixed"/>
        <w:tblCellMar>
          <w:top w:w="55" w:type="dxa"/>
          <w:start w:w="55" w:type="dxa"/>
          <w:bottom w:w="55" w:type="dxa"/>
          <w:end w:w="55" w:type="dxa"/>
        </w:tblCellMar>
        <w:tblLook w:firstRow="1" w:noVBand="1" w:lastRow="0" w:firstColumn="1" w:lastColumn="0" w:noHBand="0" w:val="04a0"/>
      </w:tblPr>
      <w:tblGrid>
        <w:gridCol w:w="505"/>
        <w:gridCol w:w="4031"/>
        <w:gridCol w:w="2266"/>
        <w:gridCol w:w="2265"/>
      </w:tblGrid>
      <w:tr>
        <w:trPr/>
        <w:tc>
          <w:tcPr>
            <w:tcW w:w="505" w:type="dxa"/>
            <w:tcBorders>
              <w:top w:val="single" w:sz="4" w:space="0" w:color="000000"/>
              <w:start w:val="single" w:sz="4" w:space="0" w:color="000000"/>
              <w:bottom w:val="single" w:sz="4" w:space="0" w:color="000000"/>
            </w:tcBorders>
          </w:tcPr>
          <w:p>
            <w:pPr>
              <w:pStyle w:val="Zawartotabeliuser"/>
              <w:ind w:hanging="0"/>
              <w:rPr/>
            </w:pPr>
            <w:r>
              <w:rPr/>
              <w:t xml:space="preserve">  </w:t>
            </w:r>
            <w:r>
              <w:rPr/>
              <w:t>#</w:t>
            </w:r>
          </w:p>
        </w:tc>
        <w:tc>
          <w:tcPr>
            <w:tcW w:w="4031" w:type="dxa"/>
            <w:tcBorders>
              <w:top w:val="single" w:sz="4" w:space="0" w:color="000000"/>
              <w:start w:val="single" w:sz="4" w:space="0" w:color="000000"/>
              <w:bottom w:val="single" w:sz="4" w:space="0" w:color="000000"/>
            </w:tcBorders>
          </w:tcPr>
          <w:p>
            <w:pPr>
              <w:pStyle w:val="Zawartotabeliuser"/>
              <w:ind w:hanging="0"/>
              <w:rPr/>
            </w:pPr>
            <w:r>
              <w:rPr/>
              <w:t>Nazwa polska</w:t>
            </w:r>
          </w:p>
        </w:tc>
        <w:tc>
          <w:tcPr>
            <w:tcW w:w="2266" w:type="dxa"/>
            <w:tcBorders>
              <w:top w:val="single" w:sz="4" w:space="0" w:color="000000"/>
              <w:start w:val="single" w:sz="4" w:space="0" w:color="000000"/>
              <w:bottom w:val="single" w:sz="4" w:space="0" w:color="000000"/>
            </w:tcBorders>
          </w:tcPr>
          <w:p>
            <w:pPr>
              <w:pStyle w:val="Zawartotabeliuser"/>
              <w:ind w:hanging="0"/>
              <w:jc w:val="start"/>
              <w:rPr/>
            </w:pPr>
            <w:r>
              <w:rPr/>
              <w:t>Nazwa angielska (oryginalna</w:t>
            </w:r>
            <w:r>
              <w:rPr/>
              <w:t>)</w:t>
            </w:r>
          </w:p>
        </w:tc>
        <w:tc>
          <w:tcPr>
            <w:tcW w:w="2265" w:type="dxa"/>
            <w:tcBorders>
              <w:top w:val="single" w:sz="4" w:space="0" w:color="000000"/>
              <w:start w:val="single" w:sz="4" w:space="0" w:color="000000"/>
              <w:bottom w:val="single" w:sz="4" w:space="0" w:color="000000"/>
              <w:end w:val="single" w:sz="4" w:space="0" w:color="000000"/>
            </w:tcBorders>
          </w:tcPr>
          <w:p>
            <w:pPr>
              <w:pStyle w:val="Zawartotabeliuser"/>
              <w:ind w:hanging="0"/>
              <w:rPr/>
            </w:pPr>
            <w:r>
              <w:rPr/>
              <w:t>Liczba obrazów</w:t>
            </w:r>
          </w:p>
        </w:tc>
      </w:tr>
      <w:tr>
        <w:trPr/>
        <w:tc>
          <w:tcPr>
            <w:tcW w:w="505" w:type="dxa"/>
            <w:tcBorders>
              <w:start w:val="single" w:sz="4" w:space="0" w:color="000000"/>
              <w:bottom w:val="single" w:sz="4" w:space="0" w:color="000000"/>
            </w:tcBorders>
          </w:tcPr>
          <w:p>
            <w:pPr>
              <w:pStyle w:val="Zawartotabeliuser"/>
              <w:ind w:hanging="0"/>
              <w:jc w:val="center"/>
              <w:rPr/>
            </w:pPr>
            <w:r>
              <w:rPr/>
              <w:t>1</w:t>
            </w:r>
          </w:p>
        </w:tc>
        <w:tc>
          <w:tcPr>
            <w:tcW w:w="4031" w:type="dxa"/>
            <w:tcBorders>
              <w:start w:val="single" w:sz="4" w:space="0" w:color="000000"/>
              <w:bottom w:val="single" w:sz="4" w:space="0" w:color="000000"/>
            </w:tcBorders>
          </w:tcPr>
          <w:p>
            <w:pPr>
              <w:pStyle w:val="Zawartotabeliuser"/>
              <w:ind w:hanging="0"/>
              <w:rPr/>
            </w:pPr>
            <w:r>
              <w:rPr/>
              <w:t>Znamiona melanocytarne</w:t>
            </w:r>
          </w:p>
        </w:tc>
        <w:tc>
          <w:tcPr>
            <w:tcW w:w="2266" w:type="dxa"/>
            <w:tcBorders>
              <w:start w:val="single" w:sz="4" w:space="0" w:color="000000"/>
              <w:bottom w:val="single" w:sz="4" w:space="0" w:color="000000"/>
            </w:tcBorders>
          </w:tcPr>
          <w:p>
            <w:pPr>
              <w:pStyle w:val="Zawartotabeliuser"/>
              <w:ind w:hanging="0"/>
              <w:rPr/>
            </w:pPr>
            <w:r>
              <w:rPr/>
              <w:t>Melanocytic nevi</w:t>
            </w:r>
          </w:p>
        </w:tc>
        <w:tc>
          <w:tcPr>
            <w:tcW w:w="2265" w:type="dxa"/>
            <w:tcBorders>
              <w:start w:val="single" w:sz="4" w:space="0" w:color="000000"/>
              <w:bottom w:val="single" w:sz="4" w:space="0" w:color="000000"/>
              <w:end w:val="single" w:sz="4" w:space="0" w:color="000000"/>
            </w:tcBorders>
          </w:tcPr>
          <w:p>
            <w:pPr>
              <w:pStyle w:val="Zawartotabeliuser"/>
              <w:ind w:hanging="0"/>
              <w:rPr/>
            </w:pPr>
            <w:r>
              <w:rPr/>
              <w:t>10 300</w:t>
            </w:r>
          </w:p>
        </w:tc>
      </w:tr>
      <w:tr>
        <w:trPr/>
        <w:tc>
          <w:tcPr>
            <w:tcW w:w="505" w:type="dxa"/>
            <w:tcBorders>
              <w:start w:val="single" w:sz="4" w:space="0" w:color="000000"/>
              <w:bottom w:val="single" w:sz="4" w:space="0" w:color="000000"/>
            </w:tcBorders>
          </w:tcPr>
          <w:p>
            <w:pPr>
              <w:pStyle w:val="Zawartotabeliuser"/>
              <w:ind w:hanging="0"/>
              <w:jc w:val="center"/>
              <w:rPr/>
            </w:pPr>
            <w:r>
              <w:rPr/>
              <w:t>2</w:t>
            </w:r>
          </w:p>
        </w:tc>
        <w:tc>
          <w:tcPr>
            <w:tcW w:w="4031" w:type="dxa"/>
            <w:tcBorders>
              <w:start w:val="single" w:sz="4" w:space="0" w:color="000000"/>
              <w:bottom w:val="single" w:sz="4" w:space="0" w:color="000000"/>
            </w:tcBorders>
          </w:tcPr>
          <w:p>
            <w:pPr>
              <w:pStyle w:val="Zawartotabeliuser"/>
              <w:ind w:hanging="0"/>
              <w:rPr/>
            </w:pPr>
            <w:r>
              <w:rPr/>
              <w:t>Czerniak złośliwy</w:t>
            </w:r>
          </w:p>
        </w:tc>
        <w:tc>
          <w:tcPr>
            <w:tcW w:w="2266" w:type="dxa"/>
            <w:tcBorders>
              <w:start w:val="single" w:sz="4" w:space="0" w:color="000000"/>
              <w:bottom w:val="single" w:sz="4" w:space="0" w:color="000000"/>
            </w:tcBorders>
          </w:tcPr>
          <w:p>
            <w:pPr>
              <w:pStyle w:val="Zawartotabeliuser"/>
              <w:ind w:hanging="0"/>
              <w:rPr>
                <w:color w:val="000000"/>
                <w:szCs w:val="24"/>
              </w:rPr>
            </w:pPr>
            <w:r>
              <w:rPr>
                <w:color w:val="000000"/>
                <w:szCs w:val="24"/>
              </w:rPr>
              <w:t>Melanoma</w:t>
            </w:r>
          </w:p>
        </w:tc>
        <w:tc>
          <w:tcPr>
            <w:tcW w:w="2265" w:type="dxa"/>
            <w:tcBorders>
              <w:start w:val="single" w:sz="4" w:space="0" w:color="000000"/>
              <w:bottom w:val="single" w:sz="4" w:space="0" w:color="000000"/>
              <w:end w:val="single" w:sz="4" w:space="0" w:color="000000"/>
            </w:tcBorders>
          </w:tcPr>
          <w:p>
            <w:pPr>
              <w:pStyle w:val="Zawartotabeliuser"/>
              <w:ind w:hanging="0"/>
              <w:rPr/>
            </w:pPr>
            <w:r>
              <w:rPr/>
              <w:t>3617</w:t>
            </w:r>
          </w:p>
        </w:tc>
      </w:tr>
      <w:tr>
        <w:trPr/>
        <w:tc>
          <w:tcPr>
            <w:tcW w:w="505" w:type="dxa"/>
            <w:tcBorders>
              <w:start w:val="single" w:sz="4" w:space="0" w:color="000000"/>
              <w:bottom w:val="single" w:sz="4" w:space="0" w:color="000000"/>
            </w:tcBorders>
          </w:tcPr>
          <w:p>
            <w:pPr>
              <w:pStyle w:val="Zawartotabeliuser"/>
              <w:ind w:hanging="0"/>
              <w:jc w:val="center"/>
              <w:rPr/>
            </w:pPr>
            <w:r>
              <w:rPr/>
              <w:t>3</w:t>
            </w:r>
          </w:p>
        </w:tc>
        <w:tc>
          <w:tcPr>
            <w:tcW w:w="4031" w:type="dxa"/>
            <w:tcBorders>
              <w:start w:val="single" w:sz="4" w:space="0" w:color="000000"/>
              <w:bottom w:val="single" w:sz="4" w:space="0" w:color="000000"/>
            </w:tcBorders>
          </w:tcPr>
          <w:p>
            <w:pPr>
              <w:pStyle w:val="Zawartotabeliuser"/>
              <w:ind w:hanging="0"/>
              <w:rPr/>
            </w:pPr>
            <w:r>
              <w:rPr/>
              <w:t>Małpia ospa</w:t>
            </w:r>
          </w:p>
        </w:tc>
        <w:tc>
          <w:tcPr>
            <w:tcW w:w="2266" w:type="dxa"/>
            <w:tcBorders>
              <w:start w:val="single" w:sz="4" w:space="0" w:color="000000"/>
              <w:bottom w:val="single" w:sz="4" w:space="0" w:color="000000"/>
            </w:tcBorders>
          </w:tcPr>
          <w:p>
            <w:pPr>
              <w:pStyle w:val="Zawartotabeliuser"/>
              <w:ind w:hanging="0"/>
              <w:rPr/>
            </w:pPr>
            <w:r>
              <w:rPr/>
              <w:t>Monkeypox</w:t>
            </w:r>
          </w:p>
        </w:tc>
        <w:tc>
          <w:tcPr>
            <w:tcW w:w="2265" w:type="dxa"/>
            <w:tcBorders>
              <w:start w:val="single" w:sz="4" w:space="0" w:color="000000"/>
              <w:bottom w:val="single" w:sz="4" w:space="0" w:color="000000"/>
              <w:end w:val="single" w:sz="4" w:space="0" w:color="000000"/>
            </w:tcBorders>
          </w:tcPr>
          <w:p>
            <w:pPr>
              <w:pStyle w:val="Zawartotabeliuser"/>
              <w:ind w:hanging="0"/>
              <w:rPr/>
            </w:pPr>
            <w:r>
              <w:rPr/>
              <w:t>3408</w:t>
            </w:r>
          </w:p>
        </w:tc>
      </w:tr>
      <w:tr>
        <w:trPr/>
        <w:tc>
          <w:tcPr>
            <w:tcW w:w="505" w:type="dxa"/>
            <w:tcBorders>
              <w:start w:val="single" w:sz="4" w:space="0" w:color="000000"/>
              <w:bottom w:val="single" w:sz="4" w:space="0" w:color="000000"/>
            </w:tcBorders>
          </w:tcPr>
          <w:p>
            <w:pPr>
              <w:pStyle w:val="Zawartotabeliuser"/>
              <w:ind w:hanging="0"/>
              <w:jc w:val="center"/>
              <w:rPr/>
            </w:pPr>
            <w:r>
              <w:rPr/>
              <w:t>4</w:t>
            </w:r>
          </w:p>
        </w:tc>
        <w:tc>
          <w:tcPr>
            <w:tcW w:w="4031" w:type="dxa"/>
            <w:tcBorders>
              <w:start w:val="single" w:sz="4" w:space="0" w:color="000000"/>
              <w:bottom w:val="single" w:sz="4" w:space="0" w:color="000000"/>
            </w:tcBorders>
          </w:tcPr>
          <w:p>
            <w:pPr>
              <w:pStyle w:val="Zawartotabeliuser"/>
              <w:ind w:hanging="0"/>
              <w:rPr/>
            </w:pPr>
            <w:r>
              <w:rPr/>
              <w:t>Rak podstawnokomórkowy</w:t>
            </w:r>
          </w:p>
        </w:tc>
        <w:tc>
          <w:tcPr>
            <w:tcW w:w="2266" w:type="dxa"/>
            <w:tcBorders>
              <w:start w:val="single" w:sz="4" w:space="0" w:color="000000"/>
              <w:bottom w:val="single" w:sz="4" w:space="0" w:color="000000"/>
            </w:tcBorders>
          </w:tcPr>
          <w:p>
            <w:pPr>
              <w:pStyle w:val="Zawartotabeliuser"/>
              <w:ind w:hanging="0"/>
              <w:rPr/>
            </w:pPr>
            <w:r>
              <w:rPr/>
              <w:t>Basal cell carcinoma</w:t>
            </w:r>
          </w:p>
        </w:tc>
        <w:tc>
          <w:tcPr>
            <w:tcW w:w="2265" w:type="dxa"/>
            <w:tcBorders>
              <w:start w:val="single" w:sz="4" w:space="0" w:color="000000"/>
              <w:bottom w:val="single" w:sz="4" w:space="0" w:color="000000"/>
              <w:end w:val="single" w:sz="4" w:space="0" w:color="000000"/>
            </w:tcBorders>
          </w:tcPr>
          <w:p>
            <w:pPr>
              <w:pStyle w:val="Zawartotabeliuser"/>
              <w:ind w:hanging="0"/>
              <w:rPr/>
            </w:pPr>
            <w:r>
              <w:rPr/>
              <w:t>2658</w:t>
            </w:r>
          </w:p>
        </w:tc>
      </w:tr>
      <w:tr>
        <w:trPr/>
        <w:tc>
          <w:tcPr>
            <w:tcW w:w="505" w:type="dxa"/>
            <w:tcBorders>
              <w:start w:val="single" w:sz="4" w:space="0" w:color="000000"/>
              <w:bottom w:val="single" w:sz="4" w:space="0" w:color="000000"/>
            </w:tcBorders>
          </w:tcPr>
          <w:p>
            <w:pPr>
              <w:pStyle w:val="Zawartotabeliuser"/>
              <w:ind w:hanging="0"/>
              <w:jc w:val="center"/>
              <w:rPr/>
            </w:pPr>
            <w:r>
              <w:rPr/>
              <w:t>5</w:t>
            </w:r>
          </w:p>
        </w:tc>
        <w:tc>
          <w:tcPr>
            <w:tcW w:w="4031" w:type="dxa"/>
            <w:tcBorders>
              <w:start w:val="single" w:sz="4" w:space="0" w:color="000000"/>
              <w:bottom w:val="single" w:sz="4" w:space="0" w:color="000000"/>
            </w:tcBorders>
          </w:tcPr>
          <w:p>
            <w:pPr>
              <w:pStyle w:val="Zawartotabeliuser"/>
              <w:ind w:hanging="0"/>
              <w:rPr/>
            </w:pPr>
            <w:r>
              <w:rPr/>
              <w:t>Łagodne zmiany rogowaciejące</w:t>
            </w:r>
          </w:p>
        </w:tc>
        <w:tc>
          <w:tcPr>
            <w:tcW w:w="2266" w:type="dxa"/>
            <w:tcBorders>
              <w:start w:val="single" w:sz="4" w:space="0" w:color="000000"/>
              <w:bottom w:val="single" w:sz="4" w:space="0" w:color="000000"/>
            </w:tcBorders>
          </w:tcPr>
          <w:p>
            <w:pPr>
              <w:pStyle w:val="Zawartotabeliuser"/>
              <w:ind w:hanging="0"/>
              <w:rPr/>
            </w:pPr>
            <w:r>
              <w:rPr/>
              <w:t>Benign keratosis-like lesions</w:t>
            </w:r>
          </w:p>
        </w:tc>
        <w:tc>
          <w:tcPr>
            <w:tcW w:w="2265" w:type="dxa"/>
            <w:tcBorders>
              <w:start w:val="single" w:sz="4" w:space="0" w:color="000000"/>
              <w:bottom w:val="single" w:sz="4" w:space="0" w:color="000000"/>
              <w:end w:val="single" w:sz="4" w:space="0" w:color="000000"/>
            </w:tcBorders>
          </w:tcPr>
          <w:p>
            <w:pPr>
              <w:pStyle w:val="Zawartotabeliuser"/>
              <w:ind w:hanging="0"/>
              <w:rPr/>
            </w:pPr>
            <w:r>
              <w:rPr/>
              <w:t>2099</w:t>
            </w:r>
          </w:p>
        </w:tc>
      </w:tr>
      <w:tr>
        <w:trPr/>
        <w:tc>
          <w:tcPr>
            <w:tcW w:w="505" w:type="dxa"/>
            <w:tcBorders>
              <w:start w:val="single" w:sz="4" w:space="0" w:color="000000"/>
              <w:bottom w:val="single" w:sz="4" w:space="0" w:color="000000"/>
            </w:tcBorders>
          </w:tcPr>
          <w:p>
            <w:pPr>
              <w:pStyle w:val="Zawartotabeliuser"/>
              <w:ind w:hanging="0"/>
              <w:jc w:val="center"/>
              <w:rPr/>
            </w:pPr>
            <w:r>
              <w:rPr/>
              <w:t>6</w:t>
            </w:r>
          </w:p>
        </w:tc>
        <w:tc>
          <w:tcPr>
            <w:tcW w:w="4031" w:type="dxa"/>
            <w:tcBorders>
              <w:start w:val="single" w:sz="4" w:space="0" w:color="000000"/>
              <w:bottom w:val="single" w:sz="4" w:space="0" w:color="000000"/>
            </w:tcBorders>
          </w:tcPr>
          <w:p>
            <w:pPr>
              <w:pStyle w:val="Zawartotabeliuser"/>
              <w:ind w:hanging="0"/>
              <w:rPr/>
            </w:pPr>
            <w:r>
              <w:rPr/>
              <w:t>Choroba dłoni, stóp i ust</w:t>
            </w:r>
          </w:p>
        </w:tc>
        <w:tc>
          <w:tcPr>
            <w:tcW w:w="2266" w:type="dxa"/>
            <w:tcBorders>
              <w:start w:val="single" w:sz="4" w:space="0" w:color="000000"/>
              <w:bottom w:val="single" w:sz="4" w:space="0" w:color="000000"/>
            </w:tcBorders>
          </w:tcPr>
          <w:p>
            <w:pPr>
              <w:pStyle w:val="Zawartotabeliuser"/>
              <w:ind w:hanging="0"/>
              <w:rPr/>
            </w:pPr>
            <w:r>
              <w:rPr/>
              <w:t>HFMD</w:t>
            </w:r>
          </w:p>
        </w:tc>
        <w:tc>
          <w:tcPr>
            <w:tcW w:w="2265" w:type="dxa"/>
            <w:tcBorders>
              <w:start w:val="single" w:sz="4" w:space="0" w:color="000000"/>
              <w:bottom w:val="single" w:sz="4" w:space="0" w:color="000000"/>
              <w:end w:val="single" w:sz="4" w:space="0" w:color="000000"/>
            </w:tcBorders>
          </w:tcPr>
          <w:p>
            <w:pPr>
              <w:pStyle w:val="Zawartotabeliuser"/>
              <w:ind w:hanging="0"/>
              <w:rPr/>
            </w:pPr>
            <w:r>
              <w:rPr/>
              <w:t>1932</w:t>
            </w:r>
          </w:p>
        </w:tc>
      </w:tr>
      <w:tr>
        <w:trPr/>
        <w:tc>
          <w:tcPr>
            <w:tcW w:w="505" w:type="dxa"/>
            <w:tcBorders>
              <w:start w:val="single" w:sz="4" w:space="0" w:color="000000"/>
              <w:bottom w:val="single" w:sz="4" w:space="0" w:color="000000"/>
            </w:tcBorders>
          </w:tcPr>
          <w:p>
            <w:pPr>
              <w:pStyle w:val="Zawartotabeliuser"/>
              <w:ind w:hanging="0"/>
              <w:jc w:val="center"/>
              <w:rPr/>
            </w:pPr>
            <w:r>
              <w:rPr/>
              <w:t>7</w:t>
            </w:r>
          </w:p>
        </w:tc>
        <w:tc>
          <w:tcPr>
            <w:tcW w:w="4031" w:type="dxa"/>
            <w:tcBorders>
              <w:start w:val="single" w:sz="4" w:space="0" w:color="000000"/>
              <w:bottom w:val="single" w:sz="4" w:space="0" w:color="000000"/>
            </w:tcBorders>
          </w:tcPr>
          <w:p>
            <w:pPr>
              <w:pStyle w:val="Zawartotabeliuser"/>
              <w:ind w:hanging="0"/>
              <w:rPr/>
            </w:pPr>
            <w:r>
              <w:rPr/>
              <w:t>Skóra zdrowa</w:t>
            </w:r>
          </w:p>
        </w:tc>
        <w:tc>
          <w:tcPr>
            <w:tcW w:w="2266" w:type="dxa"/>
            <w:tcBorders>
              <w:start w:val="single" w:sz="4" w:space="0" w:color="000000"/>
              <w:bottom w:val="single" w:sz="4" w:space="0" w:color="000000"/>
            </w:tcBorders>
          </w:tcPr>
          <w:p>
            <w:pPr>
              <w:pStyle w:val="Zawartotabeliuser"/>
              <w:ind w:hanging="0"/>
              <w:rPr/>
            </w:pPr>
            <w:r>
              <w:rPr/>
              <w:t>Healthy</w:t>
            </w:r>
          </w:p>
        </w:tc>
        <w:tc>
          <w:tcPr>
            <w:tcW w:w="2265" w:type="dxa"/>
            <w:tcBorders>
              <w:start w:val="single" w:sz="4" w:space="0" w:color="000000"/>
              <w:bottom w:val="single" w:sz="4" w:space="0" w:color="000000"/>
              <w:end w:val="single" w:sz="4" w:space="0" w:color="000000"/>
            </w:tcBorders>
          </w:tcPr>
          <w:p>
            <w:pPr>
              <w:pStyle w:val="Zawartotabeliuser"/>
              <w:ind w:hanging="0"/>
              <w:rPr/>
            </w:pPr>
            <w:r>
              <w:rPr/>
              <w:t>1368</w:t>
            </w:r>
          </w:p>
        </w:tc>
      </w:tr>
      <w:tr>
        <w:trPr/>
        <w:tc>
          <w:tcPr>
            <w:tcW w:w="505" w:type="dxa"/>
            <w:tcBorders>
              <w:start w:val="single" w:sz="4" w:space="0" w:color="000000"/>
              <w:bottom w:val="single" w:sz="4" w:space="0" w:color="000000"/>
            </w:tcBorders>
          </w:tcPr>
          <w:p>
            <w:pPr>
              <w:pStyle w:val="Zawartotabeliuser"/>
              <w:ind w:hanging="0"/>
              <w:jc w:val="center"/>
              <w:rPr/>
            </w:pPr>
            <w:r>
              <w:rPr/>
              <w:t>8</w:t>
            </w:r>
          </w:p>
        </w:tc>
        <w:tc>
          <w:tcPr>
            <w:tcW w:w="4031" w:type="dxa"/>
            <w:tcBorders>
              <w:start w:val="single" w:sz="4" w:space="0" w:color="000000"/>
              <w:bottom w:val="single" w:sz="4" w:space="0" w:color="000000"/>
            </w:tcBorders>
          </w:tcPr>
          <w:p>
            <w:pPr>
              <w:pStyle w:val="Zawartotabeliuser"/>
              <w:ind w:hanging="0"/>
              <w:rPr/>
            </w:pPr>
            <w:r>
              <w:rPr/>
              <w:t>Ospa wietrzna</w:t>
            </w:r>
          </w:p>
        </w:tc>
        <w:tc>
          <w:tcPr>
            <w:tcW w:w="2266" w:type="dxa"/>
            <w:tcBorders>
              <w:start w:val="single" w:sz="4" w:space="0" w:color="000000"/>
              <w:bottom w:val="single" w:sz="4" w:space="0" w:color="000000"/>
            </w:tcBorders>
          </w:tcPr>
          <w:p>
            <w:pPr>
              <w:pStyle w:val="Zawartotabeliuser"/>
              <w:ind w:hanging="0"/>
              <w:rPr/>
            </w:pPr>
            <w:r>
              <w:rPr/>
              <w:t>Chickenpox</w:t>
            </w:r>
          </w:p>
        </w:tc>
        <w:tc>
          <w:tcPr>
            <w:tcW w:w="2265" w:type="dxa"/>
            <w:tcBorders>
              <w:start w:val="single" w:sz="4" w:space="0" w:color="000000"/>
              <w:bottom w:val="single" w:sz="4" w:space="0" w:color="000000"/>
              <w:end w:val="single" w:sz="4" w:space="0" w:color="000000"/>
            </w:tcBorders>
          </w:tcPr>
          <w:p>
            <w:pPr>
              <w:pStyle w:val="Zawartotabeliuser"/>
              <w:ind w:hanging="0"/>
              <w:rPr/>
            </w:pPr>
            <w:r>
              <w:rPr/>
              <w:t>900</w:t>
            </w:r>
          </w:p>
        </w:tc>
      </w:tr>
      <w:tr>
        <w:trPr/>
        <w:tc>
          <w:tcPr>
            <w:tcW w:w="505" w:type="dxa"/>
            <w:tcBorders>
              <w:start w:val="single" w:sz="4" w:space="0" w:color="000000"/>
              <w:bottom w:val="single" w:sz="4" w:space="0" w:color="000000"/>
            </w:tcBorders>
          </w:tcPr>
          <w:p>
            <w:pPr>
              <w:pStyle w:val="Zawartotabeliuser"/>
              <w:ind w:hanging="0"/>
              <w:jc w:val="center"/>
              <w:rPr/>
            </w:pPr>
            <w:r>
              <w:rPr/>
              <w:t>9</w:t>
            </w:r>
          </w:p>
        </w:tc>
        <w:tc>
          <w:tcPr>
            <w:tcW w:w="4031" w:type="dxa"/>
            <w:tcBorders>
              <w:start w:val="single" w:sz="4" w:space="0" w:color="000000"/>
              <w:bottom w:val="single" w:sz="4" w:space="0" w:color="000000"/>
            </w:tcBorders>
          </w:tcPr>
          <w:p>
            <w:pPr>
              <w:pStyle w:val="Zawartotabeliuser"/>
              <w:ind w:hanging="0"/>
              <w:rPr/>
            </w:pPr>
            <w:r>
              <w:rPr/>
              <w:t>Krowianka</w:t>
            </w:r>
          </w:p>
        </w:tc>
        <w:tc>
          <w:tcPr>
            <w:tcW w:w="2266" w:type="dxa"/>
            <w:tcBorders>
              <w:start w:val="single" w:sz="4" w:space="0" w:color="000000"/>
              <w:bottom w:val="single" w:sz="4" w:space="0" w:color="000000"/>
            </w:tcBorders>
          </w:tcPr>
          <w:p>
            <w:pPr>
              <w:pStyle w:val="Zawartotabeliuser"/>
              <w:ind w:hanging="0"/>
              <w:rPr/>
            </w:pPr>
            <w:r>
              <w:rPr/>
              <w:t>Cowpox</w:t>
            </w:r>
          </w:p>
        </w:tc>
        <w:tc>
          <w:tcPr>
            <w:tcW w:w="2265" w:type="dxa"/>
            <w:tcBorders>
              <w:start w:val="single" w:sz="4" w:space="0" w:color="000000"/>
              <w:bottom w:val="single" w:sz="4" w:space="0" w:color="000000"/>
              <w:end w:val="single" w:sz="4" w:space="0" w:color="000000"/>
            </w:tcBorders>
          </w:tcPr>
          <w:p>
            <w:pPr>
              <w:pStyle w:val="Zawartotabeliuser"/>
              <w:ind w:hanging="0"/>
              <w:rPr/>
            </w:pPr>
            <w:r>
              <w:rPr/>
              <w:t>792</w:t>
            </w:r>
          </w:p>
        </w:tc>
      </w:tr>
      <w:tr>
        <w:trPr/>
        <w:tc>
          <w:tcPr>
            <w:tcW w:w="505" w:type="dxa"/>
            <w:tcBorders>
              <w:start w:val="single" w:sz="4" w:space="0" w:color="000000"/>
              <w:bottom w:val="single" w:sz="4" w:space="0" w:color="000000"/>
            </w:tcBorders>
          </w:tcPr>
          <w:p>
            <w:pPr>
              <w:pStyle w:val="Zawartotabeliuser"/>
              <w:ind w:hanging="0"/>
              <w:jc w:val="center"/>
              <w:rPr/>
            </w:pPr>
            <w:r>
              <w:rPr/>
              <w:t>10</w:t>
            </w:r>
          </w:p>
        </w:tc>
        <w:tc>
          <w:tcPr>
            <w:tcW w:w="4031" w:type="dxa"/>
            <w:tcBorders>
              <w:start w:val="single" w:sz="4" w:space="0" w:color="000000"/>
              <w:bottom w:val="single" w:sz="4" w:space="0" w:color="000000"/>
            </w:tcBorders>
          </w:tcPr>
          <w:p>
            <w:pPr>
              <w:pStyle w:val="Zawartotabeliuser"/>
              <w:ind w:hanging="0"/>
              <w:rPr/>
            </w:pPr>
            <w:r>
              <w:rPr/>
              <w:t>Rogowacenie słoneczne</w:t>
            </w:r>
          </w:p>
        </w:tc>
        <w:tc>
          <w:tcPr>
            <w:tcW w:w="2266" w:type="dxa"/>
            <w:tcBorders>
              <w:start w:val="single" w:sz="4" w:space="0" w:color="000000"/>
              <w:bottom w:val="single" w:sz="4" w:space="0" w:color="000000"/>
            </w:tcBorders>
          </w:tcPr>
          <w:p>
            <w:pPr>
              <w:pStyle w:val="Zawartotabeliuser"/>
              <w:ind w:hanging="0"/>
              <w:rPr/>
            </w:pPr>
            <w:r>
              <w:rPr/>
              <w:t>Actinic keratoses</w:t>
            </w:r>
          </w:p>
        </w:tc>
        <w:tc>
          <w:tcPr>
            <w:tcW w:w="2265" w:type="dxa"/>
            <w:tcBorders>
              <w:start w:val="single" w:sz="4" w:space="0" w:color="000000"/>
              <w:bottom w:val="single" w:sz="4" w:space="0" w:color="000000"/>
              <w:end w:val="single" w:sz="4" w:space="0" w:color="000000"/>
            </w:tcBorders>
          </w:tcPr>
          <w:p>
            <w:pPr>
              <w:pStyle w:val="Zawartotabeliuser"/>
              <w:ind w:hanging="0"/>
              <w:rPr/>
            </w:pPr>
            <w:r>
              <w:rPr/>
              <w:t>693</w:t>
            </w:r>
          </w:p>
        </w:tc>
      </w:tr>
      <w:tr>
        <w:trPr/>
        <w:tc>
          <w:tcPr>
            <w:tcW w:w="505" w:type="dxa"/>
            <w:tcBorders>
              <w:start w:val="single" w:sz="4" w:space="0" w:color="000000"/>
              <w:bottom w:val="single" w:sz="4" w:space="0" w:color="000000"/>
            </w:tcBorders>
          </w:tcPr>
          <w:p>
            <w:pPr>
              <w:pStyle w:val="Zawartotabeliuser"/>
              <w:ind w:hanging="0"/>
              <w:jc w:val="center"/>
              <w:rPr/>
            </w:pPr>
            <w:r>
              <w:rPr/>
              <w:t>11</w:t>
            </w:r>
          </w:p>
        </w:tc>
        <w:tc>
          <w:tcPr>
            <w:tcW w:w="4031" w:type="dxa"/>
            <w:tcBorders>
              <w:start w:val="single" w:sz="4" w:space="0" w:color="000000"/>
              <w:bottom w:val="single" w:sz="4" w:space="0" w:color="000000"/>
            </w:tcBorders>
          </w:tcPr>
          <w:p>
            <w:pPr>
              <w:pStyle w:val="Zawartotabeliuser"/>
              <w:ind w:hanging="0"/>
              <w:rPr/>
            </w:pPr>
            <w:r>
              <w:rPr/>
              <w:t>Odra</w:t>
            </w:r>
          </w:p>
        </w:tc>
        <w:tc>
          <w:tcPr>
            <w:tcW w:w="2266" w:type="dxa"/>
            <w:tcBorders>
              <w:start w:val="single" w:sz="4" w:space="0" w:color="000000"/>
              <w:bottom w:val="single" w:sz="4" w:space="0" w:color="000000"/>
            </w:tcBorders>
          </w:tcPr>
          <w:p>
            <w:pPr>
              <w:pStyle w:val="Zawartotabeliuser"/>
              <w:ind w:hanging="0"/>
              <w:rPr/>
            </w:pPr>
            <w:r>
              <w:rPr/>
              <w:t>Measles</w:t>
            </w:r>
          </w:p>
        </w:tc>
        <w:tc>
          <w:tcPr>
            <w:tcW w:w="2265" w:type="dxa"/>
            <w:tcBorders>
              <w:start w:val="single" w:sz="4" w:space="0" w:color="000000"/>
              <w:bottom w:val="single" w:sz="4" w:space="0" w:color="000000"/>
              <w:end w:val="single" w:sz="4" w:space="0" w:color="000000"/>
            </w:tcBorders>
          </w:tcPr>
          <w:p>
            <w:pPr>
              <w:pStyle w:val="Zawartotabeliuser"/>
              <w:ind w:hanging="0"/>
              <w:rPr/>
            </w:pPr>
            <w:r>
              <w:rPr/>
              <w:t>660</w:t>
            </w:r>
          </w:p>
        </w:tc>
      </w:tr>
      <w:tr>
        <w:trPr/>
        <w:tc>
          <w:tcPr>
            <w:tcW w:w="505" w:type="dxa"/>
            <w:tcBorders>
              <w:start w:val="single" w:sz="4" w:space="0" w:color="000000"/>
              <w:bottom w:val="single" w:sz="4" w:space="0" w:color="000000"/>
            </w:tcBorders>
          </w:tcPr>
          <w:p>
            <w:pPr>
              <w:pStyle w:val="Zawartotabeliuser"/>
              <w:ind w:hanging="0"/>
              <w:jc w:val="center"/>
              <w:rPr/>
            </w:pPr>
            <w:r>
              <w:rPr/>
              <w:t>12</w:t>
            </w:r>
          </w:p>
        </w:tc>
        <w:tc>
          <w:tcPr>
            <w:tcW w:w="4031" w:type="dxa"/>
            <w:tcBorders>
              <w:start w:val="single" w:sz="4" w:space="0" w:color="000000"/>
              <w:bottom w:val="single" w:sz="4" w:space="0" w:color="000000"/>
            </w:tcBorders>
          </w:tcPr>
          <w:p>
            <w:pPr>
              <w:pStyle w:val="Zawartotabeliuser"/>
              <w:ind w:hanging="0"/>
              <w:rPr/>
            </w:pPr>
            <w:r>
              <w:rPr/>
              <w:t>Rak płaskonabłonkowy</w:t>
            </w:r>
          </w:p>
        </w:tc>
        <w:tc>
          <w:tcPr>
            <w:tcW w:w="2266" w:type="dxa"/>
            <w:tcBorders>
              <w:start w:val="single" w:sz="4" w:space="0" w:color="000000"/>
              <w:bottom w:val="single" w:sz="4" w:space="0" w:color="000000"/>
            </w:tcBorders>
          </w:tcPr>
          <w:p>
            <w:pPr>
              <w:pStyle w:val="Zawartotabeliuser"/>
              <w:ind w:hanging="0"/>
              <w:rPr/>
            </w:pPr>
            <w:r>
              <w:rPr/>
              <w:t>Squamous cell carcinoma</w:t>
            </w:r>
          </w:p>
        </w:tc>
        <w:tc>
          <w:tcPr>
            <w:tcW w:w="2265" w:type="dxa"/>
            <w:tcBorders>
              <w:start w:val="single" w:sz="4" w:space="0" w:color="000000"/>
              <w:bottom w:val="single" w:sz="4" w:space="0" w:color="000000"/>
              <w:end w:val="single" w:sz="4" w:space="0" w:color="000000"/>
            </w:tcBorders>
          </w:tcPr>
          <w:p>
            <w:pPr>
              <w:pStyle w:val="Zawartotabeliuser"/>
              <w:ind w:hanging="0"/>
              <w:rPr/>
            </w:pPr>
            <w:r>
              <w:rPr/>
              <w:t>502</w:t>
            </w:r>
          </w:p>
        </w:tc>
      </w:tr>
      <w:tr>
        <w:trPr>
          <w:trHeight w:val="548" w:hRule="atLeast"/>
        </w:trPr>
        <w:tc>
          <w:tcPr>
            <w:tcW w:w="505" w:type="dxa"/>
            <w:tcBorders>
              <w:start w:val="single" w:sz="4" w:space="0" w:color="000000"/>
              <w:bottom w:val="single" w:sz="4" w:space="0" w:color="000000"/>
            </w:tcBorders>
          </w:tcPr>
          <w:p>
            <w:pPr>
              <w:pStyle w:val="Zawartotabeliuser"/>
              <w:ind w:hanging="0"/>
              <w:jc w:val="center"/>
              <w:rPr/>
            </w:pPr>
            <w:r>
              <w:rPr/>
              <w:t>13</w:t>
            </w:r>
          </w:p>
        </w:tc>
        <w:tc>
          <w:tcPr>
            <w:tcW w:w="4031" w:type="dxa"/>
            <w:tcBorders>
              <w:start w:val="single" w:sz="4" w:space="0" w:color="000000"/>
              <w:bottom w:val="single" w:sz="4" w:space="0" w:color="000000"/>
            </w:tcBorders>
          </w:tcPr>
          <w:p>
            <w:pPr>
              <w:pStyle w:val="Zawartotabeliuser"/>
              <w:ind w:hanging="0"/>
              <w:rPr/>
            </w:pPr>
            <w:r>
              <w:rPr/>
              <w:t>Zmiany naczyniowe</w:t>
            </w:r>
          </w:p>
        </w:tc>
        <w:tc>
          <w:tcPr>
            <w:tcW w:w="2266" w:type="dxa"/>
            <w:tcBorders>
              <w:start w:val="single" w:sz="4" w:space="0" w:color="000000"/>
              <w:bottom w:val="single" w:sz="4" w:space="0" w:color="000000"/>
            </w:tcBorders>
          </w:tcPr>
          <w:p>
            <w:pPr>
              <w:pStyle w:val="Zawartotabeliuser"/>
              <w:ind w:hanging="0"/>
              <w:rPr/>
            </w:pPr>
            <w:r>
              <w:rPr/>
              <w:t>Vascular lesions</w:t>
            </w:r>
          </w:p>
        </w:tc>
        <w:tc>
          <w:tcPr>
            <w:tcW w:w="2265" w:type="dxa"/>
            <w:tcBorders>
              <w:start w:val="single" w:sz="4" w:space="0" w:color="000000"/>
              <w:bottom w:val="single" w:sz="4" w:space="0" w:color="000000"/>
              <w:end w:val="single" w:sz="4" w:space="0" w:color="000000"/>
            </w:tcBorders>
          </w:tcPr>
          <w:p>
            <w:pPr>
              <w:pStyle w:val="Zawartotabeliuser"/>
              <w:ind w:hanging="0"/>
              <w:rPr/>
            </w:pPr>
            <w:r>
              <w:rPr/>
              <w:t>202</w:t>
            </w:r>
          </w:p>
        </w:tc>
      </w:tr>
      <w:tr>
        <w:trPr>
          <w:trHeight w:val="548" w:hRule="atLeast"/>
        </w:trPr>
        <w:tc>
          <w:tcPr>
            <w:tcW w:w="505" w:type="dxa"/>
            <w:tcBorders>
              <w:start w:val="single" w:sz="4" w:space="0" w:color="000000"/>
              <w:bottom w:val="single" w:sz="4" w:space="0" w:color="000000"/>
            </w:tcBorders>
          </w:tcPr>
          <w:p>
            <w:pPr>
              <w:pStyle w:val="Zawartotabeliuser"/>
              <w:ind w:hanging="0"/>
              <w:jc w:val="center"/>
              <w:rPr/>
            </w:pPr>
            <w:r>
              <w:rPr/>
              <w:t>14</w:t>
            </w:r>
          </w:p>
        </w:tc>
        <w:tc>
          <w:tcPr>
            <w:tcW w:w="4031" w:type="dxa"/>
            <w:tcBorders>
              <w:start w:val="single" w:sz="4" w:space="0" w:color="000000"/>
              <w:bottom w:val="single" w:sz="4" w:space="0" w:color="000000"/>
            </w:tcBorders>
          </w:tcPr>
          <w:p>
            <w:pPr>
              <w:pStyle w:val="Zawartotabeliuser"/>
              <w:ind w:hanging="0"/>
              <w:rPr/>
            </w:pPr>
            <w:r>
              <w:rPr/>
              <w:t>Włókniak skóry</w:t>
            </w:r>
          </w:p>
        </w:tc>
        <w:tc>
          <w:tcPr>
            <w:tcW w:w="2266" w:type="dxa"/>
            <w:tcBorders>
              <w:start w:val="single" w:sz="4" w:space="0" w:color="000000"/>
              <w:bottom w:val="single" w:sz="4" w:space="0" w:color="000000"/>
            </w:tcBorders>
          </w:tcPr>
          <w:p>
            <w:pPr>
              <w:pStyle w:val="Zawartotabeliuser"/>
              <w:ind w:hanging="0"/>
              <w:rPr/>
            </w:pPr>
            <w:r>
              <w:rPr/>
              <w:t>Dermatofibroma</w:t>
            </w:r>
          </w:p>
        </w:tc>
        <w:tc>
          <w:tcPr>
            <w:tcW w:w="2265" w:type="dxa"/>
            <w:tcBorders>
              <w:start w:val="single" w:sz="4" w:space="0" w:color="000000"/>
              <w:bottom w:val="single" w:sz="4" w:space="0" w:color="000000"/>
              <w:end w:val="single" w:sz="4" w:space="0" w:color="000000"/>
            </w:tcBorders>
          </w:tcPr>
          <w:p>
            <w:pPr>
              <w:pStyle w:val="Zawartotabeliuser"/>
              <w:ind w:hanging="0"/>
              <w:rPr/>
            </w:pPr>
            <w:r>
              <w:rPr/>
              <w:t>191</w:t>
            </w:r>
          </w:p>
        </w:tc>
      </w:tr>
      <w:tr>
        <w:trPr>
          <w:trHeight w:val="548" w:hRule="atLeast"/>
        </w:trPr>
        <w:tc>
          <w:tcPr>
            <w:tcW w:w="505" w:type="dxa"/>
            <w:tcBorders>
              <w:top w:val="single" w:sz="4" w:space="0" w:color="000000"/>
              <w:start w:val="single" w:sz="4" w:space="0" w:color="000000"/>
              <w:bottom w:val="single" w:sz="4" w:space="0" w:color="000000"/>
            </w:tcBorders>
          </w:tcPr>
          <w:p>
            <w:pPr>
              <w:pStyle w:val="Zawartotabeliuser"/>
              <w:ind w:hanging="0"/>
              <w:rPr/>
            </w:pPr>
            <w:r>
              <w:rPr/>
            </w:r>
          </w:p>
        </w:tc>
        <w:tc>
          <w:tcPr>
            <w:tcW w:w="4031" w:type="dxa"/>
            <w:tcBorders>
              <w:top w:val="single" w:sz="4" w:space="0" w:color="000000"/>
              <w:bottom w:val="single" w:sz="4" w:space="0" w:color="000000"/>
            </w:tcBorders>
          </w:tcPr>
          <w:p>
            <w:pPr>
              <w:pStyle w:val="Zawartotabeliuser"/>
              <w:ind w:hanging="0"/>
              <w:rPr/>
            </w:pPr>
            <w:r>
              <w:rPr/>
              <w:t>Łącznie</w:t>
            </w:r>
          </w:p>
        </w:tc>
        <w:tc>
          <w:tcPr>
            <w:tcW w:w="4531" w:type="dxa"/>
            <w:gridSpan w:val="2"/>
            <w:tcBorders>
              <w:start w:val="single" w:sz="4" w:space="0" w:color="000000"/>
              <w:bottom w:val="single" w:sz="4" w:space="0" w:color="000000"/>
              <w:end w:val="single" w:sz="4" w:space="0" w:color="000000"/>
            </w:tcBorders>
          </w:tcPr>
          <w:p>
            <w:pPr>
              <w:pStyle w:val="Zawartotabeliuser"/>
              <w:ind w:hanging="0"/>
              <w:jc w:val="center"/>
              <w:rPr/>
            </w:pPr>
            <w:r>
              <w:rPr/>
              <w:t>29 322</w:t>
            </w:r>
          </w:p>
        </w:tc>
      </w:tr>
    </w:tbl>
    <w:p>
      <w:pPr>
        <w:pStyle w:val="Normal"/>
        <w:ind w:hanging="0"/>
        <w:rPr/>
      </w:pPr>
      <w:r>
        <w:rPr/>
      </w:r>
    </w:p>
    <w:p>
      <w:pPr>
        <w:pStyle w:val="Heading2"/>
        <w:numPr>
          <w:ilvl w:val="1"/>
          <w:numId w:val="8"/>
        </w:numPr>
        <w:rPr/>
      </w:pPr>
      <w:bookmarkStart w:id="69" w:name="_Toc230629467"/>
      <w:r>
        <w:rPr/>
        <w:t>Środowisko treningowe i konfiguracja eksperymentów</w:t>
      </w:r>
      <w:bookmarkEnd w:id="69"/>
    </w:p>
    <w:p>
      <w:pPr>
        <w:pStyle w:val="Normal"/>
        <w:rPr/>
      </w:pPr>
      <w:r>
        <w:rPr/>
        <w:t>Proces treningu został przeprowadzony w środowisku Kaggle, z wykorzystaniem dwóch akceleratorów GPU NVIDIA T4 dostępnych na platformie. Takie podejście pozwoliło na odizolowanie etapu badawczego od warstwy produkcyjnej aplikacji oraz zapewniło powtarzalność warunków eksperymentu. Łączny czas treningu wszystkich pięciu architektur wyniósł około 9 godzin (</w:t>
      </w:r>
      <w:r>
        <w:rPr/>
        <w:fldChar w:fldCharType="begin"/>
      </w:r>
      <w:r>
        <w:rPr/>
        <w:instrText xml:space="preserve"> REF _Ref228207419 \h </w:instrText>
      </w:r>
      <w:r>
        <w:rPr/>
        <w:fldChar w:fldCharType="separate"/>
      </w:r>
      <w:r>
        <w:rPr/>
        <w:t>Rysunek 22</w:t>
      </w:r>
      <w:r>
        <w:rPr/>
        <w:fldChar w:fldCharType="end"/>
      </w:r>
      <w:r>
        <w:rPr/>
        <w:t>).</w:t>
      </w:r>
    </w:p>
    <w:p>
      <w:pPr>
        <w:pStyle w:val="Normal"/>
        <w:rPr/>
      </w:pPr>
      <w:r>
        <w:rPr/>
        <w:t>Każdy model trenowany był przez 25 epok z zastosowaniem mechanizmu wczesnego zatrzymania o cierpliwości równej 5 epokom, co chroniło przed nadmiernym dopasowaniem do zbioru treningowego. Jako funkcję straty przyjęto entropię krzyżową, natomiast optyma-lizację parametrów realizował algorytm Adam. Z uwagi na specyfikę architektur opartych na mechanizmie uwagi, dla modeli ViT oraz EfficientNet przyjęto mniejszy współczynnik uczenia wynoszący 0,0001, podczas gdy dla pozostałych modeli zastosowano wartość 0,001. Po zakończeniu treningu wagi każdego modelu zostały wyeksportowane do formatu „.pth” i zintegrowane z warstwą serwerową aplikacji.</w:t>
      </w:r>
    </w:p>
    <w:p>
      <w:pPr>
        <w:pStyle w:val="Normal"/>
        <w:keepNext w:val="true"/>
        <w:jc w:val="center"/>
        <w:rPr/>
      </w:pPr>
      <w:r>
        <w:rPr/>
        <w:drawing>
          <wp:inline distT="0" distB="0" distL="0" distR="0">
            <wp:extent cx="2686050" cy="3162300"/>
            <wp:effectExtent l="0" t="0" r="0" b="0"/>
            <wp:docPr id="23"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3"/>
                    <pic:cNvPicPr>
                      <a:picLocks noChangeAspect="1" noChangeArrowheads="1"/>
                    </pic:cNvPicPr>
                  </pic:nvPicPr>
                  <pic:blipFill>
                    <a:blip r:embed="rId25"/>
                    <a:stretch>
                      <a:fillRect/>
                    </a:stretch>
                  </pic:blipFill>
                  <pic:spPr bwMode="auto">
                    <a:xfrm>
                      <a:off x="0" y="0"/>
                      <a:ext cx="2686050" cy="3162300"/>
                    </a:xfrm>
                    <a:prstGeom prst="rect">
                      <a:avLst/>
                    </a:prstGeom>
                    <a:noFill/>
                  </pic:spPr>
                </pic:pic>
              </a:graphicData>
            </a:graphic>
          </wp:inline>
        </w:drawing>
      </w:r>
    </w:p>
    <w:p>
      <w:pPr>
        <w:pStyle w:val="Caption"/>
        <w:rPr/>
      </w:pPr>
      <w:bookmarkStart w:id="70" w:name="_Toc230629521"/>
      <w:bookmarkStart w:id="71" w:name="_Ref228207405"/>
      <w:bookmarkStart w:id="72" w:name="_Ref228207419"/>
      <w:r>
        <w:rPr/>
        <w:t xml:space="preserve">Rysunek </w:t>
      </w:r>
      <w:r>
        <w:rPr/>
        <w:fldChar w:fldCharType="begin"/>
      </w:r>
      <w:r>
        <w:rPr/>
        <w:instrText xml:space="preserve"> SEQ Rysunek \* ARABIC </w:instrText>
      </w:r>
      <w:r>
        <w:rPr/>
        <w:fldChar w:fldCharType="separate"/>
      </w:r>
      <w:r>
        <w:rPr/>
        <w:t>22</w:t>
      </w:r>
      <w:r>
        <w:rPr/>
        <w:fldChar w:fldCharType="end"/>
      </w:r>
      <w:bookmarkEnd w:id="72"/>
      <w:r>
        <w:rPr/>
        <w:t xml:space="preserve"> Czas trwania treningu oraz ilość użytych GPU</w:t>
      </w:r>
      <w:bookmarkEnd w:id="70"/>
      <w:bookmarkEnd w:id="71"/>
      <w:r>
        <w:rPr/>
        <w:t xml:space="preserve"> </w:t>
      </w:r>
    </w:p>
    <w:p>
      <w:pPr>
        <w:pStyle w:val="Heading2"/>
        <w:numPr>
          <w:ilvl w:val="1"/>
          <w:numId w:val="8"/>
        </w:numPr>
        <w:rPr/>
      </w:pPr>
      <w:bookmarkStart w:id="73" w:name="_Toc230629468"/>
      <w:r>
        <w:rPr/>
        <w:t>Implementacja i adaptacja architektur sieciowych</w:t>
      </w:r>
      <w:bookmarkEnd w:id="73"/>
    </w:p>
    <w:p>
      <w:pPr>
        <w:pStyle w:val="Normal"/>
        <w:ind w:firstLine="708"/>
        <w:rPr/>
      </w:pPr>
      <w:r>
        <w:rPr/>
        <w:t>Wszystkie pięć modeli zostało przygotowanych w ramach jednego wspólnego rozwiązania, które na podstawie wybranego wariantu tworzy odpowiednią sieć i uruchamia ją na dostępnym sprzęcie obliczeniowym. Wykorzystano równoległe użycie dwóch kart graficznych, co pozwoliło podzielić obliczenia i skrócić łączny czas treningu.</w:t>
      </w:r>
    </w:p>
    <w:p>
      <w:pPr>
        <w:pStyle w:val="Heading3"/>
        <w:numPr>
          <w:ilvl w:val="2"/>
          <w:numId w:val="8"/>
        </w:numPr>
        <w:rPr/>
      </w:pPr>
      <w:bookmarkStart w:id="74" w:name="_Toc230629469"/>
      <w:r>
        <w:rPr/>
        <w:t>Custom CNN</w:t>
      </w:r>
      <w:bookmarkEnd w:id="74"/>
    </w:p>
    <w:p>
      <w:pPr>
        <w:pStyle w:val="Normal"/>
        <w:ind w:firstLine="708"/>
        <w:rPr/>
      </w:pPr>
      <w:r>
        <w:rPr/>
        <w:t>Jedyną architekturą zbudowaną od podstaw bez wstępnych wag jest Custom CNN. Sieć składa się z dwóch bloków funkcjonalnych. Część konwolucyjna zawiera trzy warstwy splotowe z filtrami o rozmiarze 3x3 i narastającą liczbą kanałów (32, 64, 128), z których każda poprzedzona jest funkcją aktywacji ReLU i zakończona warstwą MaxPooling redukującą wymiarowość przestrzenną o połowę. Część klasyfikacyjna spłaszcza wynikową mapę cech do wektora o 512 elementach, po czym stosuje regularyzację Dropout (p=0,5) i warstwę liniową mapującą na 14 klas wyjściowych. Sieć ta pełni rolę punktu odniesienia dla modeli pretrenowanych.</w:t>
      </w:r>
    </w:p>
    <w:p>
      <w:pPr>
        <w:pStyle w:val="Heading3"/>
        <w:numPr>
          <w:ilvl w:val="2"/>
          <w:numId w:val="8"/>
        </w:numPr>
        <w:rPr/>
      </w:pPr>
      <w:bookmarkStart w:id="75" w:name="_Toc230629470"/>
      <w:r>
        <w:rPr/>
        <w:t>ResNet-50</w:t>
      </w:r>
      <w:bookmarkEnd w:id="75"/>
    </w:p>
    <w:p>
      <w:pPr>
        <w:pStyle w:val="Normal"/>
        <w:ind w:firstLine="708"/>
        <w:rPr/>
      </w:pPr>
      <w:r>
        <w:rPr/>
        <w:t>Model został załadowany z wykorzystaniem wag ResNet50_Weights.DEFAULT, czyli wstępnie wytrenowanych na zbiorze ImageNet. Dostosowanie do zadania klasyfikacji 14 klas polegało na zastąpieniu oryginalnej warstwy końcowej nową warstwą liniową o liczbie wyjść równej liczbie klas. Pozostałe warstwy sieci były w pełni odmrożone, co pozwoliło na dostrojenie wszystkich wag podczas dotrenowania.</w:t>
      </w:r>
    </w:p>
    <w:p>
      <w:pPr>
        <w:pStyle w:val="Heading3"/>
        <w:numPr>
          <w:ilvl w:val="2"/>
          <w:numId w:val="8"/>
        </w:numPr>
        <w:rPr/>
      </w:pPr>
      <w:bookmarkStart w:id="76" w:name="_Toc230629471"/>
      <w:r>
        <w:rPr/>
        <w:t>MobileNetV3-Large</w:t>
      </w:r>
      <w:bookmarkEnd w:id="76"/>
    </w:p>
    <w:p>
      <w:pPr>
        <w:pStyle w:val="Normal"/>
        <w:ind w:firstLine="708"/>
        <w:rPr/>
      </w:pPr>
      <w:r>
        <w:rPr/>
        <w:t>W przypadku tej architektury warstwa klasyfikacyjna znajduje się wewnątrz głębszego modułu sekwencyjnego, dlatego zmodyfikowano jedynie jej wybrany element zamiast całego bloku. Takie podejście pozwala zachować oryginalną strukturę warstw normalizacji i aktywacji poprzedzających klasyfikator, co jest zalecane przy dostrajaniu tego modelu.</w:t>
      </w:r>
    </w:p>
    <w:p>
      <w:pPr>
        <w:pStyle w:val="Heading3"/>
        <w:numPr>
          <w:ilvl w:val="2"/>
          <w:numId w:val="8"/>
        </w:numPr>
        <w:rPr/>
      </w:pPr>
      <w:bookmarkStart w:id="77" w:name="_Toc230629472"/>
      <w:r>
        <w:rPr/>
        <w:t>EfficientNet-B0</w:t>
      </w:r>
      <w:bookmarkEnd w:id="77"/>
    </w:p>
    <w:p>
      <w:pPr>
        <w:pStyle w:val="Normal"/>
        <w:ind w:firstLine="708"/>
        <w:rPr/>
      </w:pPr>
      <w:r>
        <w:rPr/>
        <w:t>Zastosowano analogiczne podejście, polegające na modyfikacji końcowej części klasyfikatora przy jednoczesnym zachowaniu wbudowanej warstwy Dropout.</w:t>
      </w:r>
    </w:p>
    <w:p>
      <w:pPr>
        <w:pStyle w:val="Heading3"/>
        <w:numPr>
          <w:ilvl w:val="2"/>
          <w:numId w:val="8"/>
        </w:numPr>
        <w:rPr>
          <w:lang w:val="en-US"/>
        </w:rPr>
      </w:pPr>
      <w:bookmarkStart w:id="78" w:name="_Toc230629473"/>
      <w:r>
        <w:rPr>
          <w:lang w:val="en-US"/>
        </w:rPr>
        <w:t>Vision Transformer (ViT-B/16)</w:t>
      </w:r>
      <w:bookmarkEnd w:id="78"/>
    </w:p>
    <w:p>
      <w:pPr>
        <w:pStyle w:val="Normal"/>
        <w:ind w:firstLine="708"/>
        <w:rPr/>
      </w:pPr>
      <w:r>
        <w:rPr/>
        <w:t>Dostosowanie modelu wymagało ingerencji w moduł odpowiedzialny za warstwy klasyfikacyjne. Zmieniono końcową warstwę generującą predykcje, tak aby odpowiadała liczbie klas w rozpatrywanym zadaniu.</w:t>
      </w:r>
    </w:p>
    <w:p>
      <w:pPr>
        <w:pStyle w:val="Normal"/>
        <w:ind w:firstLine="708"/>
        <w:rPr/>
      </w:pPr>
      <w:r>
        <w:rPr/>
        <w:t>Podczas eksportu modelu do formatu TorchScript konieczne było wyłączenie standardowej weryfikacji śladu, co wynika z niedeterministycznego charakteru operacji związanych z mechanizmem uwagi stosowanym w tej architekturze.</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Caption"/>
        <w:rPr/>
      </w:pPr>
      <w:bookmarkStart w:id="79" w:name="_Toc230629544"/>
      <w:r>
        <w:rPr/>
        <w:t xml:space="preserve">Tabela </w:t>
      </w:r>
      <w:r>
        <w:rPr/>
        <w:fldChar w:fldCharType="begin"/>
      </w:r>
      <w:r>
        <w:rPr/>
        <w:instrText xml:space="preserve"> SEQ Tabela \* ARABIC </w:instrText>
      </w:r>
      <w:r>
        <w:rPr/>
        <w:fldChar w:fldCharType="separate"/>
      </w:r>
      <w:r>
        <w:rPr/>
        <w:t>3</w:t>
      </w:r>
      <w:r>
        <w:rPr/>
        <w:fldChar w:fldCharType="end"/>
      </w:r>
      <w:r>
        <w:rPr/>
        <w:t xml:space="preserve"> Porównanie architektury i parametrów wybranych modeli sieci neuronowych po treningu.</w:t>
      </w:r>
      <w:bookmarkEnd w:id="79"/>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814"/>
        <w:gridCol w:w="1812"/>
        <w:gridCol w:w="1817"/>
        <w:gridCol w:w="1810"/>
        <w:gridCol w:w="1819"/>
      </w:tblGrid>
      <w:tr>
        <w:trPr/>
        <w:tc>
          <w:tcPr>
            <w:tcW w:w="1814" w:type="dxa"/>
            <w:tcBorders>
              <w:top w:val="single" w:sz="4" w:space="0" w:color="000000"/>
              <w:start w:val="single" w:sz="4" w:space="0" w:color="000000"/>
              <w:bottom w:val="single" w:sz="4" w:space="0" w:color="000000"/>
            </w:tcBorders>
          </w:tcPr>
          <w:p>
            <w:pPr>
              <w:pStyle w:val="Zawartotabeli"/>
              <w:ind w:hanging="0"/>
              <w:rPr/>
            </w:pPr>
            <w:r>
              <w:rPr/>
              <w:t>Model</w:t>
            </w:r>
          </w:p>
        </w:tc>
        <w:tc>
          <w:tcPr>
            <w:tcW w:w="1812" w:type="dxa"/>
            <w:tcBorders>
              <w:top w:val="single" w:sz="4" w:space="0" w:color="000000"/>
              <w:start w:val="single" w:sz="4" w:space="0" w:color="000000"/>
              <w:bottom w:val="single" w:sz="4" w:space="0" w:color="000000"/>
            </w:tcBorders>
          </w:tcPr>
          <w:p>
            <w:pPr>
              <w:pStyle w:val="Zawartotabeli"/>
              <w:ind w:hanging="0"/>
              <w:rPr/>
            </w:pPr>
            <w:r>
              <w:rPr/>
              <w:t>Parametry</w:t>
            </w:r>
          </w:p>
        </w:tc>
        <w:tc>
          <w:tcPr>
            <w:tcW w:w="1817" w:type="dxa"/>
            <w:tcBorders>
              <w:top w:val="single" w:sz="4" w:space="0" w:color="000000"/>
              <w:start w:val="single" w:sz="4" w:space="0" w:color="000000"/>
              <w:bottom w:val="single" w:sz="4" w:space="0" w:color="000000"/>
            </w:tcBorders>
          </w:tcPr>
          <w:p>
            <w:pPr>
              <w:pStyle w:val="Zawartotabeli"/>
              <w:ind w:hanging="0"/>
              <w:rPr/>
            </w:pPr>
            <w:r>
              <w:rPr/>
              <w:t>Pretrenowany</w:t>
            </w:r>
          </w:p>
        </w:tc>
        <w:tc>
          <w:tcPr>
            <w:tcW w:w="1810" w:type="dxa"/>
            <w:tcBorders>
              <w:top w:val="single" w:sz="4" w:space="0" w:color="000000"/>
              <w:start w:val="single" w:sz="4" w:space="0" w:color="000000"/>
              <w:bottom w:val="single" w:sz="4" w:space="0" w:color="000000"/>
            </w:tcBorders>
          </w:tcPr>
          <w:p>
            <w:pPr>
              <w:pStyle w:val="Zawartotabeli"/>
              <w:ind w:hanging="0"/>
              <w:rPr/>
            </w:pPr>
            <w:r>
              <w:rPr/>
              <w:t xml:space="preserve"> </w:t>
            </w:r>
            <w:r>
              <w:rPr/>
              <w:t>Warstwy</w:t>
            </w:r>
          </w:p>
        </w:tc>
        <w:tc>
          <w:tcPr>
            <w:tcW w:w="1819" w:type="dxa"/>
            <w:tcBorders>
              <w:top w:val="single" w:sz="4" w:space="0" w:color="000000"/>
              <w:start w:val="single" w:sz="4" w:space="0" w:color="000000"/>
              <w:bottom w:val="single" w:sz="4" w:space="0" w:color="000000"/>
              <w:end w:val="single" w:sz="4" w:space="0" w:color="000000"/>
            </w:tcBorders>
          </w:tcPr>
          <w:p>
            <w:pPr>
              <w:pStyle w:val="Zawartotabeli"/>
              <w:ind w:hanging="0"/>
              <w:rPr/>
            </w:pPr>
            <w:r>
              <w:rPr/>
              <w:t>Learning rate</w:t>
            </w:r>
          </w:p>
        </w:tc>
      </w:tr>
      <w:tr>
        <w:trPr/>
        <w:tc>
          <w:tcPr>
            <w:tcW w:w="1814" w:type="dxa"/>
            <w:tcBorders>
              <w:start w:val="single" w:sz="4" w:space="0" w:color="000000"/>
              <w:bottom w:val="single" w:sz="4" w:space="0" w:color="000000"/>
            </w:tcBorders>
          </w:tcPr>
          <w:p>
            <w:pPr>
              <w:pStyle w:val="Zawartotabeli"/>
              <w:ind w:hanging="0"/>
              <w:rPr/>
            </w:pPr>
            <w:r>
              <w:rPr/>
              <w:t>Custom CNN</w:t>
            </w:r>
          </w:p>
        </w:tc>
        <w:tc>
          <w:tcPr>
            <w:tcW w:w="1812" w:type="dxa"/>
            <w:tcBorders>
              <w:start w:val="single" w:sz="4" w:space="0" w:color="000000"/>
              <w:bottom w:val="single" w:sz="4" w:space="0" w:color="000000"/>
            </w:tcBorders>
          </w:tcPr>
          <w:p>
            <w:pPr>
              <w:pStyle w:val="Zawartotabeli"/>
              <w:ind w:hanging="0"/>
              <w:rPr/>
            </w:pPr>
            <w:r>
              <w:rPr/>
              <w:t>51.48M</w:t>
            </w:r>
          </w:p>
        </w:tc>
        <w:tc>
          <w:tcPr>
            <w:tcW w:w="1817" w:type="dxa"/>
            <w:tcBorders>
              <w:start w:val="single" w:sz="4" w:space="0" w:color="000000"/>
              <w:bottom w:val="single" w:sz="4" w:space="0" w:color="000000"/>
            </w:tcBorders>
          </w:tcPr>
          <w:p>
            <w:pPr>
              <w:pStyle w:val="Zawartotabeli"/>
              <w:ind w:hanging="0"/>
              <w:rPr/>
            </w:pPr>
            <w:r>
              <w:rPr/>
              <w:t>Uczony od zera</w:t>
            </w:r>
          </w:p>
        </w:tc>
        <w:tc>
          <w:tcPr>
            <w:tcW w:w="1810" w:type="dxa"/>
            <w:tcBorders>
              <w:start w:val="single" w:sz="4" w:space="0" w:color="000000"/>
              <w:bottom w:val="single" w:sz="4" w:space="0" w:color="000000"/>
            </w:tcBorders>
          </w:tcPr>
          <w:p>
            <w:pPr>
              <w:pStyle w:val="Zawartotabeli"/>
              <w:ind w:hanging="0"/>
              <w:rPr/>
            </w:pPr>
            <w:r>
              <w:rPr/>
              <w:t>5</w:t>
            </w:r>
          </w:p>
        </w:tc>
        <w:tc>
          <w:tcPr>
            <w:tcW w:w="1819" w:type="dxa"/>
            <w:tcBorders>
              <w:start w:val="single" w:sz="4" w:space="0" w:color="000000"/>
              <w:bottom w:val="single" w:sz="4" w:space="0" w:color="000000"/>
              <w:end w:val="single" w:sz="4" w:space="0" w:color="000000"/>
            </w:tcBorders>
          </w:tcPr>
          <w:p>
            <w:pPr>
              <w:pStyle w:val="Zawartotabeli"/>
              <w:ind w:hanging="0"/>
              <w:rPr/>
            </w:pPr>
            <w:r>
              <w:rPr/>
              <w:t>0.001</w:t>
            </w:r>
          </w:p>
        </w:tc>
      </w:tr>
      <w:tr>
        <w:trPr/>
        <w:tc>
          <w:tcPr>
            <w:tcW w:w="1814" w:type="dxa"/>
            <w:tcBorders>
              <w:start w:val="single" w:sz="4" w:space="0" w:color="000000"/>
              <w:bottom w:val="single" w:sz="4" w:space="0" w:color="000000"/>
            </w:tcBorders>
          </w:tcPr>
          <w:p>
            <w:pPr>
              <w:pStyle w:val="Zawartotabeli"/>
              <w:ind w:hanging="0"/>
              <w:rPr/>
            </w:pPr>
            <w:r>
              <w:rPr/>
              <w:t>ResNet50</w:t>
            </w:r>
          </w:p>
        </w:tc>
        <w:tc>
          <w:tcPr>
            <w:tcW w:w="1812" w:type="dxa"/>
            <w:tcBorders>
              <w:start w:val="single" w:sz="4" w:space="0" w:color="000000"/>
              <w:bottom w:val="single" w:sz="4" w:space="0" w:color="000000"/>
            </w:tcBorders>
          </w:tcPr>
          <w:p>
            <w:pPr>
              <w:pStyle w:val="Zawartotabeli"/>
              <w:ind w:hanging="0"/>
              <w:rPr/>
            </w:pPr>
            <w:r>
              <w:rPr/>
              <w:t>23.59M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107</w:t>
            </w:r>
          </w:p>
        </w:tc>
        <w:tc>
          <w:tcPr>
            <w:tcW w:w="1819" w:type="dxa"/>
            <w:tcBorders>
              <w:start w:val="single" w:sz="4" w:space="0" w:color="000000"/>
              <w:bottom w:val="single" w:sz="4" w:space="0" w:color="000000"/>
              <w:end w:val="single" w:sz="4" w:space="0" w:color="000000"/>
            </w:tcBorders>
          </w:tcPr>
          <w:p>
            <w:pPr>
              <w:pStyle w:val="Zawartotabeli"/>
              <w:ind w:hanging="0"/>
              <w:rPr/>
            </w:pPr>
            <w:r>
              <w:rPr/>
              <w:t>0.001</w:t>
            </w:r>
          </w:p>
        </w:tc>
      </w:tr>
      <w:tr>
        <w:trPr/>
        <w:tc>
          <w:tcPr>
            <w:tcW w:w="1814" w:type="dxa"/>
            <w:tcBorders>
              <w:start w:val="single" w:sz="4" w:space="0" w:color="000000"/>
              <w:bottom w:val="single" w:sz="4" w:space="0" w:color="000000"/>
            </w:tcBorders>
          </w:tcPr>
          <w:p>
            <w:pPr>
              <w:pStyle w:val="Zawartotabeli"/>
              <w:ind w:hanging="0"/>
              <w:rPr/>
            </w:pPr>
            <w:r>
              <w:rPr/>
              <w:t>MobileNetV3-Large</w:t>
            </w:r>
          </w:p>
        </w:tc>
        <w:tc>
          <w:tcPr>
            <w:tcW w:w="1812" w:type="dxa"/>
            <w:tcBorders>
              <w:start w:val="single" w:sz="4" w:space="0" w:color="000000"/>
              <w:bottom w:val="single" w:sz="4" w:space="0" w:color="000000"/>
            </w:tcBorders>
          </w:tcPr>
          <w:p>
            <w:pPr>
              <w:pStyle w:val="Zawartotabeli"/>
              <w:ind w:hanging="0"/>
              <w:rPr/>
            </w:pPr>
            <w:r>
              <w:rPr/>
              <w:t>4.24M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110</w:t>
            </w:r>
          </w:p>
        </w:tc>
        <w:tc>
          <w:tcPr>
            <w:tcW w:w="1819" w:type="dxa"/>
            <w:tcBorders>
              <w:start w:val="single" w:sz="4" w:space="0" w:color="000000"/>
              <w:bottom w:val="single" w:sz="4" w:space="0" w:color="000000"/>
              <w:end w:val="single" w:sz="4" w:space="0" w:color="000000"/>
            </w:tcBorders>
          </w:tcPr>
          <w:p>
            <w:pPr>
              <w:pStyle w:val="Zawartotabeli"/>
              <w:ind w:hanging="0"/>
              <w:rPr/>
            </w:pPr>
            <w:r>
              <w:rPr/>
              <w:t>0.001</w:t>
            </w:r>
          </w:p>
        </w:tc>
      </w:tr>
      <w:tr>
        <w:trPr/>
        <w:tc>
          <w:tcPr>
            <w:tcW w:w="1814" w:type="dxa"/>
            <w:tcBorders>
              <w:start w:val="single" w:sz="4" w:space="0" w:color="000000"/>
              <w:bottom w:val="single" w:sz="4" w:space="0" w:color="000000"/>
            </w:tcBorders>
          </w:tcPr>
          <w:p>
            <w:pPr>
              <w:pStyle w:val="Zawartotabeli"/>
              <w:ind w:hanging="0"/>
              <w:rPr/>
            </w:pPr>
            <w:r>
              <w:rPr/>
              <w:t>EfficientNet-B0</w:t>
            </w:r>
          </w:p>
        </w:tc>
        <w:tc>
          <w:tcPr>
            <w:tcW w:w="1812" w:type="dxa"/>
            <w:tcBorders>
              <w:start w:val="single" w:sz="4" w:space="0" w:color="000000"/>
              <w:bottom w:val="single" w:sz="4" w:space="0" w:color="000000"/>
            </w:tcBorders>
          </w:tcPr>
          <w:p>
            <w:pPr>
              <w:pStyle w:val="Zawartotabeli"/>
              <w:ind w:hanging="0"/>
              <w:rPr/>
            </w:pPr>
            <w:r>
              <w:rPr/>
              <w:t>4.07M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131</w:t>
            </w:r>
          </w:p>
        </w:tc>
        <w:tc>
          <w:tcPr>
            <w:tcW w:w="1819" w:type="dxa"/>
            <w:tcBorders>
              <w:start w:val="single" w:sz="4" w:space="0" w:color="000000"/>
              <w:bottom w:val="single" w:sz="4" w:space="0" w:color="000000"/>
              <w:end w:val="single" w:sz="4" w:space="0" w:color="000000"/>
            </w:tcBorders>
          </w:tcPr>
          <w:p>
            <w:pPr>
              <w:pStyle w:val="Zawartotabeli"/>
              <w:ind w:hanging="0"/>
              <w:rPr/>
            </w:pPr>
            <w:r>
              <w:rPr/>
              <w:t>0.0001</w:t>
            </w:r>
          </w:p>
        </w:tc>
      </w:tr>
      <w:tr>
        <w:trPr/>
        <w:tc>
          <w:tcPr>
            <w:tcW w:w="1814" w:type="dxa"/>
            <w:tcBorders>
              <w:start w:val="single" w:sz="4" w:space="0" w:color="000000"/>
              <w:bottom w:val="single" w:sz="4" w:space="0" w:color="000000"/>
            </w:tcBorders>
          </w:tcPr>
          <w:p>
            <w:pPr>
              <w:pStyle w:val="Zawartotabeli"/>
              <w:ind w:hanging="0"/>
              <w:rPr/>
            </w:pPr>
            <w:r>
              <w:rPr/>
              <w:t>ViT-B/16</w:t>
            </w:r>
          </w:p>
        </w:tc>
        <w:tc>
          <w:tcPr>
            <w:tcW w:w="1812" w:type="dxa"/>
            <w:tcBorders>
              <w:start w:val="single" w:sz="4" w:space="0" w:color="000000"/>
              <w:bottom w:val="single" w:sz="4" w:space="0" w:color="000000"/>
            </w:tcBorders>
          </w:tcPr>
          <w:p>
            <w:pPr>
              <w:pStyle w:val="Zawartotabeli"/>
              <w:ind w:hanging="0"/>
              <w:rPr/>
            </w:pPr>
            <w:r>
              <w:rPr/>
              <w:t>85.81M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77</w:t>
            </w:r>
          </w:p>
        </w:tc>
        <w:tc>
          <w:tcPr>
            <w:tcW w:w="1819" w:type="dxa"/>
            <w:tcBorders>
              <w:start w:val="single" w:sz="4" w:space="0" w:color="000000"/>
              <w:bottom w:val="single" w:sz="4" w:space="0" w:color="000000"/>
              <w:end w:val="single" w:sz="4" w:space="0" w:color="000000"/>
            </w:tcBorders>
          </w:tcPr>
          <w:p>
            <w:pPr>
              <w:pStyle w:val="Zawartotabeli"/>
              <w:ind w:hanging="0"/>
              <w:rPr/>
            </w:pPr>
            <w:r>
              <w:rPr/>
              <w:t>0.0001</w:t>
            </w:r>
          </w:p>
        </w:tc>
      </w:tr>
    </w:tbl>
    <w:p>
      <w:pPr>
        <w:pStyle w:val="Normal"/>
        <w:ind w:hanging="0"/>
        <w:rPr/>
      </w:pPr>
      <w:r>
        <w:rPr/>
      </w:r>
    </w:p>
    <w:p>
      <w:pPr>
        <w:pStyle w:val="Heading2"/>
        <w:numPr>
          <w:ilvl w:val="1"/>
          <w:numId w:val="8"/>
        </w:numPr>
        <w:rPr/>
      </w:pPr>
      <w:bookmarkStart w:id="80" w:name="_Toc230629474"/>
      <w:r>
        <w:rPr/>
        <w:t>Implementacja testu odporności modeli na lekkie zniekształcenia zdjęć</w:t>
      </w:r>
      <w:bookmarkEnd w:id="80"/>
    </w:p>
    <w:p>
      <w:pPr>
        <w:pStyle w:val="Normal"/>
        <w:keepNext w:val="true"/>
        <w:ind w:firstLine="708"/>
        <w:rPr/>
      </w:pPr>
      <w:r>
        <w:rPr/>
        <w:t>Po zakończeniu procesu treningu przeprowadzono dodatkowy test mający na celu ocenę oporności wytrenowanych modeli na typowe zniekształcenia, które mogą wystąpić w rzeczywistych warunkach klinicznych (np. podczas wykonywania zdjęć dermatoskopowych). Celem analizy było sprawdzenie, w jakim stopniu wprowadzenie lekkich zakłóceń wpływa na skuteczność klasyfikacji.</w:t>
      </w:r>
    </w:p>
    <w:p>
      <w:pPr>
        <w:pStyle w:val="Normal"/>
        <w:keepNext w:val="true"/>
        <w:ind w:hanging="0"/>
        <w:jc w:val="start"/>
        <w:rPr/>
      </w:pPr>
      <w:r>
        <w:rPr/>
        <w:t>W tym celu zaimplementowano dwa rodzaje sztucznych deformacji obrazu:</w:t>
      </w:r>
    </w:p>
    <w:p>
      <w:pPr>
        <w:pStyle w:val="ListParagraph"/>
        <w:keepNext w:val="true"/>
        <w:numPr>
          <w:ilvl w:val="0"/>
          <w:numId w:val="21"/>
        </w:numPr>
        <w:jc w:val="start"/>
        <w:rPr/>
      </w:pPr>
      <w:r>
        <w:rPr/>
        <w:t>szum Gaussowski: symulujący drobne zakłócenia wynikające z jakości sensora aparatu lub warunków oświetleniowych,</w:t>
      </w:r>
    </w:p>
    <w:p>
      <w:pPr>
        <w:pStyle w:val="ListParagraph"/>
        <w:keepNext w:val="true"/>
        <w:numPr>
          <w:ilvl w:val="0"/>
          <w:numId w:val="21"/>
        </w:numPr>
        <w:jc w:val="start"/>
        <w:rPr/>
      </w:pPr>
      <w:r>
        <w:rPr/>
        <w:t>rozmycie Gaussa: odpowiadające nieostremu ustawieniu ostrości lub niewielkim ruchom ręki podczas wykonywania zdjęcia.</w:t>
      </w:r>
    </w:p>
    <w:p>
      <w:pPr>
        <w:pStyle w:val="Normal"/>
        <w:keepNext w:val="true"/>
        <w:ind w:hanging="0"/>
        <w:jc w:val="start"/>
        <w:rPr/>
      </w:pPr>
      <w:r>
        <w:rPr/>
      </w:r>
    </w:p>
    <w:p>
      <w:pPr>
        <w:pStyle w:val="Normal"/>
        <w:keepNext w:val="true"/>
        <w:ind w:firstLine="708"/>
        <w:rPr/>
      </w:pPr>
      <w:r>
        <w:rPr/>
        <w:t>Dla każdego typu zniekształcenia przygotowano oddzielny pipeline transformacji, który obejmował zmianę rozmiaru obrazu, normalizację oraz zastosowanie odpowiedniego filtra. Testy przeprowadzono na zbiorze testowym przy użyciu tych samych wag modeli, które uzyskano po treningu. Podczas testu modele pracowały w trybie ewaluacji, bez obliczania gradientów.</w:t>
      </w:r>
    </w:p>
    <w:p>
      <w:pPr>
        <w:pStyle w:val="Normal"/>
        <w:keepNext w:val="true"/>
        <w:ind w:firstLine="708"/>
        <w:rPr/>
      </w:pPr>
      <w:r>
        <w:rPr/>
        <w:t>Wyniki testu odporności zestawiono w postaci tabeli porównawczej, prezentującej dokładność klasyfikacji uzyskaną na oryginalnym zbiorze testowym oraz po zastosowaniu poszczególnych zniekształceń. Dzięki temu możliwe było bezpośrednie porównanie spadku wydajności każdego modelu pod wpływem szumu i rozmycia.</w:t>
      </w:r>
    </w:p>
    <w:p>
      <w:pPr>
        <w:pStyle w:val="Heading2"/>
        <w:numPr>
          <w:ilvl w:val="1"/>
          <w:numId w:val="8"/>
        </w:numPr>
        <w:rPr/>
      </w:pPr>
      <w:bookmarkStart w:id="81" w:name="_Toc230629475"/>
      <w:r>
        <w:rPr/>
        <w:t>Implementacja mechanizmu Grad-CAM i generowa-nia map aktywacji</w:t>
      </w:r>
      <w:bookmarkEnd w:id="81"/>
    </w:p>
    <w:p>
      <w:pPr>
        <w:pStyle w:val="Normal"/>
        <w:ind w:hanging="0"/>
        <w:rPr/>
      </w:pPr>
      <w:r>
        <w:rPr/>
        <w:t xml:space="preserve">  </w:t>
      </w:r>
      <w:r>
        <w:rPr/>
        <w:tab/>
        <w:t>Istotnym elementem warstwy uczenia maszynowego w projektowanym systemie jest moduł objaśnialności, zaimplementowany w ramach klasy ImageProcessor. Jego zadaniem jest nie tylko klasyfikacja obrazu, lecz także wskazanie obszarów, które w największym stopniu determinowały decyzję modelu. W diagnostyce medycznej ma to kluczowe znaczenie, ponieważ pozwala lekarzowi lub użytkownikowi zweryfikować, czy sieć neuronowa skupia się na faktycznej zmianie skórnej, czy jedynie na artefaktach wizualnych w tle np. włosach lub oświetleniu.</w:t>
      </w:r>
    </w:p>
    <w:p>
      <w:pPr>
        <w:pStyle w:val="Normal"/>
        <w:ind w:firstLine="708"/>
        <w:rPr/>
      </w:pPr>
      <w:r>
        <w:rPr/>
        <w:t>Do generowania map aktywacji wykorzystano bibliotekę pytorch-grad-cam, implementującą algorytm Gradient-weighted Class Activation Mapping (Grad-CAM). Metoda ta bazuje na obliczaniu gradientów sygnału wyjściowego wybranej klasy względem aktywacji w ostatniej warstwie konwolucyjnej. Wynikowy obraz ciepła nakładany jest na zdjęcie źródłowe (</w:t>
      </w:r>
      <w:r>
        <w:rPr/>
        <w:fldChar w:fldCharType="begin"/>
      </w:r>
      <w:r>
        <w:rPr/>
        <w:instrText xml:space="preserve"> REF _Ref228209582 \h </w:instrText>
      </w:r>
      <w:r>
        <w:rPr/>
        <w:fldChar w:fldCharType="separate"/>
      </w:r>
      <w:r>
        <w:rPr/>
        <w:t>Rysunek 23</w:t>
      </w:r>
      <w:r>
        <w:rPr/>
        <w:fldChar w:fldCharType="end"/>
      </w:r>
      <w:r>
        <w:rPr/>
        <w:t>). Finalna wizualizacja przekazywana jest do interfejsu użytkownika w formacie PNG, przy wykorzystaniu kodowania Base64.</w:t>
      </w:r>
    </w:p>
    <w:p>
      <w:pPr>
        <w:pStyle w:val="Normal"/>
        <w:ind w:firstLine="708"/>
        <w:rPr/>
      </w:pPr>
      <w:r>
        <w:rPr/>
        <w:t>Z uwagi na różnorodność struktur wewnętrznych zastosowanych architektur, wybór warstwy docelowej do ekstrakcji gradientów musiał zostać dostosowany indywidualnie dla każdego modelu:</w:t>
      </w:r>
    </w:p>
    <w:p>
      <w:pPr>
        <w:pStyle w:val="ListParagraph"/>
        <w:numPr>
          <w:ilvl w:val="0"/>
          <w:numId w:val="22"/>
        </w:numPr>
        <w:jc w:val="start"/>
        <w:rPr/>
      </w:pPr>
      <w:r>
        <w:rPr/>
        <w:t>ResNet-50: jako warstwę docelową wskazano ostatni blok rezydualny w czwartym module. Warstwa ta agreguje cechy o najwyższym poziomie abstrakcji bezpośrednio przed etapem klasyfikacji.</w:t>
      </w:r>
    </w:p>
    <w:p>
      <w:pPr>
        <w:pStyle w:val="ListParagraph"/>
        <w:numPr>
          <w:ilvl w:val="0"/>
          <w:numId w:val="22"/>
        </w:numPr>
        <w:jc w:val="start"/>
        <w:rPr/>
      </w:pPr>
      <w:r>
        <w:rPr/>
        <w:t>MobileNetV3 oraz EfficientNet-B0: wykorzystano ostatnią warstwę bloku ekstrakcji cech. Podobieństwo strukturalne obu sieci pozwoliło na ujednolicenie mechanizmu pobierania gradientów.</w:t>
      </w:r>
    </w:p>
    <w:p>
      <w:pPr>
        <w:pStyle w:val="ListParagraph"/>
        <w:numPr>
          <w:ilvl w:val="0"/>
          <w:numId w:val="22"/>
        </w:numPr>
        <w:jc w:val="start"/>
        <w:rPr/>
      </w:pPr>
      <w:r>
        <w:rPr/>
        <w:t>Custom CNN: ze względu na autorską strukturę modelu, zastosowano podejście dynamiczne. Algorytm przeszukuje moduł cech w odwróconej kolejności, aby zidentyfikować ostatnią instancję klasy Conv2d. W przypadku jej braku, przeszukiwane jest całe drzewo modułów w celu odnalezienia ostatniej warstwy konwolucyjnej. Takie rozwiązanie zapewnia stabilność działania modułu objaśnialności nawet po modyfikacjach architektury sieci.</w:t>
      </w:r>
    </w:p>
    <w:p>
      <w:pPr>
        <w:pStyle w:val="ListParagraph"/>
        <w:numPr>
          <w:ilvl w:val="0"/>
          <w:numId w:val="22"/>
        </w:numPr>
        <w:jc w:val="start"/>
        <w:rPr/>
      </w:pPr>
      <w:r>
        <w:rPr/>
        <w:t>Vision Transformer (ViT): ze względu na brak warstw konwolucyjnych, punktem odniesienia dla gradientów uczyniono ostatnią warstwę normalizacji w enkoderze. Ponieważ ViT operuje na tokenach sekwencyjnych, a nie na mapach przestrzennych, konieczne było zastosowanie funkcji</w:t>
      </w:r>
      <w:r>
        <w:rPr>
          <w:rFonts w:ascii="Google Sans Text" w:hAnsi="Google Sans Text"/>
          <w:color w:val="C7C7C7"/>
          <w:shd w:fill="22262B" w:val="clear"/>
        </w:rPr>
        <w:t xml:space="preserve"> </w:t>
      </w:r>
      <w:r>
        <w:rPr/>
        <w:t xml:space="preserve">atencji </w:t>
      </w:r>
      <w:r>
        <w:rPr>
          <w:b/>
          <w:bCs/>
        </w:rPr>
        <w:t>infefencji</w:t>
      </w:r>
      <w:r>
        <w:rPr/>
        <w:t>, która przekształca ona wyjście atencji z postaci sekwencji tokenów (B, N, C) na mapę przestrzenną (B, C, H, W), usuwając uprzednio token klasyfikacyjny CLS. Bez tego kroku biblioteka Grad-CAM nie byłaby w stanie zinterpretować wyjścia transformera jako siatki przestrzennej.</w:t>
      </w:r>
    </w:p>
    <w:p>
      <w:pPr>
        <w:pStyle w:val="Normal"/>
        <w:ind w:hanging="0"/>
        <w:rPr/>
      </w:pPr>
      <w:r>
        <w:rPr/>
        <w:t>Cały proces generowania heatmapy osłonięty jest blokiem obsługi wyjątków. W razie niepowodzenia dla danej architektury funkcja zwraca obraz oryginalny przeskalowany do docelowego rozmiaru, co zapobiega przerwaniu całego potoku analizy przez błąd jednego modelu. Zachowanie to rejestrowane jest w logu systemowym z informacją o typie modelu i przyczynie błędu.</w:t>
      </w:r>
    </w:p>
    <w:p>
      <w:pPr>
        <w:pStyle w:val="Normal"/>
        <w:keepNext w:val="true"/>
        <w:ind w:hanging="0"/>
        <w:jc w:val="center"/>
        <w:rPr/>
      </w:pPr>
      <w:r>
        <w:rPr/>
        <w:drawing>
          <wp:inline distT="0" distB="0" distL="0" distR="0">
            <wp:extent cx="5760720" cy="2354580"/>
            <wp:effectExtent l="0" t="0" r="0" b="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26"/>
                    <a:stretch>
                      <a:fillRect/>
                    </a:stretch>
                  </pic:blipFill>
                  <pic:spPr bwMode="auto">
                    <a:xfrm>
                      <a:off x="0" y="0"/>
                      <a:ext cx="5760720" cy="2354580"/>
                    </a:xfrm>
                    <a:prstGeom prst="rect">
                      <a:avLst/>
                    </a:prstGeom>
                    <a:noFill/>
                  </pic:spPr>
                </pic:pic>
              </a:graphicData>
            </a:graphic>
          </wp:inline>
        </w:drawing>
      </w:r>
    </w:p>
    <w:p>
      <w:pPr>
        <w:pStyle w:val="Caption"/>
        <w:rPr/>
      </w:pPr>
      <w:bookmarkStart w:id="82" w:name="_Toc230629522"/>
      <w:bookmarkStart w:id="83" w:name="_Ref228209576"/>
      <w:bookmarkStart w:id="84" w:name="_Ref228209582"/>
      <w:r>
        <w:rPr/>
        <w:t xml:space="preserve">Rysunek </w:t>
      </w:r>
      <w:r>
        <w:rPr/>
        <w:fldChar w:fldCharType="begin"/>
      </w:r>
      <w:r>
        <w:rPr/>
        <w:instrText xml:space="preserve"> SEQ Rysunek \* ARABIC </w:instrText>
      </w:r>
      <w:r>
        <w:rPr/>
        <w:fldChar w:fldCharType="separate"/>
      </w:r>
      <w:r>
        <w:rPr/>
        <w:t>23</w:t>
      </w:r>
      <w:r>
        <w:rPr/>
        <w:fldChar w:fldCharType="end"/>
      </w:r>
      <w:bookmarkEnd w:id="84"/>
      <w:r>
        <w:rPr/>
        <w:t xml:space="preserve"> GradCam modelu mobilenetV3-Large podczas wykrywania choroby</w:t>
      </w:r>
      <w:bookmarkEnd w:id="82"/>
      <w:bookmarkEnd w:id="83"/>
    </w:p>
    <w:p>
      <w:pPr>
        <w:pStyle w:val="Heading2"/>
        <w:numPr>
          <w:ilvl w:val="1"/>
          <w:numId w:val="8"/>
        </w:numPr>
        <w:rPr/>
      </w:pPr>
      <w:bookmarkStart w:id="85" w:name="_Toc230629476"/>
      <w:r>
        <w:rPr/>
        <w:t>Implementacja systemu ensemble i mechanizmu głosowania</w:t>
      </w:r>
      <w:bookmarkEnd w:id="85"/>
    </w:p>
    <w:p>
      <w:pPr>
        <w:pStyle w:val="Normal"/>
        <w:ind w:firstLine="708"/>
        <w:rPr/>
      </w:pPr>
      <w:r>
        <w:rPr/>
        <w:t>Finalny wynik diagnostyczny systemu nie pochodzi od jednego modelu, lecz jest wynikiem agregacji predykcji wszystkich pięciu architektur. Takie podejście, określane w literaturze jako ensemble, pozwala ograniczyć wpływ błędów indywidualnych modeli na końcową decyzję i zwiększa stabilność systemu wobec trudnych przypadków brzegowych.</w:t>
      </w:r>
    </w:p>
    <w:p>
      <w:pPr>
        <w:pStyle w:val="Normal"/>
        <w:ind w:firstLine="708"/>
        <w:rPr/>
      </w:pPr>
      <w:r>
        <w:rPr/>
        <w:t>Każdy model przetwarza ten sam tensor wejściowy, powstały z jednorazowego preprocessingu obrazu. Modele uruchamiane są sekwencyjnie w pętli iterującej po słowniku załadowanych wag. Dla każdego modelu wywoływana jest funkcja predict, która przepuszcza tensor przez sieć, a surowe wyjście warstwy liniowej przekształca funkcją softmax na rozkład prawdopodobieństwa po wszystkich 14 klasach. Zwracane są trzy najlepsze klasy wraz z ich prawdopodobieństwami.</w:t>
      </w:r>
    </w:p>
    <w:p>
      <w:pPr>
        <w:pStyle w:val="Normal"/>
        <w:ind w:firstLine="708"/>
        <w:rPr/>
      </w:pPr>
      <w:r>
        <w:rPr/>
        <w:t>Każdy model oddaje jeden głos na klasę, którą wskazał jako najbardziej prawdopodobną. Głosy są zliczane, po czym wybierana jest klasa z największą liczbą głosów. Dla zwycięskiej klasy obliczana jest następnie średnia arytmetyczna pewności ze wszystkich modeli, które na nią głosowały. Wartość ta stanowi wynikową pewność konsensusu prezentowaną użytkownikowi.</w:t>
      </w:r>
    </w:p>
    <w:p>
      <w:pPr>
        <w:pStyle w:val="Normal"/>
        <w:ind w:hanging="0"/>
        <w:rPr/>
      </w:pPr>
      <w:r>
        <w:rPr/>
        <w:tab/>
        <w:t>W zastosowanym podejściu wykorzystano mechanizm głosowania nieważonego, w którym każdy z pięciu modeli ma taki sam wpływ na wynik końcowy. Oznacza to, że indywidualna skuteczność modeli, mierzona na zbiorze testowym, nie wpływa bezpośrednio na ich udział w podejmowaniu decyzji. Przyjęcie takiego rozwiązania było świadome i wynikało z faktu, że różnice w dokładności pomiędzy modelami nie były na tyle istotne, aby uzasadnić wprowadzenie bardziej złożonego systemu ważenia. Dodatkowa kalibracja mogłaby w tym przypadku zwiększyć złożoność systemu i utrudnić interpretację uzyskiwanych wyników.</w:t>
      </w:r>
    </w:p>
    <w:p>
      <w:pPr>
        <w:pStyle w:val="Normal"/>
        <w:ind w:hanging="0"/>
        <w:rPr/>
      </w:pPr>
      <w:r>
        <w:rPr/>
        <w:tab/>
        <w:t>W sytuacji, gdy którykolwiek z modeli nie zwróci wyniku, na przykład z powodu błędu w trakcie inferencji, jest on pomijany w procesie głosowania. Nie powoduje to przerwania całego procesu, a konsensus wyznaczany jest na podstawie pozostałych, poprawnie działających modeli. Informacja o takim zdarzeniu jest zapisywana w logach systemowych, co umożliwia późniejszą analizę ewentualnych problemów.</w:t>
      </w:r>
    </w:p>
    <w:p>
      <w:pPr>
        <w:pStyle w:val="Normal"/>
        <w:ind w:firstLine="708"/>
        <w:jc w:val="start"/>
        <w:rPr/>
      </w:pPr>
      <w:r>
        <w:rPr/>
        <w:t xml:space="preserve">Ostateczny wynik konsensusu, wraz z przypisanym poziomem ryzyka dla wybranej klasy, zapisywany jest w bazie danych jako główny rezultat przeprowadzonego badania. Jednocześnie wyniki poszczególnych modeli przechowywane są oddzielnie, co pozwala na analizę rozbieżności pomiędzy ich predykcjami w późniejszym etapie, na przykład w kontekście historii badań. </w:t>
      </w:r>
    </w:p>
    <w:p>
      <w:pPr>
        <w:pStyle w:val="Normal"/>
        <w:ind w:firstLine="708"/>
        <w:jc w:val="start"/>
        <w:rPr/>
      </w:pPr>
      <w:r>
        <w:rPr/>
        <w:t>Dodatkowo przeprowadzono eksperymenty porównawcze dla różnych konfiguracji ensembli. Testowano zarówno pary modeli, jak i większe kombinacje obejmujące trzy, cztery oraz pięć architektur, aby sprawdzić, które zestawienie zapewnia najwyższą skuteczność klasyfikacji. Łącznie przeanalizowano 26 różnych kombinacji modeli.</w:t>
      </w:r>
    </w:p>
    <w:p>
      <w:pPr>
        <w:pStyle w:val="Normal"/>
        <w:ind w:hanging="0"/>
        <w:rPr>
          <w:b/>
        </w:rPr>
      </w:pPr>
      <w:r>
        <w:rPr>
          <w:b/>
        </w:rPr>
      </w:r>
    </w:p>
    <w:p>
      <w:pPr>
        <w:pStyle w:val="Normal"/>
        <w:ind w:hanging="0"/>
        <w:rPr>
          <w:b/>
        </w:rPr>
      </w:pPr>
      <w:r>
        <w:rPr>
          <w:b/>
        </w:rPr>
        <w:drawing>
          <wp:anchor distT="0" distB="0" distL="0" distR="0" simplePos="0" relativeHeight="44" behindDoc="0" locked="0" layoutInCell="0" allowOverlap="1">
            <wp:simplePos x="0" y="0"/>
            <wp:positionH relativeFrom="column">
              <wp:posOffset>0</wp:posOffset>
            </wp:positionH>
            <wp:positionV relativeFrom="paragraph">
              <wp:posOffset>258445</wp:posOffset>
            </wp:positionV>
            <wp:extent cx="5760720" cy="3641090"/>
            <wp:effectExtent l="0" t="0" r="0" b="0"/>
            <wp:wrapTopAndBottom/>
            <wp:docPr id="25"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7"/>
                    <pic:cNvPicPr>
                      <a:picLocks noChangeAspect="1" noChangeArrowheads="1"/>
                    </pic:cNvPicPr>
                  </pic:nvPicPr>
                  <pic:blipFill>
                    <a:blip r:embed="rId27"/>
                    <a:stretch>
                      <a:fillRect/>
                    </a:stretch>
                  </pic:blipFill>
                  <pic:spPr bwMode="auto">
                    <a:xfrm>
                      <a:off x="0" y="0"/>
                      <a:ext cx="5760720" cy="3641090"/>
                    </a:xfrm>
                    <a:prstGeom prst="rect">
                      <a:avLst/>
                    </a:prstGeom>
                    <a:noFill/>
                  </pic:spPr>
                </pic:pic>
              </a:graphicData>
            </a:graphic>
          </wp:anchor>
        </w:drawing>
        <mc:AlternateContent>
          <mc:Choice Requires="wps">
            <w:drawing>
              <wp:anchor distT="0" distB="6985" distL="114300" distR="125730" simplePos="0" relativeHeight="45" behindDoc="0" locked="0" layoutInCell="0" allowOverlap="1" wp14:anchorId="750C9ACB">
                <wp:simplePos x="0" y="0"/>
                <wp:positionH relativeFrom="column">
                  <wp:posOffset>0</wp:posOffset>
                </wp:positionH>
                <wp:positionV relativeFrom="paragraph">
                  <wp:posOffset>3956685</wp:posOffset>
                </wp:positionV>
                <wp:extent cx="5760720" cy="235585"/>
                <wp:effectExtent l="0" t="635" r="0" b="0"/>
                <wp:wrapTopAndBottom/>
                <wp:docPr id="26" name="Pole tekstowe 1"/>
                <a:graphic xmlns:a="http://schemas.openxmlformats.org/drawingml/2006/main">
                  <a:graphicData uri="http://schemas.microsoft.com/office/word/2010/wordprocessingShape">
                    <wps:wsp>
                      <wps:cNvSpPr/>
                      <wps:spPr>
                        <a:xfrm>
                          <a:off x="0" y="0"/>
                          <a:ext cx="5760720" cy="235440"/>
                        </a:xfrm>
                        <a:prstGeom prst="rect">
                          <a:avLst/>
                        </a:prstGeom>
                        <a:noFill/>
                        <a:ln w="0">
                          <a:noFill/>
                        </a:ln>
                      </wps:spPr>
                      <wps:style>
                        <a:lnRef idx="0"/>
                        <a:fillRef idx="0"/>
                        <a:effectRef idx="0"/>
                        <a:fontRef idx="minor"/>
                      </wps:style>
                      <wps:txbx>
                        <w:txbxContent>
                          <w:p>
                            <w:pPr>
                              <w:pStyle w:val="Caption"/>
                              <w:spacing w:before="120" w:after="360"/>
                              <w:rPr>
                                <w:rFonts w:eastAsia="Calibri" w:eastAsiaTheme="minorHAnsi"/>
                                <w:color w:themeColor="text1" w:val="000000"/>
                                <w:szCs w:val="22"/>
                              </w:rPr>
                            </w:pPr>
                            <w:bookmarkStart w:id="86" w:name="_Toc230629523"/>
                            <w:r>
                              <w:rPr/>
                              <w:t xml:space="preserve">Rysunek </w:t>
                            </w:r>
                            <w:r>
                              <w:rPr/>
                              <w:fldChar w:fldCharType="begin"/>
                            </w:r>
                            <w:r>
                              <w:rPr/>
                              <w:instrText xml:space="preserve"> SEQ Rysunek \* ARABIC </w:instrText>
                            </w:r>
                            <w:r>
                              <w:rPr/>
                              <w:fldChar w:fldCharType="separate"/>
                            </w:r>
                            <w:r>
                              <w:rPr/>
                              <w:t>24</w:t>
                            </w:r>
                            <w:r>
                              <w:rPr/>
                              <w:fldChar w:fldCharType="end"/>
                            </w:r>
                            <w:r>
                              <w:rPr/>
                              <w:t xml:space="preserve"> System głosowania</w:t>
                            </w:r>
                            <w:bookmarkEnd w:id="86"/>
                          </w:p>
                        </w:txbxContent>
                      </wps:txbx>
                      <wps:bodyPr lIns="0" rIns="0" tIns="0" bIns="0" anchor="t">
                        <a:prstTxWarp prst="textNoShape"/>
                        <a:spAutoFit/>
                      </wps:bodyPr>
                    </wps:wsp>
                  </a:graphicData>
                </a:graphic>
              </wp:anchor>
            </w:drawing>
          </mc:Choice>
          <mc:Fallback>
            <w:pict>
              <v:rect id="shape_0" stroked="f" o:allowincell="f" style="position:absolute;margin-left:0pt;margin-top:311.55pt;width:453.55pt;height:18.5pt;mso-wrap-style:square;v-text-anchor:top" wp14:anchorId="750C9ACB">
                <v:fill o:detectmouseclick="t" on="false"/>
                <v:stroke color="#3465a4" joinstyle="round" endcap="flat"/>
                <v:textbox>
                  <w:txbxContent>
                    <w:p>
                      <w:pPr>
                        <w:pStyle w:val="Caption"/>
                        <w:spacing w:before="120" w:after="360"/>
                        <w:rPr>
                          <w:rFonts w:eastAsia="Calibri" w:eastAsiaTheme="minorHAnsi"/>
                          <w:color w:themeColor="text1" w:val="000000"/>
                          <w:szCs w:val="22"/>
                        </w:rPr>
                      </w:pPr>
                      <w:bookmarkStart w:id="87" w:name="_Toc230629523"/>
                      <w:r>
                        <w:rPr/>
                        <w:t xml:space="preserve">Rysunek </w:t>
                      </w:r>
                      <w:r>
                        <w:rPr/>
                        <w:fldChar w:fldCharType="begin"/>
                      </w:r>
                      <w:r>
                        <w:rPr/>
                        <w:instrText xml:space="preserve"> SEQ Rysunek \* ARABIC </w:instrText>
                      </w:r>
                      <w:r>
                        <w:rPr/>
                        <w:fldChar w:fldCharType="separate"/>
                      </w:r>
                      <w:r>
                        <w:rPr/>
                        <w:t>24</w:t>
                      </w:r>
                      <w:r>
                        <w:rPr/>
                        <w:fldChar w:fldCharType="end"/>
                      </w:r>
                      <w:r>
                        <w:rPr/>
                        <w:t xml:space="preserve"> System głosowania</w:t>
                      </w:r>
                      <w:bookmarkEnd w:id="87"/>
                    </w:p>
                  </w:txbxContent>
                </v:textbox>
                <w10:wrap type="topAndBottom"/>
              </v:rect>
            </w:pict>
          </mc:Fallback>
        </mc:AlternateContent>
      </w:r>
    </w:p>
    <w:p>
      <w:pPr>
        <w:pStyle w:val="Heading2"/>
        <w:numPr>
          <w:ilvl w:val="1"/>
          <w:numId w:val="8"/>
        </w:numPr>
        <w:rPr/>
      </w:pPr>
      <w:bookmarkStart w:id="88" w:name="_Toc230629477"/>
      <w:r>
        <w:rPr/>
        <w:t>Interfejs użytkownika</w:t>
      </w:r>
      <w:bookmarkEnd w:id="88"/>
    </w:p>
    <w:p>
      <w:pPr>
        <w:pStyle w:val="Normal"/>
        <w:rPr/>
      </w:pPr>
      <w:r>
        <w:rPr/>
        <w:t xml:space="preserve">Główny interfejs aplikacji został zaprojektowany z myślą o prostocie obsługi oraz intuicyjności, tak aby mógł być wygodnie wykorzystywany zarówno przez lekarzy, jak i osoby prowadzące badania. Na górze okna znajduje się pasek nawigacji umożliwiający szybkie przełączanie się między poszczególnymi zakładkami aplikacji. </w:t>
      </w:r>
    </w:p>
    <w:p>
      <w:pPr>
        <w:pStyle w:val="Heading3"/>
        <w:numPr>
          <w:ilvl w:val="2"/>
          <w:numId w:val="8"/>
        </w:numPr>
        <w:rPr/>
      </w:pPr>
      <w:bookmarkStart w:id="89" w:name="_Toc230629478"/>
      <w:r>
        <w:rPr/>
        <w:t>Zakładka skaner</w:t>
      </w:r>
      <w:bookmarkEnd w:id="89"/>
    </w:p>
    <w:p>
      <w:pPr>
        <w:pStyle w:val="Normal"/>
        <w:ind w:firstLine="708"/>
        <w:rPr/>
      </w:pPr>
      <w:r>
        <w:rPr/>
        <w:t>Stanowi główny moduł diagnostyczny aplikacji. Użytkownik może wczytać zdjęcie dermatoskopowe na dwa sposoby: poprzez wybór pliku z urządzenia (</w:t>
      </w:r>
      <w:r>
        <w:rPr/>
        <w:fldChar w:fldCharType="begin"/>
      </w:r>
      <w:r>
        <w:rPr/>
        <w:instrText xml:space="preserve"> REF _Ref229156857 \h </w:instrText>
      </w:r>
      <w:r>
        <w:rPr/>
        <w:fldChar w:fldCharType="separate"/>
      </w:r>
      <w:r>
        <w:rPr/>
        <w:t>Rysunek 25</w:t>
      </w:r>
      <w:r>
        <w:rPr/>
        <w:fldChar w:fldCharType="end"/>
      </w:r>
      <w:r>
        <w:rPr/>
        <w:t>)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 (</w:t>
      </w:r>
      <w:r>
        <w:rPr/>
        <w:fldChar w:fldCharType="begin"/>
      </w:r>
      <w:r>
        <w:rPr/>
        <w:instrText xml:space="preserve"> REF _Ref228210325 \h </w:instrText>
      </w:r>
      <w:r>
        <w:rPr/>
        <w:fldChar w:fldCharType="separate"/>
      </w:r>
      <w:r>
        <w:rPr/>
        <w:t>Rysunek 26</w:t>
      </w:r>
      <w:r>
        <w:rPr/>
        <w:fldChar w:fldCharType="end"/>
      </w:r>
      <w:r>
        <w:rPr/>
        <w:t>).</w:t>
      </w:r>
    </w:p>
    <w:p>
      <w:pPr>
        <w:pStyle w:val="Normal"/>
        <w:keepNext w:val="true"/>
        <w:ind w:firstLine="708"/>
        <w:jc w:val="center"/>
        <w:rPr/>
      </w:pPr>
      <w:r>
        <w:rPr/>
        <w:drawing>
          <wp:inline distT="0" distB="0" distL="0" distR="0">
            <wp:extent cx="5165090" cy="3624580"/>
            <wp:effectExtent l="0" t="0" r="0" b="0"/>
            <wp:docPr id="27"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az9"/>
                    <pic:cNvPicPr>
                      <a:picLocks noChangeAspect="1" noChangeArrowheads="1"/>
                    </pic:cNvPicPr>
                  </pic:nvPicPr>
                  <pic:blipFill>
                    <a:blip r:embed="rId28"/>
                    <a:stretch>
                      <a:fillRect/>
                    </a:stretch>
                  </pic:blipFill>
                  <pic:spPr bwMode="auto">
                    <a:xfrm>
                      <a:off x="0" y="0"/>
                      <a:ext cx="5165090" cy="3624580"/>
                    </a:xfrm>
                    <a:prstGeom prst="rect">
                      <a:avLst/>
                    </a:prstGeom>
                    <a:noFill/>
                  </pic:spPr>
                </pic:pic>
              </a:graphicData>
            </a:graphic>
          </wp:inline>
        </w:drawing>
      </w:r>
    </w:p>
    <w:p>
      <w:pPr>
        <w:pStyle w:val="Caption"/>
        <w:rPr/>
      </w:pPr>
      <w:bookmarkStart w:id="90" w:name="_Toc230629524"/>
      <w:bookmarkStart w:id="91" w:name="_Ref229156857"/>
      <w:r>
        <w:rPr/>
        <w:t xml:space="preserve">Rysunek </w:t>
      </w:r>
      <w:r>
        <w:rPr/>
        <w:fldChar w:fldCharType="begin"/>
      </w:r>
      <w:r>
        <w:rPr/>
        <w:instrText xml:space="preserve"> SEQ Rysunek \* ARABIC </w:instrText>
      </w:r>
      <w:r>
        <w:rPr/>
        <w:fldChar w:fldCharType="separate"/>
      </w:r>
      <w:r>
        <w:rPr/>
        <w:t>25</w:t>
      </w:r>
      <w:r>
        <w:rPr/>
        <w:fldChar w:fldCharType="end"/>
      </w:r>
      <w:bookmarkEnd w:id="91"/>
      <w:r>
        <w:rPr/>
        <w:t xml:space="preserve"> Zakładka skaner z dwoma trybami „Wgraj” oraz „Aparat”.</w:t>
      </w:r>
      <w:bookmarkEnd w:id="90"/>
    </w:p>
    <w:p>
      <w:pPr>
        <w:pStyle w:val="Normal"/>
        <w:ind w:hanging="0"/>
        <w:jc w:val="center"/>
        <w:rPr/>
      </w:pPr>
      <w:r>
        <w:rPr/>
        <w:drawing>
          <wp:inline distT="0" distB="0" distL="0" distR="0">
            <wp:extent cx="4811395" cy="3798570"/>
            <wp:effectExtent l="0" t="0" r="0" b="0"/>
            <wp:docPr id="28"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8"/>
                    <pic:cNvPicPr>
                      <a:picLocks noChangeAspect="1" noChangeArrowheads="1"/>
                    </pic:cNvPicPr>
                  </pic:nvPicPr>
                  <pic:blipFill>
                    <a:blip r:embed="rId29"/>
                    <a:stretch>
                      <a:fillRect/>
                    </a:stretch>
                  </pic:blipFill>
                  <pic:spPr bwMode="auto">
                    <a:xfrm>
                      <a:off x="0" y="0"/>
                      <a:ext cx="4811395" cy="3798570"/>
                    </a:xfrm>
                    <a:prstGeom prst="rect">
                      <a:avLst/>
                    </a:prstGeom>
                    <a:noFill/>
                  </pic:spPr>
                </pic:pic>
              </a:graphicData>
            </a:graphic>
          </wp:inline>
        </w:drawing>
      </w:r>
    </w:p>
    <w:p>
      <w:pPr>
        <w:pStyle w:val="Caption"/>
        <w:rPr/>
      </w:pPr>
      <w:bookmarkStart w:id="92" w:name="_Toc230629525"/>
      <w:bookmarkStart w:id="93" w:name="_Ref228210325"/>
      <w:r>
        <w:rPr/>
        <w:t xml:space="preserve">Rysunek </w:t>
      </w:r>
      <w:r>
        <w:rPr/>
        <w:fldChar w:fldCharType="begin"/>
      </w:r>
      <w:r>
        <w:rPr/>
        <w:instrText xml:space="preserve"> SEQ Rysunek \* ARABIC </w:instrText>
      </w:r>
      <w:r>
        <w:rPr/>
        <w:fldChar w:fldCharType="separate"/>
      </w:r>
      <w:r>
        <w:rPr/>
        <w:t>26</w:t>
      </w:r>
      <w:r>
        <w:rPr/>
        <w:fldChar w:fldCharType="end"/>
      </w:r>
      <w:bookmarkEnd w:id="93"/>
      <w:r>
        <w:rPr/>
        <w:t xml:space="preserve"> Wybranie i podgląd zdjęcia przed analizą.</w:t>
      </w:r>
      <w:bookmarkEnd w:id="92"/>
    </w:p>
    <w:p>
      <w:pPr>
        <w:pStyle w:val="Normal"/>
        <w:ind w:hanging="0"/>
        <w:rPr/>
      </w:pPr>
      <w:r>
        <w:rPr/>
      </w:r>
    </w:p>
    <w:p>
      <w:pPr>
        <w:pStyle w:val="Normal"/>
        <w:ind w:firstLine="708"/>
        <w:jc w:val="start"/>
        <w:rPr/>
      </w:pPr>
      <w:r>
        <w:rPr/>
      </w:r>
    </w:p>
    <w:p>
      <w:pPr>
        <w:pStyle w:val="Normal"/>
        <w:ind w:firstLine="708"/>
        <w:rPr>
          <w:color w:val="000000"/>
        </w:rPr>
      </w:pPr>
      <w:r>
        <w:rPr/>
        <w:t>Wyniki analizy prezentowane są w formie zbiorczego głosowania wszystkich wykorzystanych modeli sieci neuronowych (</w:t>
      </w:r>
      <w:r>
        <w:rPr/>
        <w:fldChar w:fldCharType="begin"/>
      </w:r>
      <w:r>
        <w:rPr/>
        <w:instrText xml:space="preserve"> REF _Ref229156918 \h </w:instrText>
      </w:r>
      <w:r>
        <w:rPr/>
        <w:fldChar w:fldCharType="separate"/>
      </w:r>
      <w:r>
        <w:rPr/>
        <w:t>Rysunek 27</w:t>
      </w:r>
      <w:r>
        <w:rPr/>
        <w:fldChar w:fldCharType="end"/>
      </w:r>
      <w:r>
        <w:rPr/>
        <w:t xml:space="preserve"> i </w:t>
      </w:r>
      <w:r>
        <w:rPr/>
        <w:fldChar w:fldCharType="begin"/>
      </w:r>
      <w:r>
        <w:rPr/>
        <w:instrText xml:space="preserve"> REF _Ref229156934 \h </w:instrText>
      </w:r>
      <w:r>
        <w:rPr/>
        <w:fldChar w:fldCharType="separate"/>
      </w:r>
      <w:r>
        <w:rPr/>
        <w:t>Rysunek 28</w:t>
      </w:r>
      <w:r>
        <w:rPr/>
        <w:fldChar w:fldCharType="end"/>
      </w:r>
      <w:r>
        <w:rPr/>
        <w:t>).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 (</w:t>
      </w:r>
      <w:r>
        <w:rPr/>
        <w:fldChar w:fldCharType="begin"/>
      </w:r>
      <w:r>
        <w:rPr/>
        <w:instrText xml:space="preserve"> REF _Ref228210655 \h </w:instrText>
      </w:r>
      <w:r>
        <w:rPr/>
        <w:fldChar w:fldCharType="separate"/>
      </w:r>
      <w:r>
        <w:rPr/>
        <w:t>Rysunek 29</w:t>
      </w:r>
      <w:r>
        <w:rPr/>
        <w:fldChar w:fldCharType="end"/>
      </w:r>
      <w:r>
        <w:rPr/>
        <w:t>).</w:t>
      </w:r>
      <w:r>
        <w:rPr>
          <w:color w:val="000000"/>
        </w:rPr>
        <w:t xml:space="preserve"> </w:t>
      </w:r>
    </w:p>
    <w:p>
      <w:pPr>
        <w:pStyle w:val="Caption"/>
        <w:rPr/>
      </w:pPr>
      <w:r>
        <w:rPr/>
        <w:drawing>
          <wp:inline distT="0" distB="0" distL="0" distR="0">
            <wp:extent cx="5760720" cy="1644650"/>
            <wp:effectExtent l="0" t="0" r="0" b="0"/>
            <wp:docPr id="29"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10"/>
                    <pic:cNvPicPr>
                      <a:picLocks noChangeAspect="1" noChangeArrowheads="1"/>
                    </pic:cNvPicPr>
                  </pic:nvPicPr>
                  <pic:blipFill>
                    <a:blip r:embed="rId30"/>
                    <a:stretch>
                      <a:fillRect/>
                    </a:stretch>
                  </pic:blipFill>
                  <pic:spPr bwMode="auto">
                    <a:xfrm>
                      <a:off x="0" y="0"/>
                      <a:ext cx="5760720" cy="1644650"/>
                    </a:xfrm>
                    <a:prstGeom prst="rect">
                      <a:avLst/>
                    </a:prstGeom>
                    <a:noFill/>
                  </pic:spPr>
                </pic:pic>
              </a:graphicData>
            </a:graphic>
          </wp:inline>
        </w:drawing>
      </w:r>
    </w:p>
    <w:p>
      <w:pPr>
        <w:pStyle w:val="Caption"/>
        <w:rPr/>
      </w:pPr>
      <w:bookmarkStart w:id="94" w:name="_Toc230629526"/>
      <w:bookmarkStart w:id="95" w:name="_Ref229156918"/>
      <w:r>
        <w:rPr/>
        <w:t xml:space="preserve">Rysunek </w:t>
      </w:r>
      <w:r>
        <w:rPr/>
        <w:fldChar w:fldCharType="begin"/>
      </w:r>
      <w:r>
        <w:rPr/>
        <w:instrText xml:space="preserve"> SEQ Rysunek \* ARABIC </w:instrText>
      </w:r>
      <w:r>
        <w:rPr/>
        <w:fldChar w:fldCharType="separate"/>
      </w:r>
      <w:r>
        <w:rPr/>
        <w:t>27</w:t>
      </w:r>
      <w:r>
        <w:rPr/>
        <w:fldChar w:fldCharType="end"/>
      </w:r>
      <w:bookmarkEnd w:id="95"/>
      <w:r>
        <w:rPr/>
        <w:t xml:space="preserve"> Wynik konsensusu modeli</w:t>
      </w:r>
      <w:bookmarkEnd w:id="94"/>
    </w:p>
    <w:p>
      <w:pPr>
        <w:pStyle w:val="Caption"/>
        <w:rPr/>
      </w:pPr>
      <w:r>
        <w:rPr/>
        <w:drawing>
          <wp:inline distT="0" distB="0" distL="0" distR="0">
            <wp:extent cx="5760720" cy="2749550"/>
            <wp:effectExtent l="0" t="0" r="0" b="0"/>
            <wp:docPr id="30"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11"/>
                    <pic:cNvPicPr>
                      <a:picLocks noChangeAspect="1" noChangeArrowheads="1"/>
                    </pic:cNvPicPr>
                  </pic:nvPicPr>
                  <pic:blipFill>
                    <a:blip r:embed="rId31"/>
                    <a:stretch>
                      <a:fillRect/>
                    </a:stretch>
                  </pic:blipFill>
                  <pic:spPr bwMode="auto">
                    <a:xfrm>
                      <a:off x="0" y="0"/>
                      <a:ext cx="5760720" cy="2749550"/>
                    </a:xfrm>
                    <a:prstGeom prst="rect">
                      <a:avLst/>
                    </a:prstGeom>
                    <a:noFill/>
                  </pic:spPr>
                </pic:pic>
              </a:graphicData>
            </a:graphic>
          </wp:inline>
        </w:drawing>
      </w:r>
    </w:p>
    <w:p>
      <w:pPr>
        <w:pStyle w:val="Caption"/>
        <w:rPr/>
      </w:pPr>
      <w:bookmarkStart w:id="96" w:name="_Toc230629527"/>
      <w:bookmarkStart w:id="97" w:name="_Ref229156934"/>
      <w:r>
        <w:rPr/>
        <w:t xml:space="preserve">Rysunek </w:t>
      </w:r>
      <w:r>
        <w:rPr/>
        <w:fldChar w:fldCharType="begin"/>
      </w:r>
      <w:r>
        <w:rPr/>
        <w:instrText xml:space="preserve"> SEQ Rysunek \* ARABIC </w:instrText>
      </w:r>
      <w:r>
        <w:rPr/>
        <w:fldChar w:fldCharType="separate"/>
      </w:r>
      <w:r>
        <w:rPr/>
        <w:t>28</w:t>
      </w:r>
      <w:r>
        <w:rPr/>
        <w:fldChar w:fldCharType="end"/>
      </w:r>
      <w:bookmarkEnd w:id="97"/>
      <w:r>
        <w:rPr/>
        <w:t xml:space="preserve"> Wyświetlenie diagnozy oraz prawdopodobieństwa każdego modelu</w:t>
      </w:r>
      <w:bookmarkEnd w:id="96"/>
    </w:p>
    <w:p>
      <w:pPr>
        <w:pStyle w:val="Normal"/>
        <w:ind w:hanging="0"/>
        <w:jc w:val="start"/>
        <w:rPr>
          <w:color w:val="000000"/>
        </w:rPr>
      </w:pPr>
      <w:r>
        <w:rPr>
          <w:color w:val="000000"/>
        </w:rPr>
      </w:r>
    </w:p>
    <w:p>
      <w:pPr>
        <w:pStyle w:val="Normal"/>
        <w:keepNext w:val="true"/>
        <w:ind w:hanging="0"/>
        <w:rPr/>
      </w:pPr>
      <w:r>
        <w:rPr/>
      </w:r>
    </w:p>
    <w:p>
      <w:pPr>
        <w:pStyle w:val="Normal"/>
        <w:keepNext w:val="true"/>
        <w:ind w:hanging="0"/>
        <w:jc w:val="center"/>
        <w:rPr/>
      </w:pPr>
      <w:r>
        <w:rPr/>
      </w:r>
    </w:p>
    <w:p>
      <w:pPr>
        <w:pStyle w:val="Caption"/>
        <w:tabs>
          <w:tab w:val="clear" w:pos="708"/>
          <w:tab w:val="center" w:pos="4536" w:leader="none"/>
          <w:tab w:val="right" w:pos="9072" w:leader="none"/>
        </w:tabs>
        <w:jc w:val="start"/>
        <w:rPr/>
      </w:pPr>
      <w:r>
        <w:rPr/>
        <w:drawing>
          <wp:inline distT="0" distB="0" distL="0" distR="0">
            <wp:extent cx="5760720" cy="5114290"/>
            <wp:effectExtent l="0" t="0" r="0" b="0"/>
            <wp:docPr id="31"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32"/>
                    <pic:cNvPicPr>
                      <a:picLocks noChangeAspect="1" noChangeArrowheads="1"/>
                    </pic:cNvPicPr>
                  </pic:nvPicPr>
                  <pic:blipFill>
                    <a:blip r:embed="rId32"/>
                    <a:stretch>
                      <a:fillRect/>
                    </a:stretch>
                  </pic:blipFill>
                  <pic:spPr bwMode="auto">
                    <a:xfrm>
                      <a:off x="0" y="0"/>
                      <a:ext cx="5760720" cy="5114290"/>
                    </a:xfrm>
                    <a:prstGeom prst="rect">
                      <a:avLst/>
                    </a:prstGeom>
                    <a:noFill/>
                  </pic:spPr>
                </pic:pic>
              </a:graphicData>
            </a:graphic>
          </wp:inline>
        </w:drawing>
      </w:r>
    </w:p>
    <w:p>
      <w:pPr>
        <w:pStyle w:val="Caption"/>
        <w:rPr/>
      </w:pPr>
      <w:bookmarkStart w:id="98" w:name="_Toc230629528"/>
      <w:bookmarkStart w:id="99" w:name="_Ref228210655"/>
      <w:r>
        <w:rPr/>
        <w:t xml:space="preserve">Rysunek </w:t>
      </w:r>
      <w:r>
        <w:rPr/>
        <w:fldChar w:fldCharType="begin"/>
      </w:r>
      <w:r>
        <w:rPr/>
        <w:instrText xml:space="preserve"> SEQ Rysunek \* ARABIC </w:instrText>
      </w:r>
      <w:r>
        <w:rPr/>
        <w:fldChar w:fldCharType="separate"/>
      </w:r>
      <w:r>
        <w:rPr/>
        <w:t>29</w:t>
      </w:r>
      <w:r>
        <w:rPr/>
        <w:fldChar w:fldCharType="end"/>
      </w:r>
      <w:bookmarkEnd w:id="99"/>
      <w:r>
        <w:rPr/>
        <w:t xml:space="preserve"> Diagnoza wybranego modelu oraz jego Grad-Cam</w:t>
      </w:r>
      <w:bookmarkEnd w:id="98"/>
    </w:p>
    <w:p>
      <w:pPr>
        <w:pStyle w:val="Heading3"/>
        <w:numPr>
          <w:ilvl w:val="2"/>
          <w:numId w:val="8"/>
        </w:numPr>
        <w:rPr/>
      </w:pPr>
      <w:bookmarkStart w:id="100" w:name="_Toc230629479"/>
      <w:r>
        <w:rPr/>
        <w:t>Zakładka historia</w:t>
      </w:r>
      <w:bookmarkEnd w:id="100"/>
    </w:p>
    <w:p>
      <w:pPr>
        <w:pStyle w:val="Caption"/>
        <w:tabs>
          <w:tab w:val="clear" w:pos="708"/>
          <w:tab w:val="center" w:pos="4536" w:leader="none"/>
          <w:tab w:val="right" w:pos="9072" w:leader="none"/>
        </w:tabs>
        <w:jc w:val="both"/>
        <w:rPr/>
      </w:pPr>
      <w:r>
        <w:rPr/>
        <w:tab/>
        <w:t xml:space="preserve">               Zawiera archiwum wszystkich przeprowadzonych badań. Wyniki prezentowane są w formie tabeli, w której każdy wiersz odpowiada jednemu badaniu (</w:t>
      </w:r>
      <w:r>
        <w:rPr/>
        <w:fldChar w:fldCharType="begin"/>
      </w:r>
      <w:r>
        <w:rPr/>
        <w:instrText xml:space="preserve"> REF _Ref228210745 \h </w:instrText>
      </w:r>
      <w:r>
        <w:rPr/>
        <w:fldChar w:fldCharType="separate"/>
      </w:r>
      <w:r>
        <w:rPr/>
        <w:t>Rysunek 30</w:t>
      </w:r>
      <w:r>
        <w:rPr/>
        <w:fldChar w:fldCharType="end"/>
      </w:r>
      <w:r>
        <w:rPr/>
        <w:t>).</w:t>
      </w:r>
    </w:p>
    <w:p>
      <w:pPr>
        <w:pStyle w:val="Caption"/>
        <w:tabs>
          <w:tab w:val="clear" w:pos="708"/>
          <w:tab w:val="center" w:pos="4536" w:leader="none"/>
          <w:tab w:val="right" w:pos="9072" w:leader="none"/>
        </w:tabs>
        <w:jc w:val="start"/>
        <w:rPr/>
      </w:pPr>
      <w:r>
        <w:rPr/>
        <w:drawing>
          <wp:inline distT="0" distB="0" distL="0" distR="0">
            <wp:extent cx="5760720" cy="3934460"/>
            <wp:effectExtent l="0" t="0" r="0" b="0"/>
            <wp:docPr id="32"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33"/>
                    <pic:cNvPicPr>
                      <a:picLocks noChangeAspect="1" noChangeArrowheads="1"/>
                    </pic:cNvPicPr>
                  </pic:nvPicPr>
                  <pic:blipFill>
                    <a:blip r:embed="rId33"/>
                    <a:stretch>
                      <a:fillRect/>
                    </a:stretch>
                  </pic:blipFill>
                  <pic:spPr bwMode="auto">
                    <a:xfrm>
                      <a:off x="0" y="0"/>
                      <a:ext cx="5760720" cy="3934460"/>
                    </a:xfrm>
                    <a:prstGeom prst="rect">
                      <a:avLst/>
                    </a:prstGeom>
                    <a:noFill/>
                  </pic:spPr>
                </pic:pic>
              </a:graphicData>
            </a:graphic>
          </wp:inline>
        </w:drawing>
      </w:r>
    </w:p>
    <w:p>
      <w:pPr>
        <w:pStyle w:val="Caption"/>
        <w:rPr/>
      </w:pPr>
      <w:bookmarkStart w:id="101" w:name="_Toc230629529"/>
      <w:bookmarkStart w:id="102" w:name="_Ref228210745"/>
      <w:r>
        <w:rPr/>
        <w:t xml:space="preserve">Rysunek </w:t>
      </w:r>
      <w:r>
        <w:rPr/>
        <w:fldChar w:fldCharType="begin"/>
      </w:r>
      <w:r>
        <w:rPr/>
        <w:instrText xml:space="preserve"> SEQ Rysunek \* ARABIC </w:instrText>
      </w:r>
      <w:r>
        <w:rPr/>
        <w:fldChar w:fldCharType="separate"/>
      </w:r>
      <w:r>
        <w:rPr/>
        <w:t>30</w:t>
      </w:r>
      <w:r>
        <w:rPr/>
        <w:fldChar w:fldCharType="end"/>
      </w:r>
      <w:bookmarkEnd w:id="102"/>
      <w:r>
        <w:rPr/>
        <w:t xml:space="preserve"> Widok zakładki 'Historia'</w:t>
      </w:r>
      <w:bookmarkEnd w:id="101"/>
    </w:p>
    <w:p>
      <w:pPr>
        <w:pStyle w:val="Caption"/>
        <w:tabs>
          <w:tab w:val="clear" w:pos="708"/>
          <w:tab w:val="center" w:pos="4536" w:leader="none"/>
          <w:tab w:val="right" w:pos="9072" w:leader="none"/>
        </w:tabs>
        <w:jc w:val="both"/>
        <w:rPr/>
      </w:pPr>
      <w:r>
        <w:rPr/>
        <w:t xml:space="preserve">               </w:t>
      </w:r>
      <w:r>
        <w:rPr/>
        <w:t>W kolumnach widoczny jest podgląd miniatury zdjęcia, postawiona diagnoza, liczba modeli biorących udział w głosowaniu oraz ikony umożliwiające szybkie wyświetlenie map Grad-CAM poszczególnych modeli (</w:t>
      </w:r>
      <w:r>
        <w:rPr/>
        <w:fldChar w:fldCharType="begin"/>
      </w:r>
      <w:r>
        <w:rPr/>
        <w:instrText xml:space="preserve"> REF _Ref228210852 \h </w:instrText>
      </w:r>
      <w:r>
        <w:rPr/>
        <w:fldChar w:fldCharType="separate"/>
      </w:r>
      <w:r>
        <w:rPr/>
        <w:t>Rysunek 31</w:t>
      </w:r>
      <w:r>
        <w:rPr/>
        <w:fldChar w:fldCharType="end"/>
      </w:r>
      <w:r>
        <w:rPr/>
        <w:t xml:space="preserve"> i </w:t>
      </w:r>
      <w:r>
        <w:rPr/>
        <w:fldChar w:fldCharType="begin"/>
      </w:r>
      <w:r>
        <w:rPr/>
        <w:instrText xml:space="preserve"> REF _Ref228210890 \h </w:instrText>
      </w:r>
      <w:r>
        <w:rPr/>
        <w:fldChar w:fldCharType="separate"/>
      </w:r>
      <w:r>
        <w:rPr/>
        <w:t>Rysunek 32</w:t>
      </w:r>
      <w:r>
        <w:rPr/>
        <w:fldChar w:fldCharType="end"/>
      </w:r>
      <w:r>
        <w:rPr/>
        <w:t>).</w:t>
      </w:r>
    </w:p>
    <w:p>
      <w:pPr>
        <w:pStyle w:val="Caption"/>
        <w:tabs>
          <w:tab w:val="clear" w:pos="708"/>
          <w:tab w:val="center" w:pos="4536" w:leader="none"/>
          <w:tab w:val="right" w:pos="9072" w:leader="none"/>
        </w:tabs>
        <w:jc w:val="both"/>
        <w:rPr/>
      </w:pPr>
      <w:r>
        <w:rPr/>
      </w:r>
    </w:p>
    <w:p>
      <w:pPr>
        <w:pStyle w:val="Caption"/>
        <w:tabs>
          <w:tab w:val="clear" w:pos="708"/>
          <w:tab w:val="center" w:pos="4536" w:leader="none"/>
          <w:tab w:val="right" w:pos="9072" w:leader="none"/>
        </w:tabs>
        <w:jc w:val="both"/>
        <w:rPr/>
      </w:pPr>
      <w:r>
        <w:rPr/>
        <w:drawing>
          <wp:inline distT="0" distB="0" distL="0" distR="0">
            <wp:extent cx="5760720" cy="2976245"/>
            <wp:effectExtent l="0" t="0" r="0" b="0"/>
            <wp:docPr id="33"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az34"/>
                    <pic:cNvPicPr>
                      <a:picLocks noChangeAspect="1" noChangeArrowheads="1"/>
                    </pic:cNvPicPr>
                  </pic:nvPicPr>
                  <pic:blipFill>
                    <a:blip r:embed="rId34"/>
                    <a:stretch>
                      <a:fillRect/>
                    </a:stretch>
                  </pic:blipFill>
                  <pic:spPr bwMode="auto">
                    <a:xfrm>
                      <a:off x="0" y="0"/>
                      <a:ext cx="5760720" cy="2976245"/>
                    </a:xfrm>
                    <a:prstGeom prst="rect">
                      <a:avLst/>
                    </a:prstGeom>
                    <a:noFill/>
                  </pic:spPr>
                </pic:pic>
              </a:graphicData>
            </a:graphic>
          </wp:inline>
        </w:drawing>
      </w:r>
    </w:p>
    <w:p>
      <w:pPr>
        <w:pStyle w:val="Caption"/>
        <w:rPr/>
      </w:pPr>
      <w:bookmarkStart w:id="103" w:name="_Toc230629530"/>
      <w:bookmarkStart w:id="104" w:name="_Ref228210852"/>
      <w:r>
        <w:rPr/>
        <w:t xml:space="preserve">Rysunek </w:t>
      </w:r>
      <w:r>
        <w:rPr/>
        <w:fldChar w:fldCharType="begin"/>
      </w:r>
      <w:r>
        <w:rPr/>
        <w:instrText xml:space="preserve"> SEQ Rysunek \* ARABIC </w:instrText>
      </w:r>
      <w:r>
        <w:rPr/>
        <w:fldChar w:fldCharType="separate"/>
      </w:r>
      <w:r>
        <w:rPr/>
        <w:t>31</w:t>
      </w:r>
      <w:r>
        <w:rPr/>
        <w:fldChar w:fldCharType="end"/>
      </w:r>
      <w:bookmarkEnd w:id="104"/>
      <w:r>
        <w:rPr/>
        <w:t xml:space="preserve"> Podgląd historycznej analizy</w:t>
      </w:r>
      <w:bookmarkEnd w:id="103"/>
    </w:p>
    <w:p>
      <w:pPr>
        <w:pStyle w:val="Caption"/>
        <w:jc w:val="both"/>
        <w:rPr/>
      </w:pPr>
      <w:r>
        <w:rPr/>
        <w:drawing>
          <wp:inline distT="0" distB="0" distL="0" distR="0">
            <wp:extent cx="5760720" cy="2714625"/>
            <wp:effectExtent l="0" t="0" r="0" b="0"/>
            <wp:docPr id="34"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35"/>
                    <pic:cNvPicPr>
                      <a:picLocks noChangeAspect="1" noChangeArrowheads="1"/>
                    </pic:cNvPicPr>
                  </pic:nvPicPr>
                  <pic:blipFill>
                    <a:blip r:embed="rId35"/>
                    <a:stretch>
                      <a:fillRect/>
                    </a:stretch>
                  </pic:blipFill>
                  <pic:spPr bwMode="auto">
                    <a:xfrm>
                      <a:off x="0" y="0"/>
                      <a:ext cx="5760720" cy="2714625"/>
                    </a:xfrm>
                    <a:prstGeom prst="rect">
                      <a:avLst/>
                    </a:prstGeom>
                    <a:noFill/>
                  </pic:spPr>
                </pic:pic>
              </a:graphicData>
            </a:graphic>
          </wp:inline>
        </w:drawing>
      </w:r>
    </w:p>
    <w:p>
      <w:pPr>
        <w:pStyle w:val="Caption"/>
        <w:rPr/>
      </w:pPr>
      <w:bookmarkStart w:id="105" w:name="_Toc230629531"/>
      <w:bookmarkStart w:id="106" w:name="_Ref228210890"/>
      <w:r>
        <w:rPr/>
        <w:t xml:space="preserve">Rysunek </w:t>
      </w:r>
      <w:r>
        <w:rPr/>
        <w:fldChar w:fldCharType="begin"/>
      </w:r>
      <w:r>
        <w:rPr/>
        <w:instrText xml:space="preserve"> SEQ Rysunek \* ARABIC </w:instrText>
      </w:r>
      <w:r>
        <w:rPr/>
        <w:fldChar w:fldCharType="separate"/>
      </w:r>
      <w:r>
        <w:rPr/>
        <w:t>32</w:t>
      </w:r>
      <w:r>
        <w:rPr/>
        <w:fldChar w:fldCharType="end"/>
      </w:r>
      <w:bookmarkEnd w:id="106"/>
      <w:r>
        <w:rPr/>
        <w:t xml:space="preserve"> Podgląd Grad-Cam dla historycznego badania</w:t>
      </w:r>
      <w:bookmarkEnd w:id="105"/>
    </w:p>
    <w:p>
      <w:pPr>
        <w:pStyle w:val="Heading3"/>
        <w:numPr>
          <w:ilvl w:val="2"/>
          <w:numId w:val="8"/>
        </w:numPr>
        <w:rPr/>
      </w:pPr>
      <w:bookmarkStart w:id="107" w:name="_Toc230629480"/>
      <w:r>
        <w:rPr/>
        <w:t>Zakładka „Kamera na żywo”</w:t>
      </w:r>
      <w:bookmarkEnd w:id="107"/>
    </w:p>
    <w:p>
      <w:pPr>
        <w:pStyle w:val="Normal"/>
        <w:ind w:firstLine="708"/>
        <w:rPr/>
      </w:pPr>
      <w:r>
        <w:rPr/>
        <w:t>Umożliwia przeprowadzanie analizy w trybie strumieniowania obrazu w czasie rzeczywistym. Aplikacja wspiera dwa tryby pracy: odbiornik (</w:t>
      </w:r>
      <w:r>
        <w:rPr/>
        <w:fldChar w:fldCharType="begin"/>
      </w:r>
      <w:r>
        <w:rPr/>
        <w:instrText xml:space="preserve"> REF _Ref229156992 \h </w:instrText>
      </w:r>
      <w:r>
        <w:rPr/>
        <w:fldChar w:fldCharType="separate"/>
      </w:r>
      <w:r>
        <w:rPr/>
        <w:t>Rysunek 33</w:t>
      </w:r>
      <w:r>
        <w:rPr/>
        <w:fldChar w:fldCharType="end"/>
      </w:r>
      <w:r>
        <w:rPr/>
        <w:t>) i nadajnik (</w:t>
      </w:r>
      <w:r>
        <w:rPr/>
        <w:fldChar w:fldCharType="begin"/>
      </w:r>
      <w:r>
        <w:rPr/>
        <w:instrText xml:space="preserve"> REF _Ref228213266 \h </w:instrText>
      </w:r>
      <w:r>
        <w:rPr/>
        <w:fldChar w:fldCharType="separate"/>
      </w:r>
      <w:r>
        <w:rPr/>
        <w:t>Rysunek 34</w:t>
      </w:r>
      <w:r>
        <w:rPr/>
        <w:fldChar w:fldCharType="end"/>
      </w:r>
      <w:r>
        <w:rPr/>
        <w:t>). Tryb nadajnika pozwala wykorzystać urządzenie mobilne (np. telefon) jako źródło obrazu. Wystarczy, że oba urządzenia znajdują się w tej samej sieci Wi-Fi. Obraz z kamery jest wówczas przesyłany na komputer, na którym uruchomiona jest aplikacja. Po ustabilizowaniu obrazu proces analizy przebiega analogicznie do trybu klasycznego w zakładce „Skaner”.</w:t>
      </w:r>
    </w:p>
    <w:p>
      <w:pPr>
        <w:pStyle w:val="Caption"/>
        <w:rPr/>
      </w:pPr>
      <w:r>
        <w:rPr/>
        <w:drawing>
          <wp:inline distT="0" distB="0" distL="0" distR="0">
            <wp:extent cx="5760720" cy="4977130"/>
            <wp:effectExtent l="0" t="0" r="0" b="0"/>
            <wp:docPr id="35"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36"/>
                    <pic:cNvPicPr>
                      <a:picLocks noChangeAspect="1" noChangeArrowheads="1"/>
                    </pic:cNvPicPr>
                  </pic:nvPicPr>
                  <pic:blipFill>
                    <a:blip r:embed="rId36"/>
                    <a:stretch>
                      <a:fillRect/>
                    </a:stretch>
                  </pic:blipFill>
                  <pic:spPr bwMode="auto">
                    <a:xfrm>
                      <a:off x="0" y="0"/>
                      <a:ext cx="5760720" cy="4977130"/>
                    </a:xfrm>
                    <a:prstGeom prst="rect">
                      <a:avLst/>
                    </a:prstGeom>
                    <a:noFill/>
                  </pic:spPr>
                </pic:pic>
              </a:graphicData>
            </a:graphic>
          </wp:inline>
        </w:drawing>
      </w:r>
    </w:p>
    <w:p>
      <w:pPr>
        <w:pStyle w:val="Caption"/>
        <w:rPr/>
      </w:pPr>
      <w:bookmarkStart w:id="108" w:name="_Toc230629532"/>
      <w:bookmarkStart w:id="109" w:name="_Ref229156992"/>
      <w:r>
        <w:rPr/>
        <w:t xml:space="preserve">Rysunek </w:t>
      </w:r>
      <w:r>
        <w:rPr/>
        <w:fldChar w:fldCharType="begin"/>
      </w:r>
      <w:r>
        <w:rPr/>
        <w:instrText xml:space="preserve"> SEQ Rysunek \* ARABIC </w:instrText>
      </w:r>
      <w:r>
        <w:rPr/>
        <w:fldChar w:fldCharType="separate"/>
      </w:r>
      <w:r>
        <w:rPr/>
        <w:t>33</w:t>
      </w:r>
      <w:r>
        <w:rPr/>
        <w:fldChar w:fldCharType="end"/>
      </w:r>
      <w:bookmarkEnd w:id="109"/>
      <w:r>
        <w:rPr/>
        <w:t xml:space="preserve"> Przechwytywanie strumienia nadawanego z telefonu</w:t>
      </w:r>
      <w:bookmarkEnd w:id="108"/>
    </w:p>
    <w:p>
      <w:pPr>
        <w:pStyle w:val="Normal"/>
        <w:ind w:hanging="0"/>
        <w:rPr/>
      </w:pPr>
      <w:r>
        <w:rPr/>
      </w:r>
    </w:p>
    <w:p>
      <w:pPr>
        <w:pStyle w:val="Normal"/>
        <w:keepNext w:val="true"/>
        <w:ind w:hanging="0"/>
        <w:jc w:val="center"/>
        <w:rPr/>
      </w:pPr>
      <w:r>
        <w:rPr/>
      </w:r>
    </w:p>
    <w:p>
      <w:pPr>
        <w:pStyle w:val="Caption"/>
        <w:rPr/>
      </w:pPr>
      <w:r>
        <w:rPr/>
        <w:drawing>
          <wp:inline distT="0" distB="0" distL="0" distR="0">
            <wp:extent cx="4341495" cy="7985760"/>
            <wp:effectExtent l="0" t="0" r="0" b="0"/>
            <wp:docPr id="36"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az17"/>
                    <pic:cNvPicPr>
                      <a:picLocks noChangeAspect="1" noChangeArrowheads="1"/>
                    </pic:cNvPicPr>
                  </pic:nvPicPr>
                  <pic:blipFill>
                    <a:blip r:embed="rId37"/>
                    <a:stretch>
                      <a:fillRect/>
                    </a:stretch>
                  </pic:blipFill>
                  <pic:spPr bwMode="auto">
                    <a:xfrm>
                      <a:off x="0" y="0"/>
                      <a:ext cx="4341495" cy="7985760"/>
                    </a:xfrm>
                    <a:prstGeom prst="rect">
                      <a:avLst/>
                    </a:prstGeom>
                    <a:noFill/>
                  </pic:spPr>
                </pic:pic>
              </a:graphicData>
            </a:graphic>
          </wp:inline>
        </w:drawing>
      </w:r>
    </w:p>
    <w:p>
      <w:pPr>
        <w:pStyle w:val="Caption"/>
        <w:rPr/>
      </w:pPr>
      <w:bookmarkStart w:id="110" w:name="_Toc230629533"/>
      <w:bookmarkStart w:id="111" w:name="_Ref228213266"/>
      <w:r>
        <w:rPr/>
        <w:t xml:space="preserve">Rysunek </w:t>
      </w:r>
      <w:r>
        <w:rPr/>
        <w:fldChar w:fldCharType="begin"/>
      </w:r>
      <w:r>
        <w:rPr/>
        <w:instrText xml:space="preserve"> SEQ Rysunek \* ARABIC </w:instrText>
      </w:r>
      <w:r>
        <w:rPr/>
        <w:fldChar w:fldCharType="separate"/>
      </w:r>
      <w:r>
        <w:rPr/>
        <w:t>34</w:t>
      </w:r>
      <w:r>
        <w:rPr/>
        <w:fldChar w:fldCharType="end"/>
      </w:r>
      <w:bookmarkEnd w:id="111"/>
      <w:r>
        <w:rPr/>
        <w:t xml:space="preserve"> Strumień z telefonu</w:t>
      </w:r>
      <w:bookmarkEnd w:id="110"/>
    </w:p>
    <w:p>
      <w:pPr>
        <w:pStyle w:val="Heading3"/>
        <w:numPr>
          <w:ilvl w:val="2"/>
          <w:numId w:val="8"/>
        </w:numPr>
        <w:rPr/>
      </w:pPr>
      <w:bookmarkStart w:id="112" w:name="_Toc230629481"/>
      <w:r>
        <w:rPr/>
        <w:t>Zakładka „Mapa ciała”</w:t>
      </w:r>
      <w:bookmarkEnd w:id="112"/>
    </w:p>
    <w:p>
      <w:pPr>
        <w:pStyle w:val="Caption"/>
        <w:ind w:firstLine="708"/>
        <w:jc w:val="both"/>
        <w:rPr>
          <w:sz w:val="24"/>
        </w:rPr>
      </w:pPr>
      <w:r>
        <w:rPr>
          <w:sz w:val="24"/>
        </w:rPr>
        <w:t>Służy do dokumentacji lokalizacji zmian skórnych. Użytkownik może dodać nowego pacjenta, a następnie oznaczyć na schematycznym rysunku ludzkiego ciała miejsce, w którym wykonano zdjęcie (</w:t>
      </w:r>
      <w:r>
        <w:rPr>
          <w:sz w:val="24"/>
        </w:rPr>
        <w:fldChar w:fldCharType="begin"/>
      </w:r>
      <w:r>
        <w:rPr>
          <w:sz w:val="24"/>
        </w:rPr>
        <w:instrText xml:space="preserve"> REF _Ref228211250 \h </w:instrText>
      </w:r>
      <w:r>
        <w:rPr>
          <w:sz w:val="24"/>
        </w:rPr>
        <w:fldChar w:fldCharType="separate"/>
      </w:r>
      <w:r>
        <w:rPr>
          <w:sz w:val="24"/>
        </w:rPr>
        <w:t>Rysunek 35</w:t>
      </w:r>
      <w:r>
        <w:rPr>
          <w:sz w:val="24"/>
        </w:rPr>
        <w:fldChar w:fldCharType="end"/>
      </w:r>
      <w:r>
        <w:rPr>
          <w:sz w:val="24"/>
        </w:rPr>
        <w:t>). Do każdego oznaczenia istnieje możliwość dodania notatki lub etykiety opisowej.</w:t>
      </w:r>
    </w:p>
    <w:p>
      <w:pPr>
        <w:pStyle w:val="Caption"/>
        <w:jc w:val="both"/>
        <w:rPr/>
      </w:pPr>
      <w:r>
        <w:rPr/>
        <w:drawing>
          <wp:inline distT="0" distB="0" distL="0" distR="0">
            <wp:extent cx="5760720" cy="4147820"/>
            <wp:effectExtent l="0" t="0" r="0" b="0"/>
            <wp:docPr id="37"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37"/>
                    <pic:cNvPicPr>
                      <a:picLocks noChangeAspect="1" noChangeArrowheads="1"/>
                    </pic:cNvPicPr>
                  </pic:nvPicPr>
                  <pic:blipFill>
                    <a:blip r:embed="rId38"/>
                    <a:stretch>
                      <a:fillRect/>
                    </a:stretch>
                  </pic:blipFill>
                  <pic:spPr bwMode="auto">
                    <a:xfrm>
                      <a:off x="0" y="0"/>
                      <a:ext cx="5760720" cy="4147820"/>
                    </a:xfrm>
                    <a:prstGeom prst="rect">
                      <a:avLst/>
                    </a:prstGeom>
                    <a:noFill/>
                  </pic:spPr>
                </pic:pic>
              </a:graphicData>
            </a:graphic>
          </wp:inline>
        </w:drawing>
      </w:r>
    </w:p>
    <w:p>
      <w:pPr>
        <w:pStyle w:val="Caption"/>
        <w:rPr/>
      </w:pPr>
      <w:bookmarkStart w:id="113" w:name="_Toc230629534"/>
      <w:bookmarkStart w:id="114" w:name="_Ref228211250"/>
      <w:r>
        <w:rPr/>
        <w:t xml:space="preserve">Rysunek </w:t>
      </w:r>
      <w:r>
        <w:rPr/>
        <w:fldChar w:fldCharType="begin"/>
      </w:r>
      <w:r>
        <w:rPr/>
        <w:instrText xml:space="preserve"> SEQ Rysunek \* ARABIC </w:instrText>
      </w:r>
      <w:r>
        <w:rPr/>
        <w:fldChar w:fldCharType="separate"/>
      </w:r>
      <w:r>
        <w:rPr/>
        <w:t>35</w:t>
      </w:r>
      <w:r>
        <w:rPr/>
        <w:fldChar w:fldCharType="end"/>
      </w:r>
      <w:bookmarkEnd w:id="114"/>
      <w:r>
        <w:rPr/>
        <w:t xml:space="preserve"> : Podgląd zakładki "Mapy ciała"</w:t>
      </w:r>
      <w:bookmarkEnd w:id="113"/>
    </w:p>
    <w:p>
      <w:pPr>
        <w:pStyle w:val="Heading3"/>
        <w:numPr>
          <w:ilvl w:val="2"/>
          <w:numId w:val="8"/>
        </w:numPr>
        <w:rPr/>
      </w:pPr>
      <w:bookmarkStart w:id="115" w:name="_Toc230629482"/>
      <w:r>
        <w:rPr/>
        <w:t>Zakładka „Informacje”</w:t>
      </w:r>
      <w:bookmarkEnd w:id="115"/>
    </w:p>
    <w:p>
      <w:pPr>
        <w:pStyle w:val="Caption"/>
        <w:keepNext w:val="false"/>
        <w:widowControl w:val="false"/>
        <w:ind w:firstLine="709"/>
        <w:jc w:val="both"/>
        <w:rPr>
          <w:sz w:val="24"/>
        </w:rPr>
      </w:pPr>
      <w:r>
        <w:rPr>
          <w:sz w:val="24"/>
        </w:rPr>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pPr>
        <w:pStyle w:val="Heading3"/>
        <w:numPr>
          <w:ilvl w:val="2"/>
          <w:numId w:val="8"/>
        </w:numPr>
        <w:rPr/>
      </w:pPr>
      <w:bookmarkStart w:id="116" w:name="_Toc230629483"/>
      <w:r>
        <w:rPr/>
        <w:t>Ustawienia</w:t>
      </w:r>
      <w:bookmarkEnd w:id="116"/>
    </w:p>
    <w:p>
      <w:pPr>
        <w:pStyle w:val="Normal"/>
        <w:ind w:firstLine="708"/>
        <w:jc w:val="start"/>
        <w:rPr/>
      </w:pPr>
      <w:r>
        <w:rPr/>
        <w:t>Użytkownik może dostosować wybrane parametry aplikacji. Można tu zmienić język interfejsu oraz motyw kolorystyczny. Domyślnie inferencja wykonywana jest na procesorze graficznym (GPU), jeśli jest dostępny. Użytkownik ma również możliwość przeglądania listy obsługiwanych modeli sieci neuronowych (</w:t>
      </w:r>
      <w:r>
        <w:rPr/>
        <w:fldChar w:fldCharType="begin"/>
      </w:r>
      <w:r>
        <w:rPr/>
        <w:instrText xml:space="preserve"> REF _Ref229159311 \h </w:instrText>
      </w:r>
      <w:r>
        <w:rPr/>
        <w:fldChar w:fldCharType="separate"/>
      </w:r>
      <w:r>
        <w:rPr/>
        <w:t>Rysunek 36</w:t>
      </w:r>
      <w:r>
        <w:rPr/>
        <w:fldChar w:fldCharType="end"/>
      </w:r>
      <w:r>
        <w:rPr/>
        <w:t>).</w:t>
      </w:r>
    </w:p>
    <w:p>
      <w:pPr>
        <w:pStyle w:val="Normal"/>
        <w:ind w:hanging="0"/>
        <w:jc w:val="center"/>
        <w:rPr/>
      </w:pPr>
      <w:r>
        <w:rPr/>
        <w:drawing>
          <wp:inline distT="0" distB="0" distL="0" distR="0">
            <wp:extent cx="2910840" cy="6624320"/>
            <wp:effectExtent l="0" t="0" r="0" b="0"/>
            <wp:docPr id="3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az38"/>
                    <pic:cNvPicPr>
                      <a:picLocks noChangeAspect="1" noChangeArrowheads="1"/>
                    </pic:cNvPicPr>
                  </pic:nvPicPr>
                  <pic:blipFill>
                    <a:blip r:embed="rId39"/>
                    <a:stretch>
                      <a:fillRect/>
                    </a:stretch>
                  </pic:blipFill>
                  <pic:spPr bwMode="auto">
                    <a:xfrm>
                      <a:off x="0" y="0"/>
                      <a:ext cx="2910840" cy="6624320"/>
                    </a:xfrm>
                    <a:prstGeom prst="rect">
                      <a:avLst/>
                    </a:prstGeom>
                    <a:noFill/>
                  </pic:spPr>
                </pic:pic>
              </a:graphicData>
            </a:graphic>
          </wp:inline>
        </w:drawing>
      </w:r>
      <w:bookmarkStart w:id="117" w:name="_Ref228211550"/>
    </w:p>
    <w:p>
      <w:pPr>
        <w:pStyle w:val="Normal"/>
        <w:ind w:hanging="0"/>
        <w:jc w:val="center"/>
        <w:rPr/>
      </w:pPr>
      <w:bookmarkStart w:id="118" w:name="_Toc230629535"/>
      <w:bookmarkStart w:id="119" w:name="_Ref229159311"/>
      <w:r>
        <w:rPr/>
        <w:t xml:space="preserve">Rysunek </w:t>
      </w:r>
      <w:r>
        <w:rPr/>
        <w:fldChar w:fldCharType="begin"/>
      </w:r>
      <w:r>
        <w:rPr/>
        <w:instrText xml:space="preserve"> SEQ Rysunek \* ARABIC </w:instrText>
      </w:r>
      <w:r>
        <w:rPr/>
        <w:fldChar w:fldCharType="separate"/>
      </w:r>
      <w:r>
        <w:rPr/>
        <w:t>36</w:t>
      </w:r>
      <w:r>
        <w:rPr/>
        <w:fldChar w:fldCharType="end"/>
      </w:r>
      <w:bookmarkEnd w:id="117"/>
      <w:bookmarkEnd w:id="119"/>
      <w:r>
        <w:rPr/>
        <w:t xml:space="preserve"> Widok ustawień</w:t>
      </w:r>
      <w:bookmarkStart w:id="120" w:name="OLE_LINK25"/>
      <w:bookmarkStart w:id="121" w:name="OLE_LINK24"/>
      <w:bookmarkEnd w:id="118"/>
      <w:r>
        <w:rPr/>
        <w:t xml:space="preserve"> </w:t>
      </w:r>
    </w:p>
    <w:p>
      <w:pPr>
        <w:pStyle w:val="Heading1"/>
        <w:numPr>
          <w:ilvl w:val="0"/>
          <w:numId w:val="2"/>
        </w:numPr>
        <w:ind w:hanging="851" w:start="851"/>
        <w:rPr/>
      </w:pPr>
      <w:bookmarkStart w:id="122" w:name="_Toc230629484"/>
      <w:r>
        <w:rPr/>
        <w:t>Wyniki eksperymentów i analiza porównawcza</w:t>
      </w:r>
      <w:bookmarkEnd w:id="122"/>
    </w:p>
    <w:p>
      <w:pPr>
        <w:pStyle w:val="Normal"/>
        <w:rPr/>
      </w:pPr>
      <w:r>
        <w:rP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r>
    </w:p>
    <w:p>
      <w:pPr>
        <w:pStyle w:val="Normal"/>
        <w:rPr/>
      </w:pPr>
      <w:r>
        <w:rPr/>
        <w:t>Dodatkowo porównano szybkość treningu i inferencji poszczególnych architektur,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pPr>
        <w:pStyle w:val="Heading2"/>
        <w:numPr>
          <w:ilvl w:val="1"/>
          <w:numId w:val="23"/>
        </w:numPr>
        <w:rPr/>
      </w:pPr>
      <w:bookmarkStart w:id="123" w:name="_Toc230629485"/>
      <w:r>
        <w:rPr/>
        <w:t>Metodyka oceny modeli</w:t>
      </w:r>
      <w:bookmarkEnd w:id="123"/>
    </w:p>
    <w:p>
      <w:pPr>
        <w:pStyle w:val="Normal"/>
        <w:ind w:firstLine="708"/>
        <w:rPr/>
      </w:pPr>
      <w:r>
        <w:rPr/>
        <w:t>Ocena wytrenowanych modeli opierała się na zestawie metryk powszechnie stosowanych w zadaniach klasyfikacji wieloklasowej. Dla każdego modelu wyznaczono dokładność precyzję, czułość oraz miarę F1, zarówno w wariancie makro uśrednionym, jak i ważonym. Wybór tych miar nie był przypadkowy, każda ujawnia inny aspekt zachowania klasyfikatora, co ma szczególne znaczenie w zastosowaniach medycznych.</w:t>
      </w:r>
    </w:p>
    <w:p>
      <w:pPr>
        <w:pStyle w:val="Normal"/>
        <w:ind w:firstLine="708"/>
        <w:rPr/>
      </w:pPr>
      <w:r>
        <w:rPr/>
        <w:t>Dokładność definiuje się jako iloraz liczby poprawnych predykcji do łącznej liczby próbek. Jej wadą w przypadku niezbalansowanego zbioru danych jest to, że model może osiągać pozornie wysoką wartość, skupiając się wyłącznie na klasach dominujących. W niniejszym zbiorze liczba próbek klas testowych waha się od 25 (Dermatofibroma) do 1288 (Melanocytic nevi), co sprawia, że sama dokładność nie jest miarą wystarczającą.</w:t>
      </w:r>
    </w:p>
    <w:p>
      <w:pPr>
        <w:pStyle w:val="Normal"/>
        <w:ind w:firstLine="708"/>
        <w:rPr/>
      </w:pPr>
      <w:r>
        <w:rPr/>
        <w:t xml:space="preserve">Czułość informuje o tym, jaki odsetek rzeczywistych przypadków danej klasy model zdołał poprawnie rozpoznać. Z klinicznego punktu widzenia jest to miara krytyczna, bo przeoczenie czerniaka lub raka podstawnokomórkowego niesie poważne konsekwencje dla pacjenta. </w:t>
      </w:r>
    </w:p>
    <w:p>
      <w:pPr>
        <w:pStyle w:val="Normal"/>
        <w:ind w:firstLine="708"/>
        <w:rPr/>
      </w:pPr>
      <w:r>
        <w:rPr/>
        <w:t>Dlatego przy analizie wyników szczególną uwagę poświęcono klasom onkologicznym, tj. Melanoma, Basal cell carcinoma i Squamous cell carcinoma, dla których niska czułość jest bardziej niepożądana niż obniżona precyzja.</w:t>
      </w:r>
    </w:p>
    <w:p>
      <w:pPr>
        <w:pStyle w:val="Normal"/>
        <w:ind w:firstLine="708"/>
        <w:rPr/>
      </w:pPr>
      <w:r>
        <w:rPr/>
        <w:t>Precyzja określa, jaka część klasyfikacji przypisanych do danej klasy była faktycznie trafna. Wysoka precyzja przy niskiej czułości oznacza, że model rzadko myli inne zmiany z daną klasą, lecz pomija znaczną część jej rzeczywistych przypadków.</w:t>
      </w:r>
    </w:p>
    <w:p>
      <w:pPr>
        <w:pStyle w:val="Normal"/>
        <w:ind w:firstLine="708"/>
        <w:rPr/>
      </w:pPr>
      <w:r>
        <w:rP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pPr>
        <w:pStyle w:val="Normal"/>
        <w:ind w:firstLine="708"/>
        <w:rPr/>
      </w:pPr>
      <w:r>
        <w:rP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pPr>
        <w:pStyle w:val="Heading2"/>
        <w:numPr>
          <w:ilvl w:val="1"/>
          <w:numId w:val="23"/>
        </w:numPr>
        <w:rPr/>
      </w:pPr>
      <w:bookmarkStart w:id="124" w:name="_Toc230629486"/>
      <w:r>
        <w:rPr/>
        <w:t>Wyniki treningu i krzywe uczenia</w:t>
      </w:r>
      <w:bookmarkEnd w:id="124"/>
    </w:p>
    <w:p>
      <w:pPr>
        <w:pStyle w:val="Normal"/>
        <w:rPr/>
      </w:pPr>
      <w:r>
        <w:rPr/>
        <w:t>Poniższy wykres (</w:t>
      </w:r>
      <w:r>
        <w:rPr/>
        <w:fldChar w:fldCharType="begin"/>
      </w:r>
      <w:r>
        <w:rPr/>
        <w:instrText xml:space="preserve"> REF _Ref228214322 \h </w:instrText>
      </w:r>
      <w:r>
        <w:rPr/>
        <w:fldChar w:fldCharType="separate"/>
      </w:r>
      <w:r>
        <w:rPr/>
        <w:t>Rysunek 37</w:t>
      </w:r>
      <w:r>
        <w:rPr/>
        <w:fldChar w:fldCharType="end"/>
      </w:r>
      <w:r>
        <w:rPr/>
        <w:t>) przedstawia przebieg dokładności walidacyjnej w kolejnych epokach oraz łączny czas treningu poszczególnych modeli.</w:t>
      </w:r>
    </w:p>
    <w:p>
      <w:pPr>
        <w:pStyle w:val="Normal"/>
        <w:keepNext w:val="true"/>
        <w:ind w:hanging="0"/>
        <w:rPr/>
      </w:pPr>
      <w:r>
        <w:rPr/>
        <w:drawing>
          <wp:inline distT="0" distB="0" distL="0" distR="0">
            <wp:extent cx="5760720" cy="2684145"/>
            <wp:effectExtent l="0" t="0" r="0" b="0"/>
            <wp:docPr id="39"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az18"/>
                    <pic:cNvPicPr>
                      <a:picLocks noChangeAspect="1" noChangeArrowheads="1"/>
                    </pic:cNvPicPr>
                  </pic:nvPicPr>
                  <pic:blipFill>
                    <a:blip r:embed="rId40"/>
                    <a:stretch>
                      <a:fillRect/>
                    </a:stretch>
                  </pic:blipFill>
                  <pic:spPr bwMode="auto">
                    <a:xfrm>
                      <a:off x="0" y="0"/>
                      <a:ext cx="5760720" cy="2684145"/>
                    </a:xfrm>
                    <a:prstGeom prst="rect">
                      <a:avLst/>
                    </a:prstGeom>
                    <a:noFill/>
                  </pic:spPr>
                </pic:pic>
              </a:graphicData>
            </a:graphic>
          </wp:inline>
        </w:drawing>
      </w:r>
    </w:p>
    <w:p>
      <w:pPr>
        <w:pStyle w:val="Caption"/>
        <w:rPr/>
      </w:pPr>
      <w:bookmarkStart w:id="125" w:name="_Toc230629536"/>
      <w:bookmarkStart w:id="126" w:name="_Ref228214322"/>
      <w:r>
        <w:rPr/>
        <w:t xml:space="preserve">Rysunek </w:t>
      </w:r>
      <w:r>
        <w:rPr/>
        <w:fldChar w:fldCharType="begin"/>
      </w:r>
      <w:r>
        <w:rPr/>
        <w:instrText xml:space="preserve"> SEQ Rysunek \* ARABIC </w:instrText>
      </w:r>
      <w:r>
        <w:rPr/>
        <w:fldChar w:fldCharType="separate"/>
      </w:r>
      <w:r>
        <w:rPr/>
        <w:t>37</w:t>
      </w:r>
      <w:r>
        <w:rPr/>
        <w:fldChar w:fldCharType="end"/>
      </w:r>
      <w:bookmarkEnd w:id="126"/>
      <w:r>
        <w:rPr/>
        <w:t xml:space="preserve"> Dokładność walidacyjna w kolejnych epokach (po lewej) oraz łączny czas treningu modeli (po prawej).</w:t>
      </w:r>
      <w:bookmarkEnd w:id="125"/>
    </w:p>
    <w:p>
      <w:pPr>
        <w:pStyle w:val="Normal"/>
        <w:ind w:firstLine="708"/>
        <w:rPr/>
      </w:pPr>
      <w:r>
        <w:rPr/>
        <w:t>EfficientNet osiągnął najwyższą spośród wszystkich modeli dokładność walidacyjną, startując od poziomu około 71% i zbiegając do 87–88% po około 15 epokach, po czym wartość ta ustabilizowała się. Krzywa uczenia jest stosunkowo gładka, bez wyraźnych skoków regresji. Czas treningu wyniósł 4672 sekundy, co jest wartością zbliżoną do MobileNetV3 (4689 s) i Custom CNN (4401 s), a zatem EfficientNet oferuje najkorzystniejszy stosunek skuteczności do kosztu obliczeniowego.</w:t>
      </w:r>
    </w:p>
    <w:p>
      <w:pPr>
        <w:pStyle w:val="Normal"/>
        <w:ind w:firstLine="708"/>
        <w:rPr/>
      </w:pPr>
      <w:r>
        <w:rPr/>
        <w:t>ViT wykazał wysoką dokładność walidacyjną już od pierwszej epoki (ok. 75%), co wynika z pretrenowania na rozległym zbiorze ImageNet-21k. Model kontynuował wzrost do poziomu około 87%, przy czym krzywa jest stabilna i pozbawiona przeuczenia w obserwowanym zakresie. Główną wadą jest zdecydowanie najwyższy koszt obliczeniowy: 10963 sekund treningu, ponad dwukrotnie więcej niż ResNet50 i ponad dwukrotnie więcej niż EfficientNet.</w:t>
      </w:r>
    </w:p>
    <w:p>
      <w:pPr>
        <w:pStyle w:val="Normal"/>
        <w:ind w:firstLine="708"/>
        <w:rPr/>
      </w:pPr>
      <w:r>
        <w:rP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potrzebował 5993 sekundy, podczas gdy MobileNetV3 ukończył proces w 4689 sekund.</w:t>
      </w:r>
    </w:p>
    <w:p>
      <w:pPr>
        <w:pStyle w:val="Normal"/>
        <w:ind w:firstLine="708"/>
        <w:rPr/>
      </w:pPr>
      <w:r>
        <w:rPr/>
        <w:t>Custom CNN jako jedyna architektura trenowana bez pretrenowanych wag, wykazała wyraźnie wolniejsze tempo zbieżności: dokładność walidacyjna rosła od 28% w pierwszej epoce do jedynie 62% po 25 epokach, nie wykazując oznak nasycenia. Obserwacja ta</w:t>
      </w:r>
    </w:p>
    <w:p>
      <w:pPr>
        <w:pStyle w:val="Normal"/>
        <w:ind w:hanging="0"/>
        <w:rPr/>
      </w:pPr>
      <w:r>
        <w:rPr/>
        <w:t>potwierdza fundamentalne ograniczenia uczenia od podstaw na stosunkowo małym zbiorze dermatoskopowym, nawet przy zastosowaniu WeightedRandomSampler kompensującego nierównomierny rozkład klas.</w:t>
      </w:r>
    </w:p>
    <w:p>
      <w:pPr>
        <w:pStyle w:val="Heading2"/>
        <w:numPr>
          <w:ilvl w:val="1"/>
          <w:numId w:val="23"/>
        </w:numPr>
        <w:rPr/>
      </w:pPr>
      <w:bookmarkStart w:id="127" w:name="_Toc230629487"/>
      <w:r>
        <w:rPr/>
        <w:t>Porównanie skuteczności klasyfikacji</w:t>
      </w:r>
      <w:bookmarkEnd w:id="127"/>
    </w:p>
    <w:p>
      <w:pPr>
        <w:pStyle w:val="Normal"/>
        <w:ind w:firstLine="708"/>
        <w:rPr/>
      </w:pPr>
      <w:r>
        <w:rPr/>
        <w:t>Poniższa tabela (</w:t>
      </w:r>
      <w:r>
        <w:rPr/>
        <w:fldChar w:fldCharType="begin"/>
      </w:r>
      <w:r>
        <w:rPr/>
        <w:instrText xml:space="preserve"> REF _Ref228214300 \h </w:instrText>
      </w:r>
      <w:r>
        <w:rPr/>
        <w:fldChar w:fldCharType="separate"/>
      </w:r>
      <w:r>
        <w:rPr/>
        <w:t>Tabela 4</w:t>
      </w:r>
      <w:r>
        <w:rPr/>
        <w:fldChar w:fldCharType="end"/>
      </w:r>
      <w:r>
        <w:rPr/>
        <w:t>) zestawia wyniki wszystkich czterech modeli na zbiorze testowym liczącym 3674 próbki, obejmującym 14 klas zmian skórnych.</w:t>
      </w:r>
    </w:p>
    <w:p>
      <w:pPr>
        <w:pStyle w:val="Normal"/>
        <w:ind w:firstLine="708"/>
        <w:rPr/>
      </w:pPr>
      <w:r>
        <w:rPr/>
      </w:r>
    </w:p>
    <w:p>
      <w:pPr>
        <w:pStyle w:val="Normal"/>
        <w:ind w:firstLine="708"/>
        <w:rPr/>
      </w:pPr>
      <w:r>
        <w:rPr/>
      </w:r>
    </w:p>
    <w:p>
      <w:pPr>
        <w:pStyle w:val="Normal"/>
        <w:ind w:firstLine="708"/>
        <w:rPr/>
      </w:pPr>
      <w:r>
        <w:rPr/>
      </w:r>
    </w:p>
    <w:p>
      <w:pPr>
        <w:pStyle w:val="Tabela"/>
        <w:rPr/>
      </w:pPr>
      <w:bookmarkStart w:id="128" w:name="_Toc230629545"/>
      <w:bookmarkStart w:id="129" w:name="_Ref228214300"/>
      <w:r>
        <w:rPr/>
        <w:t xml:space="preserve">Tabela </w:t>
      </w:r>
      <w:r>
        <w:rPr/>
        <w:fldChar w:fldCharType="begin"/>
      </w:r>
      <w:r>
        <w:rPr/>
        <w:instrText xml:space="preserve"> SEQ Tabela \* ARABIC </w:instrText>
      </w:r>
      <w:r>
        <w:rPr/>
        <w:fldChar w:fldCharType="separate"/>
      </w:r>
      <w:r>
        <w:rPr/>
        <w:t>4</w:t>
      </w:r>
      <w:r>
        <w:rPr/>
        <w:fldChar w:fldCharType="end"/>
      </w:r>
      <w:bookmarkEnd w:id="129"/>
      <w:r>
        <w:rPr/>
        <w:t>: Zestawienie wyników klasyfikacji i czasu treningu dla badanych modeli. Najlepszy wynik wyróżniono pogrubieniem.</w:t>
      </w:r>
      <w:bookmarkEnd w:id="128"/>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807"/>
        <w:gridCol w:w="1183"/>
        <w:gridCol w:w="1136"/>
        <w:gridCol w:w="1359"/>
        <w:gridCol w:w="1249"/>
        <w:gridCol w:w="1136"/>
        <w:gridCol w:w="1202"/>
      </w:tblGrid>
      <w:tr>
        <w:trPr/>
        <w:tc>
          <w:tcPr>
            <w:tcW w:w="1807" w:type="dxa"/>
            <w:tcBorders>
              <w:top w:val="single" w:sz="4" w:space="0" w:color="000000"/>
              <w:start w:val="single" w:sz="4" w:space="0" w:color="000000"/>
              <w:bottom w:val="single" w:sz="4" w:space="0" w:color="000000"/>
            </w:tcBorders>
          </w:tcPr>
          <w:p>
            <w:pPr>
              <w:pStyle w:val="Zawartotabeli"/>
              <w:ind w:hanging="0"/>
              <w:jc w:val="center"/>
              <w:rPr/>
            </w:pPr>
            <w:r>
              <w:rPr/>
              <w:t>Model</w:t>
            </w:r>
          </w:p>
        </w:tc>
        <w:tc>
          <w:tcPr>
            <w:tcW w:w="1183" w:type="dxa"/>
            <w:tcBorders>
              <w:top w:val="single" w:sz="4" w:space="0" w:color="000000"/>
              <w:start w:val="single" w:sz="4" w:space="0" w:color="000000"/>
              <w:bottom w:val="single" w:sz="4" w:space="0" w:color="000000"/>
            </w:tcBorders>
          </w:tcPr>
          <w:p>
            <w:pPr>
              <w:pStyle w:val="Zawartotabeli"/>
              <w:ind w:hanging="0"/>
              <w:jc w:val="center"/>
              <w:rPr/>
            </w:pPr>
            <w:r>
              <w:rPr/>
              <w:t>Dokładność</w:t>
            </w:r>
          </w:p>
        </w:tc>
        <w:tc>
          <w:tcPr>
            <w:tcW w:w="1136" w:type="dxa"/>
            <w:tcBorders>
              <w:top w:val="single" w:sz="4" w:space="0" w:color="000000"/>
              <w:start w:val="single" w:sz="4" w:space="0" w:color="000000"/>
              <w:bottom w:val="single" w:sz="4" w:space="0" w:color="000000"/>
            </w:tcBorders>
          </w:tcPr>
          <w:p>
            <w:pPr>
              <w:pStyle w:val="Zawartotabeli"/>
              <w:ind w:hanging="0"/>
              <w:jc w:val="center"/>
              <w:rPr/>
            </w:pPr>
            <w:r>
              <w:rPr/>
              <w:t>F1 (makro)</w:t>
            </w:r>
          </w:p>
        </w:tc>
        <w:tc>
          <w:tcPr>
            <w:tcW w:w="1359" w:type="dxa"/>
            <w:tcBorders>
              <w:top w:val="single" w:sz="4" w:space="0" w:color="000000"/>
              <w:start w:val="single" w:sz="4" w:space="0" w:color="000000"/>
              <w:bottom w:val="single" w:sz="4" w:space="0" w:color="000000"/>
            </w:tcBorders>
          </w:tcPr>
          <w:p>
            <w:pPr>
              <w:pStyle w:val="Zawartotabeli"/>
              <w:ind w:hanging="0"/>
              <w:jc w:val="center"/>
              <w:rPr/>
            </w:pPr>
            <w:r>
              <w:rPr/>
              <w:t>F1 (weight.)</w:t>
            </w:r>
          </w:p>
        </w:tc>
        <w:tc>
          <w:tcPr>
            <w:tcW w:w="1249" w:type="dxa"/>
            <w:tcBorders>
              <w:top w:val="single" w:sz="4" w:space="0" w:color="000000"/>
              <w:start w:val="single" w:sz="4" w:space="0" w:color="000000"/>
              <w:bottom w:val="single" w:sz="4" w:space="0" w:color="000000"/>
            </w:tcBorders>
          </w:tcPr>
          <w:p>
            <w:pPr>
              <w:pStyle w:val="Zawartotabeli"/>
              <w:ind w:hanging="0"/>
              <w:jc w:val="center"/>
              <w:rPr/>
            </w:pPr>
            <w:r>
              <w:rPr/>
              <w:t>Precyzja (makro)</w:t>
            </w:r>
          </w:p>
        </w:tc>
        <w:tc>
          <w:tcPr>
            <w:tcW w:w="1136" w:type="dxa"/>
            <w:tcBorders>
              <w:top w:val="single" w:sz="4" w:space="0" w:color="000000"/>
              <w:start w:val="single" w:sz="4" w:space="0" w:color="000000"/>
              <w:bottom w:val="single" w:sz="4" w:space="0" w:color="000000"/>
            </w:tcBorders>
          </w:tcPr>
          <w:p>
            <w:pPr>
              <w:pStyle w:val="Zawartotabeli"/>
              <w:ind w:hanging="0"/>
              <w:jc w:val="center"/>
              <w:rPr/>
            </w:pPr>
            <w:r>
              <w:rPr/>
              <w:t>Czułość (makro)</w:t>
            </w:r>
          </w:p>
        </w:tc>
        <w:tc>
          <w:tcPr>
            <w:tcW w:w="1202" w:type="dxa"/>
            <w:tcBorders>
              <w:top w:val="single" w:sz="4" w:space="0" w:color="000000"/>
              <w:start w:val="single" w:sz="4" w:space="0" w:color="000000"/>
              <w:bottom w:val="single" w:sz="4" w:space="0" w:color="000000"/>
              <w:end w:val="single" w:sz="4" w:space="0" w:color="000000"/>
            </w:tcBorders>
          </w:tcPr>
          <w:p>
            <w:pPr>
              <w:pStyle w:val="Zawartotabeli"/>
              <w:ind w:hanging="0"/>
              <w:jc w:val="center"/>
              <w:rPr/>
            </w:pPr>
            <w:r>
              <w:rPr/>
              <w:t>Czas treningu (s)</w:t>
            </w:r>
          </w:p>
        </w:tc>
      </w:tr>
      <w:tr>
        <w:trPr/>
        <w:tc>
          <w:tcPr>
            <w:tcW w:w="1807" w:type="dxa"/>
            <w:tcBorders>
              <w:start w:val="single" w:sz="4" w:space="0" w:color="000000"/>
              <w:bottom w:val="single" w:sz="4" w:space="0" w:color="000000"/>
            </w:tcBorders>
          </w:tcPr>
          <w:p>
            <w:pPr>
              <w:pStyle w:val="Zawartotabeli"/>
              <w:ind w:hanging="0"/>
              <w:jc w:val="center"/>
              <w:rPr>
                <w:b/>
                <w:bCs/>
              </w:rPr>
            </w:pPr>
            <w:r>
              <w:rPr>
                <w:b/>
                <w:bCs/>
              </w:rPr>
              <w:t>EfficientNet-B0</w:t>
            </w:r>
          </w:p>
        </w:tc>
        <w:tc>
          <w:tcPr>
            <w:tcW w:w="1183" w:type="dxa"/>
            <w:tcBorders>
              <w:start w:val="single" w:sz="4" w:space="0" w:color="000000"/>
              <w:bottom w:val="single" w:sz="4" w:space="0" w:color="000000"/>
            </w:tcBorders>
          </w:tcPr>
          <w:p>
            <w:pPr>
              <w:pStyle w:val="Zawartotabeli"/>
              <w:ind w:hanging="0"/>
              <w:jc w:val="center"/>
              <w:rPr>
                <w:b/>
                <w:bCs/>
              </w:rPr>
            </w:pPr>
            <w:r>
              <w:rPr>
                <w:b/>
                <w:bCs/>
              </w:rPr>
              <w:t>88%</w:t>
            </w:r>
          </w:p>
        </w:tc>
        <w:tc>
          <w:tcPr>
            <w:tcW w:w="1136" w:type="dxa"/>
            <w:tcBorders>
              <w:start w:val="single" w:sz="4" w:space="0" w:color="000000"/>
              <w:bottom w:val="single" w:sz="4" w:space="0" w:color="000000"/>
            </w:tcBorders>
          </w:tcPr>
          <w:p>
            <w:pPr>
              <w:pStyle w:val="Zawartotabeli"/>
              <w:ind w:hanging="0"/>
              <w:jc w:val="center"/>
              <w:rPr>
                <w:b/>
                <w:bCs/>
              </w:rPr>
            </w:pPr>
            <w:r>
              <w:rPr>
                <w:b/>
                <w:bCs/>
              </w:rPr>
              <w:t>0,86</w:t>
            </w:r>
          </w:p>
        </w:tc>
        <w:tc>
          <w:tcPr>
            <w:tcW w:w="1359" w:type="dxa"/>
            <w:tcBorders>
              <w:start w:val="single" w:sz="4" w:space="0" w:color="000000"/>
              <w:bottom w:val="single" w:sz="4" w:space="0" w:color="000000"/>
            </w:tcBorders>
          </w:tcPr>
          <w:p>
            <w:pPr>
              <w:pStyle w:val="Zawartotabeli"/>
              <w:ind w:hanging="0"/>
              <w:jc w:val="center"/>
              <w:rPr>
                <w:b/>
                <w:bCs/>
              </w:rPr>
            </w:pPr>
            <w:r>
              <w:rPr>
                <w:b/>
                <w:bCs/>
              </w:rPr>
              <w:t>0,88</w:t>
            </w:r>
          </w:p>
        </w:tc>
        <w:tc>
          <w:tcPr>
            <w:tcW w:w="1249" w:type="dxa"/>
            <w:tcBorders>
              <w:start w:val="single" w:sz="4" w:space="0" w:color="000000"/>
              <w:bottom w:val="single" w:sz="4" w:space="0" w:color="000000"/>
            </w:tcBorders>
          </w:tcPr>
          <w:p>
            <w:pPr>
              <w:pStyle w:val="Zawartotabeli"/>
              <w:ind w:hanging="0"/>
              <w:jc w:val="center"/>
              <w:rPr>
                <w:b/>
                <w:bCs/>
              </w:rPr>
            </w:pPr>
            <w:r>
              <w:rPr>
                <w:b/>
                <w:bCs/>
              </w:rPr>
              <w:t>0,86</w:t>
            </w:r>
          </w:p>
        </w:tc>
        <w:tc>
          <w:tcPr>
            <w:tcW w:w="1136" w:type="dxa"/>
            <w:tcBorders>
              <w:start w:val="single" w:sz="4" w:space="0" w:color="000000"/>
              <w:bottom w:val="single" w:sz="4" w:space="0" w:color="000000"/>
            </w:tcBorders>
          </w:tcPr>
          <w:p>
            <w:pPr>
              <w:pStyle w:val="Zawartotabeli"/>
              <w:ind w:hanging="0"/>
              <w:jc w:val="center"/>
              <w:rPr>
                <w:b/>
                <w:bCs/>
              </w:rPr>
            </w:pPr>
            <w:r>
              <w:rPr>
                <w:b/>
                <w:bCs/>
              </w:rPr>
              <w:t>0,88</w:t>
            </w:r>
          </w:p>
        </w:tc>
        <w:tc>
          <w:tcPr>
            <w:tcW w:w="1202" w:type="dxa"/>
            <w:tcBorders>
              <w:start w:val="single" w:sz="4" w:space="0" w:color="000000"/>
              <w:bottom w:val="single" w:sz="4" w:space="0" w:color="000000"/>
              <w:end w:val="single" w:sz="4" w:space="0" w:color="000000"/>
            </w:tcBorders>
          </w:tcPr>
          <w:p>
            <w:pPr>
              <w:pStyle w:val="Zawartotabeli"/>
              <w:ind w:hanging="0"/>
              <w:jc w:val="center"/>
              <w:rPr>
                <w:b/>
                <w:bCs/>
              </w:rPr>
            </w:pPr>
            <w:r>
              <w:rPr>
                <w:b/>
                <w:bCs/>
              </w:rPr>
              <w:t>4672</w:t>
            </w:r>
          </w:p>
        </w:tc>
      </w:tr>
      <w:tr>
        <w:trPr/>
        <w:tc>
          <w:tcPr>
            <w:tcW w:w="1807" w:type="dxa"/>
            <w:tcBorders>
              <w:start w:val="single" w:sz="4" w:space="0" w:color="000000"/>
              <w:bottom w:val="single" w:sz="4" w:space="0" w:color="000000"/>
            </w:tcBorders>
          </w:tcPr>
          <w:p>
            <w:pPr>
              <w:pStyle w:val="Zawartotabeli"/>
              <w:ind w:hanging="0"/>
              <w:jc w:val="center"/>
              <w:rPr/>
            </w:pPr>
            <w:r>
              <w:rPr/>
              <w:t>Vision Transformer (ViT-B/16)</w:t>
            </w:r>
          </w:p>
        </w:tc>
        <w:tc>
          <w:tcPr>
            <w:tcW w:w="1183" w:type="dxa"/>
            <w:tcBorders>
              <w:start w:val="single" w:sz="4" w:space="0" w:color="000000"/>
              <w:bottom w:val="single" w:sz="4" w:space="0" w:color="000000"/>
            </w:tcBorders>
          </w:tcPr>
          <w:p>
            <w:pPr>
              <w:pStyle w:val="Zawartotabeli"/>
              <w:ind w:hanging="0"/>
              <w:jc w:val="center"/>
              <w:rPr/>
            </w:pPr>
            <w:r>
              <w:rPr/>
              <w:t>87%</w:t>
            </w:r>
          </w:p>
        </w:tc>
        <w:tc>
          <w:tcPr>
            <w:tcW w:w="1136" w:type="dxa"/>
            <w:tcBorders>
              <w:start w:val="single" w:sz="4" w:space="0" w:color="000000"/>
              <w:bottom w:val="single" w:sz="4" w:space="0" w:color="000000"/>
            </w:tcBorders>
          </w:tcPr>
          <w:p>
            <w:pPr>
              <w:pStyle w:val="Zawartotabeli"/>
              <w:ind w:hanging="0"/>
              <w:jc w:val="center"/>
              <w:rPr/>
            </w:pPr>
            <w:r>
              <w:rPr/>
              <w:t>0,87</w:t>
            </w:r>
          </w:p>
        </w:tc>
        <w:tc>
          <w:tcPr>
            <w:tcW w:w="1359" w:type="dxa"/>
            <w:tcBorders>
              <w:start w:val="single" w:sz="4" w:space="0" w:color="000000"/>
              <w:bottom w:val="single" w:sz="4" w:space="0" w:color="000000"/>
            </w:tcBorders>
          </w:tcPr>
          <w:p>
            <w:pPr>
              <w:pStyle w:val="Zawartotabeli"/>
              <w:ind w:hanging="0"/>
              <w:jc w:val="center"/>
              <w:rPr/>
            </w:pPr>
            <w:r>
              <w:rPr/>
              <w:t>0,87</w:t>
            </w:r>
          </w:p>
        </w:tc>
        <w:tc>
          <w:tcPr>
            <w:tcW w:w="1249" w:type="dxa"/>
            <w:tcBorders>
              <w:start w:val="single" w:sz="4" w:space="0" w:color="000000"/>
              <w:bottom w:val="single" w:sz="4" w:space="0" w:color="000000"/>
            </w:tcBorders>
          </w:tcPr>
          <w:p>
            <w:pPr>
              <w:pStyle w:val="Zawartotabeli"/>
              <w:ind w:hanging="0"/>
              <w:jc w:val="center"/>
              <w:rPr/>
            </w:pPr>
            <w:r>
              <w:rPr/>
              <w:t>0,87</w:t>
            </w:r>
          </w:p>
        </w:tc>
        <w:tc>
          <w:tcPr>
            <w:tcW w:w="1136" w:type="dxa"/>
            <w:tcBorders>
              <w:start w:val="single" w:sz="4" w:space="0" w:color="000000"/>
              <w:bottom w:val="single" w:sz="4" w:space="0" w:color="000000"/>
            </w:tcBorders>
          </w:tcPr>
          <w:p>
            <w:pPr>
              <w:pStyle w:val="Zawartotabeli"/>
              <w:ind w:hanging="0"/>
              <w:jc w:val="center"/>
              <w:rPr/>
            </w:pPr>
            <w:r>
              <w:rPr/>
              <w:t>0,87</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10963</w:t>
            </w:r>
          </w:p>
        </w:tc>
      </w:tr>
      <w:tr>
        <w:trPr/>
        <w:tc>
          <w:tcPr>
            <w:tcW w:w="1807" w:type="dxa"/>
            <w:tcBorders>
              <w:start w:val="single" w:sz="4" w:space="0" w:color="000000"/>
              <w:bottom w:val="single" w:sz="4" w:space="0" w:color="000000"/>
            </w:tcBorders>
          </w:tcPr>
          <w:p>
            <w:pPr>
              <w:pStyle w:val="Zawartotabeli"/>
              <w:ind w:hanging="0"/>
              <w:jc w:val="center"/>
              <w:rPr/>
            </w:pPr>
            <w:r>
              <w:rPr/>
              <w:t>ResNet50</w:t>
            </w:r>
          </w:p>
        </w:tc>
        <w:tc>
          <w:tcPr>
            <w:tcW w:w="1183" w:type="dxa"/>
            <w:tcBorders>
              <w:start w:val="single" w:sz="4" w:space="0" w:color="000000"/>
              <w:bottom w:val="single" w:sz="4" w:space="0" w:color="000000"/>
            </w:tcBorders>
          </w:tcPr>
          <w:p>
            <w:pPr>
              <w:pStyle w:val="Zawartotabeli"/>
              <w:ind w:hanging="0"/>
              <w:jc w:val="center"/>
              <w:rPr/>
            </w:pPr>
            <w:r>
              <w:rPr/>
              <w:t>84%</w:t>
            </w:r>
          </w:p>
        </w:tc>
        <w:tc>
          <w:tcPr>
            <w:tcW w:w="1136" w:type="dxa"/>
            <w:tcBorders>
              <w:start w:val="single" w:sz="4" w:space="0" w:color="000000"/>
              <w:bottom w:val="single" w:sz="4" w:space="0" w:color="000000"/>
            </w:tcBorders>
          </w:tcPr>
          <w:p>
            <w:pPr>
              <w:pStyle w:val="Zawartotabeli"/>
              <w:ind w:hanging="0"/>
              <w:jc w:val="center"/>
              <w:rPr/>
            </w:pPr>
            <w:r>
              <w:rPr/>
              <w:t>0,84</w:t>
            </w:r>
          </w:p>
        </w:tc>
        <w:tc>
          <w:tcPr>
            <w:tcW w:w="1359" w:type="dxa"/>
            <w:tcBorders>
              <w:start w:val="single" w:sz="4" w:space="0" w:color="000000"/>
              <w:bottom w:val="single" w:sz="4" w:space="0" w:color="000000"/>
            </w:tcBorders>
          </w:tcPr>
          <w:p>
            <w:pPr>
              <w:pStyle w:val="Zawartotabeli"/>
              <w:ind w:hanging="0"/>
              <w:jc w:val="center"/>
              <w:rPr/>
            </w:pPr>
            <w:r>
              <w:rPr/>
              <w:t>0,84</w:t>
            </w:r>
          </w:p>
        </w:tc>
        <w:tc>
          <w:tcPr>
            <w:tcW w:w="1249" w:type="dxa"/>
            <w:tcBorders>
              <w:start w:val="single" w:sz="4" w:space="0" w:color="000000"/>
              <w:bottom w:val="single" w:sz="4" w:space="0" w:color="000000"/>
            </w:tcBorders>
          </w:tcPr>
          <w:p>
            <w:pPr>
              <w:pStyle w:val="Zawartotabeli"/>
              <w:ind w:hanging="0"/>
              <w:jc w:val="center"/>
              <w:rPr/>
            </w:pPr>
            <w:r>
              <w:rPr/>
              <w:t>0,84</w:t>
            </w:r>
          </w:p>
        </w:tc>
        <w:tc>
          <w:tcPr>
            <w:tcW w:w="1136" w:type="dxa"/>
            <w:tcBorders>
              <w:start w:val="single" w:sz="4" w:space="0" w:color="000000"/>
              <w:bottom w:val="single" w:sz="4" w:space="0" w:color="000000"/>
            </w:tcBorders>
          </w:tcPr>
          <w:p>
            <w:pPr>
              <w:pStyle w:val="Zawartotabeli"/>
              <w:ind w:hanging="0"/>
              <w:jc w:val="center"/>
              <w:rPr/>
            </w:pPr>
            <w:r>
              <w:rPr/>
              <w:t>0,85</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3993</w:t>
            </w:r>
          </w:p>
        </w:tc>
      </w:tr>
      <w:tr>
        <w:trPr/>
        <w:tc>
          <w:tcPr>
            <w:tcW w:w="1807" w:type="dxa"/>
            <w:tcBorders>
              <w:start w:val="single" w:sz="4" w:space="0" w:color="000000"/>
              <w:bottom w:val="single" w:sz="4" w:space="0" w:color="000000"/>
            </w:tcBorders>
          </w:tcPr>
          <w:p>
            <w:pPr>
              <w:pStyle w:val="Zawartotabeli"/>
              <w:ind w:hanging="0"/>
              <w:jc w:val="center"/>
              <w:rPr/>
            </w:pPr>
            <w:r>
              <w:rPr/>
              <w:t>MobileNetV3</w:t>
            </w:r>
          </w:p>
        </w:tc>
        <w:tc>
          <w:tcPr>
            <w:tcW w:w="1183" w:type="dxa"/>
            <w:tcBorders>
              <w:start w:val="single" w:sz="4" w:space="0" w:color="000000"/>
              <w:bottom w:val="single" w:sz="4" w:space="0" w:color="000000"/>
            </w:tcBorders>
          </w:tcPr>
          <w:p>
            <w:pPr>
              <w:pStyle w:val="Zawartotabeli"/>
              <w:ind w:hanging="0"/>
              <w:jc w:val="center"/>
              <w:rPr/>
            </w:pPr>
            <w:r>
              <w:rPr/>
              <w:t>84%</w:t>
            </w:r>
          </w:p>
        </w:tc>
        <w:tc>
          <w:tcPr>
            <w:tcW w:w="1136" w:type="dxa"/>
            <w:tcBorders>
              <w:start w:val="single" w:sz="4" w:space="0" w:color="000000"/>
              <w:bottom w:val="single" w:sz="4" w:space="0" w:color="000000"/>
            </w:tcBorders>
          </w:tcPr>
          <w:p>
            <w:pPr>
              <w:pStyle w:val="Zawartotabeli"/>
              <w:ind w:hanging="0"/>
              <w:jc w:val="center"/>
              <w:rPr/>
            </w:pPr>
            <w:r>
              <w:rPr/>
              <w:t>0,82</w:t>
            </w:r>
          </w:p>
        </w:tc>
        <w:tc>
          <w:tcPr>
            <w:tcW w:w="1359" w:type="dxa"/>
            <w:tcBorders>
              <w:start w:val="single" w:sz="4" w:space="0" w:color="000000"/>
              <w:bottom w:val="single" w:sz="4" w:space="0" w:color="000000"/>
            </w:tcBorders>
          </w:tcPr>
          <w:p>
            <w:pPr>
              <w:pStyle w:val="Zawartotabeli"/>
              <w:ind w:hanging="0"/>
              <w:jc w:val="center"/>
              <w:rPr/>
            </w:pPr>
            <w:r>
              <w:rPr/>
              <w:t>0,84</w:t>
            </w:r>
          </w:p>
        </w:tc>
        <w:tc>
          <w:tcPr>
            <w:tcW w:w="1249" w:type="dxa"/>
            <w:tcBorders>
              <w:start w:val="single" w:sz="4" w:space="0" w:color="000000"/>
              <w:bottom w:val="single" w:sz="4" w:space="0" w:color="000000"/>
            </w:tcBorders>
          </w:tcPr>
          <w:p>
            <w:pPr>
              <w:pStyle w:val="Zawartotabeli"/>
              <w:ind w:hanging="0"/>
              <w:jc w:val="center"/>
              <w:rPr/>
            </w:pPr>
            <w:r>
              <w:rPr/>
              <w:t>0,81</w:t>
            </w:r>
          </w:p>
        </w:tc>
        <w:tc>
          <w:tcPr>
            <w:tcW w:w="1136" w:type="dxa"/>
            <w:tcBorders>
              <w:start w:val="single" w:sz="4" w:space="0" w:color="000000"/>
              <w:bottom w:val="single" w:sz="4" w:space="0" w:color="000000"/>
            </w:tcBorders>
          </w:tcPr>
          <w:p>
            <w:pPr>
              <w:pStyle w:val="Zawartotabeli"/>
              <w:ind w:hanging="0"/>
              <w:jc w:val="center"/>
              <w:rPr/>
            </w:pPr>
            <w:r>
              <w:rPr/>
              <w:t>0,85</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4689</w:t>
            </w:r>
          </w:p>
        </w:tc>
      </w:tr>
      <w:tr>
        <w:trPr/>
        <w:tc>
          <w:tcPr>
            <w:tcW w:w="1807" w:type="dxa"/>
            <w:tcBorders>
              <w:start w:val="single" w:sz="4" w:space="0" w:color="000000"/>
              <w:bottom w:val="single" w:sz="4" w:space="0" w:color="000000"/>
            </w:tcBorders>
          </w:tcPr>
          <w:p>
            <w:pPr>
              <w:pStyle w:val="Zawartotabeli"/>
              <w:ind w:hanging="0"/>
              <w:jc w:val="center"/>
              <w:rPr/>
            </w:pPr>
            <w:r>
              <w:rPr/>
              <w:t>Custom CNN</w:t>
            </w:r>
          </w:p>
        </w:tc>
        <w:tc>
          <w:tcPr>
            <w:tcW w:w="1183" w:type="dxa"/>
            <w:tcBorders>
              <w:start w:val="single" w:sz="4" w:space="0" w:color="000000"/>
              <w:bottom w:val="single" w:sz="4" w:space="0" w:color="000000"/>
            </w:tcBorders>
          </w:tcPr>
          <w:p>
            <w:pPr>
              <w:pStyle w:val="Zawartotabeli"/>
              <w:ind w:hanging="0"/>
              <w:jc w:val="center"/>
              <w:rPr/>
            </w:pPr>
            <w:r>
              <w:rPr/>
              <w:t>62%</w:t>
            </w:r>
          </w:p>
        </w:tc>
        <w:tc>
          <w:tcPr>
            <w:tcW w:w="1136" w:type="dxa"/>
            <w:tcBorders>
              <w:start w:val="single" w:sz="4" w:space="0" w:color="000000"/>
              <w:bottom w:val="single" w:sz="4" w:space="0" w:color="000000"/>
            </w:tcBorders>
          </w:tcPr>
          <w:p>
            <w:pPr>
              <w:pStyle w:val="Zawartotabeli"/>
              <w:ind w:hanging="0"/>
              <w:jc w:val="center"/>
              <w:rPr/>
            </w:pPr>
            <w:r>
              <w:rPr/>
              <w:t>0,57</w:t>
            </w:r>
          </w:p>
        </w:tc>
        <w:tc>
          <w:tcPr>
            <w:tcW w:w="1359" w:type="dxa"/>
            <w:tcBorders>
              <w:start w:val="single" w:sz="4" w:space="0" w:color="000000"/>
              <w:bottom w:val="single" w:sz="4" w:space="0" w:color="000000"/>
            </w:tcBorders>
          </w:tcPr>
          <w:p>
            <w:pPr>
              <w:pStyle w:val="Zawartotabeli"/>
              <w:ind w:hanging="0"/>
              <w:jc w:val="center"/>
              <w:rPr/>
            </w:pPr>
            <w:r>
              <w:rPr/>
              <w:t>0,64</w:t>
            </w:r>
          </w:p>
        </w:tc>
        <w:tc>
          <w:tcPr>
            <w:tcW w:w="1249" w:type="dxa"/>
            <w:tcBorders>
              <w:start w:val="single" w:sz="4" w:space="0" w:color="000000"/>
              <w:bottom w:val="single" w:sz="4" w:space="0" w:color="000000"/>
            </w:tcBorders>
          </w:tcPr>
          <w:p>
            <w:pPr>
              <w:pStyle w:val="Zawartotabeli"/>
              <w:ind w:hanging="0"/>
              <w:jc w:val="center"/>
              <w:rPr/>
            </w:pPr>
            <w:r>
              <w:rPr/>
              <w:t>0,55</w:t>
            </w:r>
          </w:p>
        </w:tc>
        <w:tc>
          <w:tcPr>
            <w:tcW w:w="1136" w:type="dxa"/>
            <w:tcBorders>
              <w:start w:val="single" w:sz="4" w:space="0" w:color="000000"/>
              <w:bottom w:val="single" w:sz="4" w:space="0" w:color="000000"/>
            </w:tcBorders>
          </w:tcPr>
          <w:p>
            <w:pPr>
              <w:pStyle w:val="Zawartotabeli"/>
              <w:ind w:hanging="0"/>
              <w:jc w:val="center"/>
              <w:rPr/>
            </w:pPr>
            <w:r>
              <w:rPr/>
              <w:t>0,65</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4401</w:t>
            </w:r>
          </w:p>
        </w:tc>
      </w:tr>
    </w:tbl>
    <w:p>
      <w:pPr>
        <w:pStyle w:val="Normal"/>
        <w:ind w:hanging="0"/>
        <w:rPr/>
      </w:pPr>
      <w:r>
        <w:rPr/>
      </w:r>
    </w:p>
    <w:p>
      <w:pPr>
        <w:pStyle w:val="Normal"/>
        <w:ind w:firstLine="708"/>
        <w:rPr/>
      </w:pPr>
      <w:r>
        <w:rPr/>
        <w:t>EfficientNet osiągnął najwyższą dokładność spośród wszystkich badanych modeli na poziomie 88%, przy makro F1 równym 0,86 i ważonym F1 równym 0,88. Architektura ta, oparta na skalowaniu złożonym jednocześnie głębokości, szerokości i rozdzielczości, oferuje silną zdolność reprezentacyjną przy stosunkowo kompaktowej liczbie parametrów. Istotne jest, że makro recall wynosi 0,88, co oznacza, że model generalnie dobrze rozpoznaje klasy rzadkie.</w:t>
      </w:r>
    </w:p>
    <w:p>
      <w:pPr>
        <w:pStyle w:val="Normal"/>
        <w:ind w:firstLine="708"/>
        <w:rPr/>
      </w:pPr>
      <w:r>
        <w:rPr/>
        <w:t>ViT uplasował się na drugiej pozycji z dokładnością 87% i identycznym makro F1 równym 0,87. Co charakterystyczne, wartości makro i ważonego F1 pokrywają się, co świadczy o bardzo równomiernej jakości klasyfikacji we wszystkich klasach, niezależnie od ich liczności. Jest to cecha pożądana w zastosowaniach klinicznych. Cenę stanowi zdecydowanie najwyższy czas treningu.</w:t>
      </w:r>
    </w:p>
    <w:p>
      <w:pPr>
        <w:pStyle w:val="Normal"/>
        <w:ind w:firstLine="708"/>
        <w:rPr/>
      </w:pPr>
      <w:r>
        <w:rPr/>
        <w:t xml:space="preserve">ResNet50 i MobileNetV3 osiągnęły identyczną dokładność 84%, lecz przy różnych profilach błędów widocznych w szczegółach raportów klasyfikacyjnych. MobileNetV3 wykazał </w:t>
      </w:r>
    </w:p>
    <w:p>
      <w:pPr>
        <w:pStyle w:val="Normal"/>
        <w:ind w:hanging="0"/>
        <w:rPr/>
      </w:pPr>
      <w:r>
        <w:rPr/>
        <w:t>makro recall 0,85 przy makro precision 0,81, co sugeruje tendencję do nadmiernego klasyfikowania próbek do niektórych klas (wyższy recall, niższa precision). ResNet50 prezentuje bardziej zrównoważony profil z makro precision 0,84.</w:t>
      </w:r>
    </w:p>
    <w:p>
      <w:pPr>
        <w:pStyle w:val="Normal"/>
        <w:ind w:firstLine="708"/>
        <w:rPr/>
      </w:pPr>
      <w:r>
        <w:rPr/>
        <w:t>Custom CNN wyraźnie odbiega od modeli pretrenowanych: dokładność 62% i makro F1 równe 0,57. Niski makro recall wynoszący 0,65 przy jeszcze niższej makro precision 0,55 wskazuje na brak zdolności do spójnej klasyfikacji w klasach rzadkich. Wynik ten jednoznacznie potwierdza konieczność stosowania uczenia transferowego w zadaniach dermatoskopowych przy ograniczonej liczbie danych treningowych.</w:t>
      </w:r>
    </w:p>
    <w:p>
      <w:pPr>
        <w:pStyle w:val="Heading2"/>
        <w:numPr>
          <w:ilvl w:val="1"/>
          <w:numId w:val="23"/>
        </w:numPr>
        <w:rPr/>
      </w:pPr>
      <w:bookmarkStart w:id="130" w:name="_Toc230629488"/>
      <w:r>
        <w:rPr/>
        <w:t>Macierze pomyłek</w:t>
      </w:r>
      <w:bookmarkEnd w:id="130"/>
    </w:p>
    <w:p>
      <w:pPr>
        <w:pStyle w:val="Normal"/>
        <w:ind w:firstLine="708"/>
        <w:rPr/>
      </w:pPr>
      <w:r>
        <w:rPr/>
        <w:t>Macierze pomyłek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pPr>
        <w:pStyle w:val="Heading3"/>
        <w:numPr>
          <w:ilvl w:val="2"/>
          <w:numId w:val="23"/>
        </w:numPr>
        <w:rPr/>
      </w:pPr>
      <w:bookmarkStart w:id="131" w:name="_Toc230629489"/>
      <w:r>
        <w:rPr/>
        <w:t>Custom CNN</w:t>
      </w:r>
      <w:bookmarkEnd w:id="131"/>
    </w:p>
    <w:p>
      <w:pPr>
        <w:pStyle w:val="Normal"/>
        <w:rPr/>
      </w:pPr>
      <w:r>
        <w:rPr/>
        <w:t>W przypadku Custom CNN macierz nie wykazuje wyraźnej struktury diagonalnej, co potwierdza brak spójnej strategii klasyfikacyjnej (</w:t>
      </w:r>
      <w:r>
        <w:rPr/>
        <w:fldChar w:fldCharType="begin"/>
      </w:r>
      <w:r>
        <w:rPr/>
        <w:instrText xml:space="preserve"> REF _Ref228214685 \h </w:instrText>
      </w:r>
      <w:r>
        <w:rPr/>
        <w:fldChar w:fldCharType="separate"/>
      </w:r>
      <w:r>
        <w:rPr/>
        <w:t>Rysunek 38</w:t>
      </w:r>
      <w:r>
        <w:rPr/>
        <w:fldChar w:fldCharType="end"/>
      </w:r>
      <w:r>
        <w:rPr/>
        <w:t>). Dominującym wzorcem jest rozpraszanie predykcji na kilka klas jednocześnie. Actinic keratoses (88 próbek) uzyskały czułość 53%, z istotnymi pomyłkami z Basal cell carcinoma (16 przypadków) i Squamous cell carcinoma (14 przypadków). Dermatofibroma, posiadająca jedynie 25 próbek testowych, osiągnęła czułość 72%, jednak przy precyzji zaledwie 11%, co oznacza liczne fałszywe alarmy. Melanoma uzyskała czułość 32%, a 111 z 453 rzeczywistych przypadków czerniaka trafiło do Melanocytic nevi. Klasy wirusowe (HFMD, Chickenpox, Cowpox) wypadły lepiej, prawdopodobnie dlatego, że prezentują wizualnie charakterystyczne zmiany mniej mylone z pozostałymi klasami.</w:t>
      </w:r>
    </w:p>
    <w:p>
      <w:pPr>
        <w:pStyle w:val="Normal"/>
        <w:keepNext w:val="true"/>
        <w:ind w:hanging="0"/>
        <w:rPr/>
      </w:pPr>
      <w:r>
        <w:rPr/>
        <w:drawing>
          <wp:inline distT="0" distB="0" distL="0" distR="0">
            <wp:extent cx="5760720" cy="4608195"/>
            <wp:effectExtent l="0" t="0" r="0" b="0"/>
            <wp:docPr id="40"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13"/>
                    <pic:cNvPicPr>
                      <a:picLocks noChangeAspect="1" noChangeArrowheads="1"/>
                    </pic:cNvPicPr>
                  </pic:nvPicPr>
                  <pic:blipFill>
                    <a:blip r:embed="rId41"/>
                    <a:stretch>
                      <a:fillRect/>
                    </a:stretch>
                  </pic:blipFill>
                  <pic:spPr bwMode="auto">
                    <a:xfrm>
                      <a:off x="0" y="0"/>
                      <a:ext cx="5760720" cy="4608195"/>
                    </a:xfrm>
                    <a:prstGeom prst="rect">
                      <a:avLst/>
                    </a:prstGeom>
                    <a:noFill/>
                  </pic:spPr>
                </pic:pic>
              </a:graphicData>
            </a:graphic>
          </wp:inline>
        </w:drawing>
      </w:r>
    </w:p>
    <w:p>
      <w:pPr>
        <w:pStyle w:val="Caption"/>
        <w:rPr/>
      </w:pPr>
      <w:bookmarkStart w:id="132" w:name="_Toc230629537"/>
      <w:bookmarkStart w:id="133" w:name="_Ref228214685"/>
      <w:r>
        <w:rPr/>
        <w:t xml:space="preserve">Rysunek </w:t>
      </w:r>
      <w:r>
        <w:rPr/>
        <w:fldChar w:fldCharType="begin"/>
      </w:r>
      <w:r>
        <w:rPr/>
        <w:instrText xml:space="preserve"> SEQ Rysunek \* ARABIC </w:instrText>
      </w:r>
      <w:r>
        <w:rPr/>
        <w:fldChar w:fldCharType="separate"/>
      </w:r>
      <w:r>
        <w:rPr/>
        <w:t>38</w:t>
      </w:r>
      <w:r>
        <w:rPr/>
        <w:fldChar w:fldCharType="end"/>
      </w:r>
      <w:bookmarkEnd w:id="133"/>
      <w:r>
        <w:rPr/>
        <w:t xml:space="preserve"> Macierz pomyłek modelu Custom CNN.</w:t>
      </w:r>
      <w:bookmarkEnd w:id="132"/>
    </w:p>
    <w:p>
      <w:pPr>
        <w:pStyle w:val="Heading3"/>
        <w:numPr>
          <w:ilvl w:val="2"/>
          <w:numId w:val="23"/>
        </w:numPr>
        <w:rPr/>
      </w:pPr>
      <w:bookmarkStart w:id="134" w:name="_Toc230629490"/>
      <w:r>
        <w:rPr/>
        <w:t>ResNet50</w:t>
      </w:r>
      <w:bookmarkEnd w:id="134"/>
    </w:p>
    <w:p>
      <w:pPr>
        <w:pStyle w:val="Normal"/>
        <w:rPr/>
      </w:pPr>
      <w:r>
        <w:rPr/>
        <w:t>ResNet50 prezentuje wyraźnie silniejszą diagonalę niż Custom CNN, choć z kilkoma obszarami systematycznych błędów (</w:t>
      </w:r>
      <w:r>
        <w:rPr/>
        <w:fldChar w:fldCharType="begin"/>
      </w:r>
      <w:r>
        <w:rPr/>
        <w:instrText xml:space="preserve"> REF _Ref228214856 \h </w:instrText>
      </w:r>
      <w:r>
        <w:rPr/>
        <w:fldChar w:fldCharType="separate"/>
      </w:r>
      <w:r>
        <w:rPr/>
        <w:t>Rysunek 39</w:t>
      </w:r>
      <w:r>
        <w:rPr/>
        <w:fldChar w:fldCharType="end"/>
      </w:r>
      <w:r>
        <w:rPr/>
        <w:t xml:space="preserve">). Najbardziej widoczną słabością jest para czerniak (Melanoma) i znamiona barwnikowe (Melanocytic nevi): z 453 rzeczywistych przypadków czerniaka 77 zostało zaklasyfikowanych jako znamiona barwnikowe, co przy czułości 72% i uwzględnieniu pozostałych pomyłek daje wynik niedostateczny z perspektywy klinicznej. Rogowacenie słoneczne (Actinic keratoses) uzyskało czułość 76%, z rozproszeniem pomyłek w stronę raka podstawnokomórkowego (Basal cell carcinoma) oraz łagodnych zmian typu rogowacenia (Benign keratosis-like lesions). Włókniak skóry (Dermatofibroma) osiągnął czułość 60% przy 25 próbkach testowych. Klasy wirusowe oraz skóra zdrowa </w:t>
      </w:r>
    </w:p>
    <w:p>
      <w:pPr>
        <w:pStyle w:val="Normal"/>
        <w:ind w:hanging="0"/>
        <w:rPr/>
      </w:pPr>
      <w:r>
        <w:rPr/>
        <w:t>klasyfikowane są niemal bezbłędnie. Rak kolczystokomórkowy (Squamous cell carcinoma) osiągnął czułość 62%, z 8 przypadkami pomylonymi z czerniakiem.</w:t>
      </w:r>
    </w:p>
    <w:p>
      <w:pPr>
        <w:pStyle w:val="Normal"/>
        <w:keepNext w:val="true"/>
        <w:ind w:hanging="0"/>
        <w:rPr/>
      </w:pPr>
      <w:r>
        <w:rPr/>
        <w:drawing>
          <wp:inline distT="0" distB="0" distL="0" distR="0">
            <wp:extent cx="5760720" cy="4608195"/>
            <wp:effectExtent l="0" t="0" r="0" b="0"/>
            <wp:docPr id="41"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20"/>
                    <pic:cNvPicPr>
                      <a:picLocks noChangeAspect="1" noChangeArrowheads="1"/>
                    </pic:cNvPicPr>
                  </pic:nvPicPr>
                  <pic:blipFill>
                    <a:blip r:embed="rId42"/>
                    <a:stretch>
                      <a:fillRect/>
                    </a:stretch>
                  </pic:blipFill>
                  <pic:spPr bwMode="auto">
                    <a:xfrm>
                      <a:off x="0" y="0"/>
                      <a:ext cx="5760720" cy="4608195"/>
                    </a:xfrm>
                    <a:prstGeom prst="rect">
                      <a:avLst/>
                    </a:prstGeom>
                    <a:noFill/>
                  </pic:spPr>
                </pic:pic>
              </a:graphicData>
            </a:graphic>
          </wp:inline>
        </w:drawing>
      </w:r>
    </w:p>
    <w:p>
      <w:pPr>
        <w:pStyle w:val="Caption"/>
        <w:rPr/>
      </w:pPr>
      <w:bookmarkStart w:id="135" w:name="_Toc230629538"/>
      <w:bookmarkStart w:id="136" w:name="_Ref228214856"/>
      <w:r>
        <w:rPr/>
        <w:t xml:space="preserve">Rysunek </w:t>
      </w:r>
      <w:r>
        <w:rPr/>
        <w:fldChar w:fldCharType="begin"/>
      </w:r>
      <w:r>
        <w:rPr/>
        <w:instrText xml:space="preserve"> SEQ Rysunek \* ARABIC </w:instrText>
      </w:r>
      <w:r>
        <w:rPr/>
        <w:fldChar w:fldCharType="separate"/>
      </w:r>
      <w:r>
        <w:rPr/>
        <w:t>39</w:t>
      </w:r>
      <w:r>
        <w:rPr/>
        <w:fldChar w:fldCharType="end"/>
      </w:r>
      <w:bookmarkEnd w:id="136"/>
      <w:r>
        <w:rPr/>
        <w:t xml:space="preserve"> Macierz konfuzji modelu ResNet50</w:t>
      </w:r>
      <w:bookmarkEnd w:id="135"/>
    </w:p>
    <w:p>
      <w:pPr>
        <w:pStyle w:val="Heading3"/>
        <w:numPr>
          <w:ilvl w:val="2"/>
          <w:numId w:val="23"/>
        </w:numPr>
        <w:rPr/>
      </w:pPr>
      <w:bookmarkStart w:id="137" w:name="_Toc230629491"/>
      <w:r>
        <w:rPr/>
        <w:t>MobileNetV3-Large</w:t>
      </w:r>
      <w:bookmarkEnd w:id="137"/>
    </w:p>
    <w:p>
      <w:pPr>
        <w:pStyle w:val="Normal"/>
        <w:keepNext w:val="true"/>
        <w:ind w:firstLine="708"/>
        <w:rPr/>
      </w:pPr>
      <w:r>
        <w:rPr/>
        <w:t>Model MobileNetV3 wykazuje wyniki bardzo zbliżone do architektury ResNet50, cechuje się jednak nieco innym rozkładem pomyłek (</w:t>
      </w:r>
      <w:r>
        <w:rPr/>
        <w:fldChar w:fldCharType="begin"/>
      </w:r>
      <w:r>
        <w:rPr/>
        <w:instrText xml:space="preserve"> REF _Ref228214976 \h </w:instrText>
      </w:r>
      <w:r>
        <w:rPr/>
        <w:fldChar w:fldCharType="separate"/>
      </w:r>
      <w:r>
        <w:rPr/>
        <w:t>Rysunek 40</w:t>
      </w:r>
      <w:r>
        <w:rPr/>
        <w:fldChar w:fldCharType="end"/>
      </w:r>
      <w:r>
        <w:rPr/>
        <w:t>). Głównym źródłem błędów pozostaje korelacja między czerniakiem (Melanoma) a znamionami barwnikowymi (Melanocytic nevi) 104 z 453 przypadków czerniaka zostało błędnie zaklasyfikowanych jako znamiona barwnikowe, co przełożyło się na czułość dla czerniaka na poziomie 68%. W przypadku rogowacenia słonecznego (Actinic keratoses) odnotowano czułość 60%, przy czym pomyłki rozłożyły się pomiędzy raka podstawnokomórkowego (10 przypadków Basal cell carcinoma), łagodne zmiany typu rogowacenia (10 przypadków Benign keratosis-like lesions) oraz znamiona barwnikowe (4 przypadki). Włókniak skóry (Dermatofibroma) uzyskał czułość 80%, co stanowi najlepszy wynik dla tej klasy wśród wszystkich testowanych modeli CNN. Może to wynikać z efektywnego wykorzystania splotów rozdzielnych względem kanałów, które skutecznie wyodrębniają lokalne wzorce tekstury. Rak kolczystokomórkowy osiągnął w tym modelu czułość na poziomie 69%.</w:t>
      </w:r>
    </w:p>
    <w:p>
      <w:pPr>
        <w:pStyle w:val="Normal"/>
        <w:keepNext w:val="true"/>
        <w:ind w:firstLine="708"/>
        <w:rPr/>
      </w:pPr>
      <w:r>
        <w:rPr/>
        <w:drawing>
          <wp:inline distT="0" distB="0" distL="0" distR="0">
            <wp:extent cx="4942840" cy="4135120"/>
            <wp:effectExtent l="0" t="0" r="0" b="0"/>
            <wp:docPr id="42"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az21"/>
                    <pic:cNvPicPr>
                      <a:picLocks noChangeAspect="1" noChangeArrowheads="1"/>
                    </pic:cNvPicPr>
                  </pic:nvPicPr>
                  <pic:blipFill>
                    <a:blip r:embed="rId43"/>
                    <a:stretch>
                      <a:fillRect/>
                    </a:stretch>
                  </pic:blipFill>
                  <pic:spPr bwMode="auto">
                    <a:xfrm>
                      <a:off x="0" y="0"/>
                      <a:ext cx="4942840" cy="4135120"/>
                    </a:xfrm>
                    <a:prstGeom prst="rect">
                      <a:avLst/>
                    </a:prstGeom>
                    <a:noFill/>
                  </pic:spPr>
                </pic:pic>
              </a:graphicData>
            </a:graphic>
          </wp:inline>
        </w:drawing>
      </w:r>
    </w:p>
    <w:p>
      <w:pPr>
        <w:pStyle w:val="Caption"/>
        <w:rPr/>
      </w:pPr>
      <w:bookmarkStart w:id="138" w:name="_Toc230629539"/>
      <w:bookmarkStart w:id="139" w:name="_Ref228214976"/>
      <w:r>
        <w:rPr/>
        <w:t xml:space="preserve">Rysunek </w:t>
      </w:r>
      <w:r>
        <w:rPr/>
        <w:fldChar w:fldCharType="begin"/>
      </w:r>
      <w:r>
        <w:rPr/>
        <w:instrText xml:space="preserve"> SEQ Rysunek \* ARABIC </w:instrText>
      </w:r>
      <w:r>
        <w:rPr/>
        <w:fldChar w:fldCharType="separate"/>
      </w:r>
      <w:r>
        <w:rPr/>
        <w:t>40</w:t>
      </w:r>
      <w:r>
        <w:rPr/>
        <w:fldChar w:fldCharType="end"/>
      </w:r>
      <w:bookmarkEnd w:id="139"/>
      <w:r>
        <w:rPr/>
        <w:t xml:space="preserve"> Macierz konfuzji modelu MobileNetV3.</w:t>
      </w:r>
      <w:bookmarkEnd w:id="138"/>
    </w:p>
    <w:p>
      <w:pPr>
        <w:pStyle w:val="Heading3"/>
        <w:numPr>
          <w:ilvl w:val="2"/>
          <w:numId w:val="23"/>
        </w:numPr>
        <w:rPr>
          <w:lang w:val="en-US"/>
        </w:rPr>
      </w:pPr>
      <w:bookmarkStart w:id="140" w:name="_Toc230629492"/>
      <w:r>
        <w:rPr>
          <w:lang w:val="en-US"/>
        </w:rPr>
        <w:t>Vision Transformer (ViT-B/16)</w:t>
      </w:r>
      <w:bookmarkEnd w:id="140"/>
    </w:p>
    <w:p>
      <w:pPr>
        <w:pStyle w:val="Normal"/>
        <w:keepNext w:val="true"/>
        <w:ind w:firstLine="708"/>
        <w:rPr/>
      </w:pPr>
      <w:r>
        <w:rPr/>
        <w:t xml:space="preserve">Transformer wizyjny (ViT) wykazuje najsilniejszą diagonalę spośród wszystkich badanych modeli oraz wyraźne zmniejszenie liczby pomyłek w niemal wszystkich klasach. Schorzenia pochodzenia wirusowego zostały sklasyfikowane bezbłędnie lub z bardzo wysoką precyzją: choroba dłoni, stóp i ust (HFMD) osiągnęła 100% czułości (242/242), odra (Measles) 100% (83/83), krowianka (Cowpox) 98% (97/99), ospa wietrzna (Chickenpox) 99% (112/113), a ospa małpia (Monkeypox) 99% (422/426). Czerniak (Melanoma) uzyskał czułość na poziomie 70% - 92 przypadki zostały błędnie zaklasyfikowane jako znamiona barwnikowe (Melanocytic nevi). Mimo że korelacja ta wciąż stanowi istotne wyzwanie kliniczne, wynik ten jest wyraźną poprawą względem modeli CNN. Rogowacenie słoneczne (Actinic keratoses) osiągnęło czułość 72%, natomiast rak kolczystokomórkowy (Squamous cell carcinoma) 75%. Łagodne zmiany typu rogowacenia (Benign keratosis-like lesions) cechowały się czułością 71%, przy pomyłkach ze znamionami barwnikowymi (35 przypadków) i czerniakiem </w:t>
      </w:r>
    </w:p>
    <w:p>
      <w:pPr>
        <w:pStyle w:val="Normal"/>
        <w:keepNext w:val="true"/>
        <w:ind w:hanging="0"/>
        <w:rPr/>
      </w:pPr>
      <w:r>
        <w:rPr/>
        <w:t>(ok 12 przypadków). Włókniak skóry (Dermatofibroma) osiągnął czułość 72% przy 25 próbkach testowych.</w:t>
      </w:r>
    </w:p>
    <w:p>
      <w:pPr>
        <w:pStyle w:val="Normal"/>
        <w:keepNext w:val="true"/>
        <w:ind w:hanging="0"/>
        <w:rPr/>
      </w:pPr>
      <w:r>
        <w:rPr/>
        <w:drawing>
          <wp:inline distT="0" distB="0" distL="0" distR="0">
            <wp:extent cx="5760720" cy="4608195"/>
            <wp:effectExtent l="0" t="0" r="0" b="0"/>
            <wp:docPr id="4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1"/>
                    <pic:cNvPicPr>
                      <a:picLocks noChangeAspect="1" noChangeArrowheads="1"/>
                    </pic:cNvPicPr>
                  </pic:nvPicPr>
                  <pic:blipFill>
                    <a:blip r:embed="rId44"/>
                    <a:stretch>
                      <a:fillRect/>
                    </a:stretch>
                  </pic:blipFill>
                  <pic:spPr bwMode="auto">
                    <a:xfrm>
                      <a:off x="0" y="0"/>
                      <a:ext cx="5760720" cy="4608195"/>
                    </a:xfrm>
                    <a:prstGeom prst="rect">
                      <a:avLst/>
                    </a:prstGeom>
                    <a:noFill/>
                  </pic:spPr>
                </pic:pic>
              </a:graphicData>
            </a:graphic>
          </wp:inline>
        </w:drawing>
      </w:r>
    </w:p>
    <w:p>
      <w:pPr>
        <w:pStyle w:val="Caption"/>
        <w:rPr/>
      </w:pPr>
      <w:bookmarkStart w:id="141" w:name="_Toc230629540"/>
      <w:r>
        <w:rPr/>
        <w:t xml:space="preserve">Rysunek </w:t>
      </w:r>
      <w:r>
        <w:rPr/>
        <w:fldChar w:fldCharType="begin"/>
      </w:r>
      <w:r>
        <w:rPr/>
        <w:instrText xml:space="preserve"> SEQ Rysunek \* ARABIC </w:instrText>
      </w:r>
      <w:r>
        <w:rPr/>
        <w:fldChar w:fldCharType="separate"/>
      </w:r>
      <w:r>
        <w:rPr/>
        <w:t>41</w:t>
      </w:r>
      <w:r>
        <w:rPr/>
        <w:fldChar w:fldCharType="end"/>
      </w:r>
      <w:r>
        <w:rPr/>
        <w:t xml:space="preserve"> Macierz konfuzji modelu ViT.</w:t>
      </w:r>
      <w:bookmarkEnd w:id="141"/>
    </w:p>
    <w:p>
      <w:pPr>
        <w:pStyle w:val="Heading3"/>
        <w:numPr>
          <w:ilvl w:val="2"/>
          <w:numId w:val="23"/>
        </w:numPr>
        <w:rPr>
          <w:lang w:val="en-US"/>
        </w:rPr>
      </w:pPr>
      <w:bookmarkStart w:id="142" w:name="_Toc230629493"/>
      <w:r>
        <w:rPr>
          <w:lang w:val="en-US"/>
        </w:rPr>
        <w:t>EfficientNet-B0</w:t>
      </w:r>
      <w:bookmarkEnd w:id="142"/>
    </w:p>
    <w:p>
      <w:pPr>
        <w:pStyle w:val="Normal"/>
        <w:ind w:firstLine="708"/>
        <w:rPr/>
      </w:pPr>
      <w:r>
        <w:rPr/>
        <w:t>Model EfficientNet charakteryzuje się macierzą pomyłek najbardziej zbliżoną do idealnej diagonali (</w:t>
      </w:r>
      <w:r>
        <w:rPr/>
        <w:fldChar w:fldCharType="begin"/>
      </w:r>
      <w:r>
        <w:rPr/>
        <w:instrText xml:space="preserve"> REF _Ref229157324 \h </w:instrText>
      </w:r>
      <w:r>
        <w:rPr/>
        <w:fldChar w:fldCharType="separate"/>
      </w:r>
      <w:r>
        <w:rPr/>
        <w:t>Rysunek 42</w:t>
      </w:r>
      <w:r>
        <w:rPr/>
        <w:fldChar w:fldCharType="end"/>
      </w:r>
      <w:r>
        <w:rPr/>
        <w:t>). Schorzenia pochodzenia wirusowego rozpoznawane są ze stuprocentową lub bliską niej czułością: odra (Measles) 100% (83/83), ospa wietrzna (Chickenpox) 100% (113/113), skóra zdrowa (Healthy) 99% (169/171), krowianka (Cowpox) 98% (97/99) oraz choroba dłoni, stóp i ust (HFMD) 99% (239/242). Rogowacenie słoneczne (Actinic keratoses) uzyskało czułość na poziomie 76%, przy czym odnotowano 7 pomyłek z rakiem podstawnokomórkowym (Basal cell carcinoma) oraz 8 z łagodnymi zmianami typu rogowacenia (Benign keratosis-like lesions). Czerniak (Melanoma) został rozpoznany z czułością 68%, 103 przypadki zostały błędnie zaklasyfikowane jako znamiona barwnikowe (Melanocytic nevi). Jest to wynik porównywalny z modelem ViT, przy zachowaniu nieco niższej wartości bezwzględnej. Rak kolczystokomórkowy (Squamous cell carcinoma) osiągnął czułość 80%, co stanowi najwyższy wynik dla tej klasy wśród wszystkich badanych modeli. Włókniak skóry (Dermatofibroma) uzyskał czułość na poziomie 72%, natomiast zmiany naczyniowe (Vascular lesions) sklasyfikowano z czułością 96%, co jest rezultatem szczególnie wysokim przy niewielkiej liczbie próbek testowych (26). Ogólny obraz macierzy wskazuje na optymalny balans pomiędzy czułością a precyzją we wszystkich analizowanych klasach.</w:t>
      </w:r>
    </w:p>
    <w:p>
      <w:pPr>
        <w:pStyle w:val="Normal"/>
        <w:keepNext w:val="true"/>
        <w:ind w:hanging="0"/>
        <w:jc w:val="center"/>
        <w:rPr/>
      </w:pPr>
      <w:r>
        <w:rPr/>
        <w:drawing>
          <wp:inline distT="0" distB="0" distL="0" distR="0">
            <wp:extent cx="5760720" cy="4114800"/>
            <wp:effectExtent l="0" t="0" r="0" b="0"/>
            <wp:docPr id="44"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az39"/>
                    <pic:cNvPicPr>
                      <a:picLocks noChangeAspect="1" noChangeArrowheads="1"/>
                    </pic:cNvPicPr>
                  </pic:nvPicPr>
                  <pic:blipFill>
                    <a:blip r:embed="rId45"/>
                    <a:stretch>
                      <a:fillRect/>
                    </a:stretch>
                  </pic:blipFill>
                  <pic:spPr bwMode="auto">
                    <a:xfrm>
                      <a:off x="0" y="0"/>
                      <a:ext cx="5760720" cy="4114800"/>
                    </a:xfrm>
                    <a:prstGeom prst="rect">
                      <a:avLst/>
                    </a:prstGeom>
                    <a:noFill/>
                  </pic:spPr>
                </pic:pic>
              </a:graphicData>
            </a:graphic>
          </wp:inline>
        </w:drawing>
      </w:r>
    </w:p>
    <w:p>
      <w:pPr>
        <w:pStyle w:val="Caption"/>
        <w:rPr/>
      </w:pPr>
      <w:bookmarkStart w:id="143" w:name="_Toc230629541"/>
      <w:bookmarkStart w:id="144" w:name="_Ref229157324"/>
      <w:r>
        <w:rPr/>
        <w:t xml:space="preserve">Rysunek </w:t>
      </w:r>
      <w:r>
        <w:rPr/>
        <w:fldChar w:fldCharType="begin"/>
      </w:r>
      <w:r>
        <w:rPr/>
        <w:instrText xml:space="preserve"> SEQ Rysunek \* ARABIC </w:instrText>
      </w:r>
      <w:r>
        <w:rPr/>
        <w:fldChar w:fldCharType="separate"/>
      </w:r>
      <w:r>
        <w:rPr/>
        <w:t>42</w:t>
      </w:r>
      <w:r>
        <w:rPr/>
        <w:fldChar w:fldCharType="end"/>
      </w:r>
      <w:bookmarkEnd w:id="144"/>
      <w:r>
        <w:rPr/>
        <w:t xml:space="preserve"> Macierz konfuzji modelu EfficientNet.</w:t>
      </w:r>
      <w:bookmarkEnd w:id="143"/>
    </w:p>
    <w:p>
      <w:pPr>
        <w:pStyle w:val="Heading2"/>
        <w:numPr>
          <w:ilvl w:val="1"/>
          <w:numId w:val="23"/>
        </w:numPr>
        <w:rPr/>
      </w:pPr>
      <w:bookmarkStart w:id="145" w:name="_Toc230629494"/>
      <w:r>
        <w:rPr/>
        <w:t>Test odporności na zakłócenia</w:t>
      </w:r>
      <w:bookmarkEnd w:id="145"/>
    </w:p>
    <w:p>
      <w:pPr>
        <w:pStyle w:val="Normal"/>
        <w:ind w:firstLine="708"/>
        <w:rPr/>
      </w:pPr>
      <w:r>
        <w:rPr/>
        <w:t xml:space="preserve">W warunkach laboratoryjnych. Zmienne oświetlenie, ruch ręki, ograniczona rozdzielczość obiektywu telefonu czy odbicia światła wprowadzają zakłócenia, które mogą istotnie wpłynąć na skuteczność klasyfikatora. W celu oceny odporności modeli na degradację jakości obrazu przeprowadzono test z dwoma rodzajami zniekształceń: szumem gaussowskim </w:t>
      </w:r>
    </w:p>
    <w:p>
      <w:pPr>
        <w:pStyle w:val="Normal"/>
        <w:ind w:hanging="0"/>
        <w:rPr/>
      </w:pPr>
      <w:r>
        <w:rPr/>
        <w:t>(odchylenie standardowe σ = 0,1 w znormalizowanej przestrzeni cech) oraz rozmyciem gaussowskim (jądro 5×5, σ = 2,0). Wyniki zestawiono w tabeli 5.</w:t>
      </w:r>
    </w:p>
    <w:p>
      <w:pPr>
        <w:pStyle w:val="Tabela"/>
        <w:rPr/>
      </w:pPr>
      <w:bookmarkStart w:id="146" w:name="_Toc230629546"/>
      <w:r>
        <w:rPr/>
        <w:t xml:space="preserve">Tabela </w:t>
      </w:r>
      <w:r>
        <w:rPr/>
        <w:fldChar w:fldCharType="begin"/>
      </w:r>
      <w:r>
        <w:rPr/>
        <w:instrText xml:space="preserve"> SEQ Tabela \* ARABIC </w:instrText>
      </w:r>
      <w:r>
        <w:rPr/>
        <w:fldChar w:fldCharType="separate"/>
      </w:r>
      <w:r>
        <w:rPr/>
        <w:t>5</w:t>
      </w:r>
      <w:r>
        <w:rPr/>
        <w:fldChar w:fldCharType="end"/>
      </w:r>
      <w:r>
        <w:rPr/>
        <w:t>: Wyniki testu odporności na zakłócenia. Wartości dokładności na zbiorze testowym po zastosowaniu szumu i rozmycia gaussowskiego wraz ze zmianą względem wyniku bez zakłóceń.</w:t>
      </w:r>
      <w:bookmarkEnd w:id="146"/>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814"/>
        <w:gridCol w:w="1812"/>
        <w:gridCol w:w="1817"/>
        <w:gridCol w:w="1812"/>
        <w:gridCol w:w="1817"/>
      </w:tblGrid>
      <w:tr>
        <w:trPr/>
        <w:tc>
          <w:tcPr>
            <w:tcW w:w="1814" w:type="dxa"/>
            <w:tcBorders>
              <w:top w:val="single" w:sz="4" w:space="0" w:color="000000"/>
              <w:start w:val="single" w:sz="4" w:space="0" w:color="000000"/>
              <w:bottom w:val="single" w:sz="4" w:space="0" w:color="000000"/>
            </w:tcBorders>
          </w:tcPr>
          <w:p>
            <w:pPr>
              <w:pStyle w:val="Zawartotabeli"/>
              <w:ind w:hanging="0"/>
              <w:jc w:val="center"/>
              <w:rPr/>
            </w:pPr>
            <w:r>
              <w:rPr/>
              <w:t>Model</w:t>
            </w:r>
          </w:p>
        </w:tc>
        <w:tc>
          <w:tcPr>
            <w:tcW w:w="1812" w:type="dxa"/>
            <w:tcBorders>
              <w:top w:val="single" w:sz="4" w:space="0" w:color="000000"/>
              <w:start w:val="single" w:sz="4" w:space="0" w:color="000000"/>
              <w:bottom w:val="single" w:sz="4" w:space="0" w:color="000000"/>
            </w:tcBorders>
          </w:tcPr>
          <w:p>
            <w:pPr>
              <w:pStyle w:val="Zawartotabeli"/>
              <w:ind w:hanging="0"/>
              <w:jc w:val="center"/>
              <w:rPr/>
            </w:pPr>
            <w:r>
              <w:rPr/>
              <w:t>Wynik bez szumów</w:t>
            </w:r>
          </w:p>
        </w:tc>
        <w:tc>
          <w:tcPr>
            <w:tcW w:w="1817" w:type="dxa"/>
            <w:tcBorders>
              <w:top w:val="single" w:sz="4" w:space="0" w:color="000000"/>
              <w:start w:val="single" w:sz="4" w:space="0" w:color="000000"/>
              <w:bottom w:val="single" w:sz="4" w:space="0" w:color="000000"/>
            </w:tcBorders>
          </w:tcPr>
          <w:p>
            <w:pPr>
              <w:pStyle w:val="Zawartotabeli"/>
              <w:ind w:hanging="0"/>
              <w:jc w:val="center"/>
              <w:rPr/>
            </w:pPr>
            <w:r>
              <w:rPr/>
              <w:t>Szum Gaussa</w:t>
            </w:r>
          </w:p>
        </w:tc>
        <w:tc>
          <w:tcPr>
            <w:tcW w:w="1812" w:type="dxa"/>
            <w:tcBorders>
              <w:top w:val="single" w:sz="4" w:space="0" w:color="000000"/>
              <w:start w:val="single" w:sz="4" w:space="0" w:color="000000"/>
              <w:bottom w:val="single" w:sz="4" w:space="0" w:color="000000"/>
            </w:tcBorders>
          </w:tcPr>
          <w:p>
            <w:pPr>
              <w:pStyle w:val="Zawartotabeli"/>
              <w:ind w:hanging="0"/>
              <w:jc w:val="center"/>
              <w:rPr/>
            </w:pPr>
            <w:r>
              <w:rPr/>
              <w:t>Rozmycie</w:t>
            </w:r>
          </w:p>
        </w:tc>
        <w:tc>
          <w:tcPr>
            <w:tcW w:w="1817" w:type="dxa"/>
            <w:tcBorders>
              <w:top w:val="single" w:sz="4" w:space="0" w:color="000000"/>
              <w:start w:val="single" w:sz="4" w:space="0" w:color="000000"/>
              <w:bottom w:val="single" w:sz="4" w:space="0" w:color="000000"/>
              <w:end w:val="single" w:sz="4" w:space="0" w:color="000000"/>
            </w:tcBorders>
          </w:tcPr>
          <w:p>
            <w:pPr>
              <w:pStyle w:val="Zawartotabeli"/>
              <w:ind w:hanging="0"/>
              <w:jc w:val="center"/>
              <w:rPr/>
            </w:pPr>
            <w:r>
              <w:rPr/>
              <w:t>Zmiana (szum / rozmycie)</w:t>
            </w:r>
          </w:p>
        </w:tc>
      </w:tr>
      <w:tr>
        <w:trPr/>
        <w:tc>
          <w:tcPr>
            <w:tcW w:w="1814" w:type="dxa"/>
            <w:tcBorders>
              <w:start w:val="single" w:sz="4" w:space="0" w:color="000000"/>
              <w:bottom w:val="single" w:sz="4" w:space="0" w:color="000000"/>
            </w:tcBorders>
          </w:tcPr>
          <w:p>
            <w:pPr>
              <w:pStyle w:val="Zawartotabeli"/>
              <w:ind w:hanging="0"/>
              <w:jc w:val="center"/>
              <w:rPr>
                <w:b/>
                <w:bCs/>
              </w:rPr>
            </w:pPr>
            <w:r>
              <w:rPr>
                <w:b/>
                <w:bCs/>
              </w:rPr>
              <w:t>ViT</w:t>
            </w:r>
          </w:p>
        </w:tc>
        <w:tc>
          <w:tcPr>
            <w:tcW w:w="1812" w:type="dxa"/>
            <w:tcBorders>
              <w:start w:val="single" w:sz="4" w:space="0" w:color="000000"/>
              <w:bottom w:val="single" w:sz="4" w:space="0" w:color="000000"/>
            </w:tcBorders>
          </w:tcPr>
          <w:p>
            <w:pPr>
              <w:pStyle w:val="Zawartotabeli"/>
              <w:ind w:hanging="0"/>
              <w:jc w:val="center"/>
              <w:rPr>
                <w:b/>
                <w:bCs/>
              </w:rPr>
            </w:pPr>
            <w:r>
              <w:rPr>
                <w:b/>
                <w:bCs/>
              </w:rPr>
              <w:t>87%</w:t>
            </w:r>
          </w:p>
        </w:tc>
        <w:tc>
          <w:tcPr>
            <w:tcW w:w="1817" w:type="dxa"/>
            <w:tcBorders>
              <w:start w:val="single" w:sz="4" w:space="0" w:color="000000"/>
              <w:bottom w:val="single" w:sz="4" w:space="0" w:color="000000"/>
            </w:tcBorders>
          </w:tcPr>
          <w:p>
            <w:pPr>
              <w:pStyle w:val="Zawartotabeli"/>
              <w:ind w:hanging="0"/>
              <w:jc w:val="center"/>
              <w:rPr>
                <w:b/>
                <w:bCs/>
              </w:rPr>
            </w:pPr>
            <w:r>
              <w:rPr>
                <w:b/>
                <w:bCs/>
              </w:rPr>
              <w:t>86,80%</w:t>
            </w:r>
          </w:p>
        </w:tc>
        <w:tc>
          <w:tcPr>
            <w:tcW w:w="1812" w:type="dxa"/>
            <w:tcBorders>
              <w:start w:val="single" w:sz="4" w:space="0" w:color="000000"/>
              <w:bottom w:val="single" w:sz="4" w:space="0" w:color="000000"/>
            </w:tcBorders>
          </w:tcPr>
          <w:p>
            <w:pPr>
              <w:pStyle w:val="Zawartotabeli"/>
              <w:ind w:hanging="0"/>
              <w:jc w:val="center"/>
              <w:rPr>
                <w:b/>
                <w:bCs/>
              </w:rPr>
            </w:pPr>
            <w:r>
              <w:rPr>
                <w:b/>
                <w:bCs/>
              </w:rPr>
              <w:t>84,16%</w:t>
            </w:r>
          </w:p>
        </w:tc>
        <w:tc>
          <w:tcPr>
            <w:tcW w:w="1817" w:type="dxa"/>
            <w:tcBorders>
              <w:start w:val="single" w:sz="4" w:space="0" w:color="000000"/>
              <w:bottom w:val="single" w:sz="4" w:space="0" w:color="000000"/>
              <w:end w:val="single" w:sz="4" w:space="0" w:color="000000"/>
            </w:tcBorders>
          </w:tcPr>
          <w:p>
            <w:pPr>
              <w:pStyle w:val="Zawartotabeli"/>
              <w:ind w:hanging="0"/>
              <w:jc w:val="center"/>
              <w:rPr>
                <w:b/>
                <w:bCs/>
              </w:rPr>
            </w:pPr>
            <w:r>
              <w:rPr>
                <w:b/>
                <w:bCs/>
              </w:rPr>
              <w:t>-0,20pp/-2,84pp</w:t>
            </w:r>
          </w:p>
        </w:tc>
      </w:tr>
      <w:tr>
        <w:trPr/>
        <w:tc>
          <w:tcPr>
            <w:tcW w:w="1814" w:type="dxa"/>
            <w:tcBorders>
              <w:start w:val="single" w:sz="4" w:space="0" w:color="000000"/>
              <w:bottom w:val="single" w:sz="4" w:space="0" w:color="000000"/>
            </w:tcBorders>
          </w:tcPr>
          <w:p>
            <w:pPr>
              <w:pStyle w:val="Zawartotabeli"/>
              <w:ind w:hanging="0"/>
              <w:jc w:val="center"/>
              <w:rPr/>
            </w:pPr>
            <w:r>
              <w:rPr/>
              <w:t>EfficientNet-B0</w:t>
            </w:r>
          </w:p>
        </w:tc>
        <w:tc>
          <w:tcPr>
            <w:tcW w:w="1812" w:type="dxa"/>
            <w:tcBorders>
              <w:start w:val="single" w:sz="4" w:space="0" w:color="000000"/>
              <w:bottom w:val="single" w:sz="4" w:space="0" w:color="000000"/>
            </w:tcBorders>
          </w:tcPr>
          <w:p>
            <w:pPr>
              <w:pStyle w:val="Zawartotabeli"/>
              <w:ind w:hanging="0"/>
              <w:jc w:val="center"/>
              <w:rPr/>
            </w:pPr>
            <w:r>
              <w:rPr/>
              <w:t>88%</w:t>
            </w:r>
          </w:p>
        </w:tc>
        <w:tc>
          <w:tcPr>
            <w:tcW w:w="1817" w:type="dxa"/>
            <w:tcBorders>
              <w:start w:val="single" w:sz="4" w:space="0" w:color="000000"/>
              <w:bottom w:val="single" w:sz="4" w:space="0" w:color="000000"/>
            </w:tcBorders>
          </w:tcPr>
          <w:p>
            <w:pPr>
              <w:pStyle w:val="Zawartotabeli"/>
              <w:ind w:hanging="0"/>
              <w:jc w:val="center"/>
              <w:rPr/>
            </w:pPr>
            <w:r>
              <w:rPr/>
              <w:t>78,03%</w:t>
            </w:r>
          </w:p>
        </w:tc>
        <w:tc>
          <w:tcPr>
            <w:tcW w:w="1812" w:type="dxa"/>
            <w:tcBorders>
              <w:start w:val="single" w:sz="4" w:space="0" w:color="000000"/>
              <w:bottom w:val="single" w:sz="4" w:space="0" w:color="000000"/>
            </w:tcBorders>
          </w:tcPr>
          <w:p>
            <w:pPr>
              <w:pStyle w:val="Zawartotabeli"/>
              <w:ind w:hanging="0"/>
              <w:jc w:val="center"/>
              <w:rPr/>
            </w:pPr>
            <w:r>
              <w:rPr/>
              <w:t>74,74%</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-9,97pp/-13,26pp</w:t>
            </w:r>
          </w:p>
        </w:tc>
      </w:tr>
      <w:tr>
        <w:trPr/>
        <w:tc>
          <w:tcPr>
            <w:tcW w:w="1814" w:type="dxa"/>
            <w:tcBorders>
              <w:start w:val="single" w:sz="4" w:space="0" w:color="000000"/>
              <w:bottom w:val="single" w:sz="4" w:space="0" w:color="000000"/>
            </w:tcBorders>
          </w:tcPr>
          <w:p>
            <w:pPr>
              <w:pStyle w:val="Zawartotabeli"/>
              <w:ind w:hanging="0"/>
              <w:jc w:val="center"/>
              <w:rPr/>
            </w:pPr>
            <w:r>
              <w:rPr/>
              <w:t>ResNet50</w:t>
            </w:r>
          </w:p>
        </w:tc>
        <w:tc>
          <w:tcPr>
            <w:tcW w:w="1812" w:type="dxa"/>
            <w:tcBorders>
              <w:start w:val="single" w:sz="4" w:space="0" w:color="000000"/>
              <w:bottom w:val="single" w:sz="4" w:space="0" w:color="000000"/>
            </w:tcBorders>
          </w:tcPr>
          <w:p>
            <w:pPr>
              <w:pStyle w:val="Zawartotabeli"/>
              <w:ind w:hanging="0"/>
              <w:jc w:val="center"/>
              <w:rPr/>
            </w:pPr>
            <w:r>
              <w:rPr/>
              <w:t>84%</w:t>
            </w:r>
          </w:p>
        </w:tc>
        <w:tc>
          <w:tcPr>
            <w:tcW w:w="1817" w:type="dxa"/>
            <w:tcBorders>
              <w:start w:val="single" w:sz="4" w:space="0" w:color="000000"/>
              <w:bottom w:val="single" w:sz="4" w:space="0" w:color="000000"/>
            </w:tcBorders>
          </w:tcPr>
          <w:p>
            <w:pPr>
              <w:pStyle w:val="Zawartotabeli"/>
              <w:ind w:hanging="0"/>
              <w:jc w:val="center"/>
              <w:rPr/>
            </w:pPr>
            <w:r>
              <w:rPr/>
              <w:t>79,50%</w:t>
            </w:r>
          </w:p>
        </w:tc>
        <w:tc>
          <w:tcPr>
            <w:tcW w:w="1812" w:type="dxa"/>
            <w:tcBorders>
              <w:start w:val="single" w:sz="4" w:space="0" w:color="000000"/>
              <w:bottom w:val="single" w:sz="4" w:space="0" w:color="000000"/>
            </w:tcBorders>
          </w:tcPr>
          <w:p>
            <w:pPr>
              <w:pStyle w:val="Zawartotabeli"/>
              <w:ind w:hanging="0"/>
              <w:jc w:val="center"/>
              <w:rPr/>
            </w:pPr>
            <w:r>
              <w:rPr/>
              <w:t>75,78%</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-4,50pp/-8,22pp</w:t>
            </w:r>
          </w:p>
        </w:tc>
      </w:tr>
      <w:tr>
        <w:trPr/>
        <w:tc>
          <w:tcPr>
            <w:tcW w:w="1814" w:type="dxa"/>
            <w:tcBorders>
              <w:start w:val="single" w:sz="4" w:space="0" w:color="000000"/>
              <w:bottom w:val="single" w:sz="4" w:space="0" w:color="000000"/>
            </w:tcBorders>
          </w:tcPr>
          <w:p>
            <w:pPr>
              <w:pStyle w:val="Zawartotabeli"/>
              <w:ind w:hanging="0"/>
              <w:jc w:val="center"/>
              <w:rPr/>
            </w:pPr>
            <w:r>
              <w:rPr/>
              <w:t>MobileNetV3</w:t>
            </w:r>
          </w:p>
        </w:tc>
        <w:tc>
          <w:tcPr>
            <w:tcW w:w="1812" w:type="dxa"/>
            <w:tcBorders>
              <w:start w:val="single" w:sz="4" w:space="0" w:color="000000"/>
              <w:bottom w:val="single" w:sz="4" w:space="0" w:color="000000"/>
            </w:tcBorders>
          </w:tcPr>
          <w:p>
            <w:pPr>
              <w:pStyle w:val="Zawartotabeli"/>
              <w:ind w:hanging="0"/>
              <w:jc w:val="center"/>
              <w:rPr/>
            </w:pPr>
            <w:r>
              <w:rPr/>
              <w:t>84%</w:t>
            </w:r>
          </w:p>
        </w:tc>
        <w:tc>
          <w:tcPr>
            <w:tcW w:w="1817" w:type="dxa"/>
            <w:tcBorders>
              <w:start w:val="single" w:sz="4" w:space="0" w:color="000000"/>
              <w:bottom w:val="single" w:sz="4" w:space="0" w:color="000000"/>
            </w:tcBorders>
          </w:tcPr>
          <w:p>
            <w:pPr>
              <w:pStyle w:val="Zawartotabeli"/>
              <w:ind w:hanging="0"/>
              <w:jc w:val="center"/>
              <w:rPr/>
            </w:pPr>
            <w:r>
              <w:rPr/>
              <w:t>75,01%</w:t>
            </w:r>
          </w:p>
        </w:tc>
        <w:tc>
          <w:tcPr>
            <w:tcW w:w="1812" w:type="dxa"/>
            <w:tcBorders>
              <w:start w:val="single" w:sz="4" w:space="0" w:color="000000"/>
              <w:bottom w:val="single" w:sz="4" w:space="0" w:color="000000"/>
            </w:tcBorders>
          </w:tcPr>
          <w:p>
            <w:pPr>
              <w:pStyle w:val="Zawartotabeli"/>
              <w:ind w:hanging="0"/>
              <w:jc w:val="center"/>
              <w:rPr/>
            </w:pPr>
            <w:r>
              <w:rPr/>
              <w:t>76,46%</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-8,99pp /-7,54pp</w:t>
            </w:r>
          </w:p>
        </w:tc>
      </w:tr>
      <w:tr>
        <w:trPr/>
        <w:tc>
          <w:tcPr>
            <w:tcW w:w="1814" w:type="dxa"/>
            <w:tcBorders>
              <w:start w:val="single" w:sz="4" w:space="0" w:color="000000"/>
              <w:bottom w:val="single" w:sz="4" w:space="0" w:color="000000"/>
            </w:tcBorders>
          </w:tcPr>
          <w:p>
            <w:pPr>
              <w:pStyle w:val="Zawartotabeli"/>
              <w:ind w:hanging="0"/>
              <w:jc w:val="center"/>
              <w:rPr/>
            </w:pPr>
            <w:r>
              <w:rPr/>
              <w:t>Custom CNN</w:t>
            </w:r>
          </w:p>
        </w:tc>
        <w:tc>
          <w:tcPr>
            <w:tcW w:w="1812" w:type="dxa"/>
            <w:tcBorders>
              <w:start w:val="single" w:sz="4" w:space="0" w:color="000000"/>
              <w:bottom w:val="single" w:sz="4" w:space="0" w:color="000000"/>
            </w:tcBorders>
          </w:tcPr>
          <w:p>
            <w:pPr>
              <w:pStyle w:val="Zawartotabeli"/>
              <w:ind w:hanging="0"/>
              <w:jc w:val="center"/>
              <w:rPr/>
            </w:pPr>
            <w:r>
              <w:rPr/>
              <w:t>62%</w:t>
            </w:r>
          </w:p>
        </w:tc>
        <w:tc>
          <w:tcPr>
            <w:tcW w:w="1817" w:type="dxa"/>
            <w:tcBorders>
              <w:start w:val="single" w:sz="4" w:space="0" w:color="000000"/>
              <w:bottom w:val="single" w:sz="4" w:space="0" w:color="000000"/>
            </w:tcBorders>
          </w:tcPr>
          <w:p>
            <w:pPr>
              <w:pStyle w:val="Zawartotabeli"/>
              <w:ind w:hanging="0"/>
              <w:jc w:val="center"/>
              <w:rPr/>
            </w:pPr>
            <w:r>
              <w:rPr/>
              <w:t>61,10%</w:t>
            </w:r>
          </w:p>
        </w:tc>
        <w:tc>
          <w:tcPr>
            <w:tcW w:w="1812" w:type="dxa"/>
            <w:tcBorders>
              <w:start w:val="single" w:sz="4" w:space="0" w:color="000000"/>
              <w:bottom w:val="single" w:sz="4" w:space="0" w:color="000000"/>
            </w:tcBorders>
          </w:tcPr>
          <w:p>
            <w:pPr>
              <w:pStyle w:val="Zawartotabeli"/>
              <w:ind w:hanging="0"/>
              <w:jc w:val="center"/>
              <w:rPr/>
            </w:pPr>
            <w:r>
              <w:rPr/>
              <w:t>58,25%</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-0,90pp/-3,75pp</w:t>
            </w:r>
          </w:p>
        </w:tc>
      </w:tr>
    </w:tbl>
    <w:p>
      <w:pPr>
        <w:pStyle w:val="Normal"/>
        <w:ind w:firstLine="708"/>
        <w:rPr/>
      </w:pPr>
      <w:r>
        <w:rPr/>
      </w:r>
    </w:p>
    <w:p>
      <w:pPr>
        <w:pStyle w:val="Normal"/>
        <w:ind w:firstLine="708"/>
        <w:rPr/>
      </w:pPr>
      <w:r>
        <w:rPr/>
        <w:t>Wyniki testu ujawniają zaskakującą właściwość modelu ViT. Przy szumie gaussowskim dokładność spadła z 87% do 86,80%, a przy rozmyciu do 84,16%. Zjawisko to ma solidne uzasadnienie architekturalne. Mechanizm uwagi wielogłowowej w modelu ViT operuje na reprezentacjach patchów obrazu, a nie na lokalnych konwolucjach. Szum na poziomie pojedynczych pikseli jest przez operację agregacji w tokenie uśredniany, a uśrednione cechy globalne pozostają stabilne. Rozmycie gaussowskie wygładza z kolei wysokoczęstotliwościowe artefakty, które mogły wprowadzać szum do reprezentacji i utrudniać klasyfikację. Efektywnie obie transformacje działają tu jako dodatkowa regularyzacja testowa, zbliżając rozkład wejść do tego, z jakim model był konfrontowany podczas treningu z augmentacją. Oznacza to, że ViT jest architekturą szczególnie odpowiednią dla zastosowań mobilnych, gdzie jakość obrazu jest nieprzewidywalna.</w:t>
      </w:r>
    </w:p>
    <w:p>
      <w:pPr>
        <w:pStyle w:val="Normal"/>
        <w:ind w:firstLine="708"/>
        <w:rPr/>
      </w:pPr>
      <w:r>
        <w:rPr/>
        <w:t>Modele konwolucyjne (EfficientNet, ResNet50, MobileNetV3) wykazały spadki dokładności mieszczące się w przedziale od 0,90 do 9,97 punktów procentowych. Największy spadek odnotowano dla EfficientNet przy rozmyciu (−13,26 pp), co sugeruje, że architektura ta jest w większym stopniu uzależniona od ostrości krawędzi i wysokoczęstotliwościowych szczegółów tekstury jako cech diagnostycznych. ResNet50 wykazał bardziej umiarkowaną degradację: −4,50 pp przy szumie i −8,22 pp przy rozmyciu, co plasuje go jako drugi najodporniejszy model spośród sieci konwolucyjnych.</w:t>
      </w:r>
    </w:p>
    <w:p>
      <w:pPr>
        <w:pStyle w:val="Normal"/>
        <w:ind w:firstLine="708"/>
        <w:rPr/>
      </w:pPr>
      <w:r>
        <w:rPr/>
      </w:r>
    </w:p>
    <w:p>
      <w:pPr>
        <w:pStyle w:val="Normal"/>
        <w:ind w:firstLine="708"/>
        <w:rPr/>
      </w:pPr>
      <w:r>
        <w:rPr/>
        <w:t>Custom CNN prezentuje nominalnie najmniejszy bezwzględny spadek dokładności (−0,90 pp przy szumie, −3,75 pp przy rozmyciu), co może być jednak interpretowane jako efekt podłogowy: model osiągający jedynie 62% dokładności bazowej ma mniej do stracenia, a błędy generowane przez zakłócenia częściowo nakładają się na błędy już istniejące bez zakłóceń.</w:t>
      </w:r>
    </w:p>
    <w:p>
      <w:pPr>
        <w:pStyle w:val="Normal"/>
        <w:ind w:firstLine="708"/>
        <w:rPr/>
      </w:pPr>
      <w:r>
        <w:rPr/>
        <w:t>Wnioski praktyczne z testu odporności są jednoznaczne. Jeśli docelowym środowiskiem wdrożenia systemu jest aplikacja mobilna z kamerą smartfona, architektura ViT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pPr>
        <w:pStyle w:val="Heading2"/>
        <w:numPr>
          <w:ilvl w:val="1"/>
          <w:numId w:val="23"/>
        </w:numPr>
        <w:rPr/>
      </w:pPr>
      <w:bookmarkStart w:id="147" w:name="_Toc230629495"/>
      <w:r>
        <w:rPr/>
        <w:t>Szybkość działania modeli</w:t>
      </w:r>
      <w:bookmarkEnd w:id="147"/>
    </w:p>
    <w:p>
      <w:pPr>
        <w:pStyle w:val="Normal"/>
        <w:ind w:firstLine="708"/>
        <w:rPr/>
      </w:pPr>
      <w:r>
        <w:rP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pPr>
        <w:pStyle w:val="Normal"/>
        <w:ind w:firstLine="708"/>
        <w:rPr/>
      </w:pPr>
      <w:r>
        <w:rPr/>
        <w:t>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inferencji dla danej architektury. Poniższe tabele prezentują wyniki pomiarów odpowiednio na CPU i GPU.</w:t>
      </w:r>
    </w:p>
    <w:p>
      <w:pPr>
        <w:pStyle w:val="Normal"/>
        <w:ind w:firstLine="708"/>
        <w:rPr/>
      </w:pPr>
      <w:r>
        <w:rPr/>
      </w:r>
    </w:p>
    <w:p>
      <w:pPr>
        <w:pStyle w:val="Normal"/>
        <w:ind w:firstLine="708"/>
        <w:rPr/>
      </w:pPr>
      <w:r>
        <w:rPr/>
      </w:r>
    </w:p>
    <w:p>
      <w:pPr>
        <w:pStyle w:val="Normal"/>
        <w:ind w:firstLine="708"/>
        <w:rPr/>
      </w:pPr>
      <w:r>
        <w:rPr/>
      </w:r>
    </w:p>
    <w:p>
      <w:pPr>
        <w:pStyle w:val="Normal"/>
        <w:ind w:firstLine="708"/>
        <w:rPr/>
      </w:pPr>
      <w:r>
        <w:rPr/>
      </w:r>
    </w:p>
    <w:p>
      <w:pPr>
        <w:pStyle w:val="Tabela"/>
        <w:rPr/>
      </w:pPr>
      <w:r>
        <w:rPr/>
      </w:r>
    </w:p>
    <w:p>
      <w:pPr>
        <w:pStyle w:val="Caption"/>
        <w:rPr/>
      </w:pPr>
      <w:bookmarkStart w:id="148" w:name="_Toc230629547"/>
      <w:bookmarkStart w:id="149" w:name="_Ref228224080"/>
      <w:bookmarkStart w:id="150" w:name="_Ref228224089"/>
      <w:r>
        <w:rPr/>
        <w:t xml:space="preserve">Tabela </w:t>
      </w:r>
      <w:r>
        <w:rPr/>
        <w:fldChar w:fldCharType="begin"/>
      </w:r>
      <w:r>
        <w:rPr/>
        <w:instrText xml:space="preserve"> SEQ Tabela \* ARABIC </w:instrText>
      </w:r>
      <w:r>
        <w:rPr/>
        <w:fldChar w:fldCharType="separate"/>
      </w:r>
      <w:r>
        <w:rPr/>
        <w:t>6</w:t>
      </w:r>
      <w:r>
        <w:rPr/>
        <w:fldChar w:fldCharType="end"/>
      </w:r>
      <w:bookmarkEnd w:id="150"/>
      <w:r>
        <w:rPr/>
        <w:t xml:space="preserve"> Tabela średniego czasu analizy modeli (10 próbek) CPU 12th Gen Intel(R) Core(TM) i5-1250P</w:t>
      </w:r>
      <w:bookmarkEnd w:id="148"/>
      <w:bookmarkEnd w:id="149"/>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512"/>
        <w:gridCol w:w="1509"/>
        <w:gridCol w:w="1514"/>
        <w:gridCol w:w="1513"/>
        <w:gridCol w:w="1511"/>
        <w:gridCol w:w="1513"/>
      </w:tblGrid>
      <w:tr>
        <w:trPr/>
        <w:tc>
          <w:tcPr>
            <w:tcW w:w="1512" w:type="dxa"/>
            <w:tcBorders>
              <w:top w:val="single" w:sz="4" w:space="0" w:color="000000"/>
              <w:start w:val="single" w:sz="4" w:space="0" w:color="000000"/>
              <w:bottom w:val="single" w:sz="4" w:space="0" w:color="000000"/>
            </w:tcBorders>
          </w:tcPr>
          <w:p>
            <w:pPr>
              <w:pStyle w:val="Zawartotabeli"/>
              <w:ind w:hanging="0"/>
              <w:rPr/>
            </w:pPr>
            <w:r>
              <w:rPr/>
              <w:t>Uruchomienie</w:t>
            </w:r>
          </w:p>
        </w:tc>
        <w:tc>
          <w:tcPr>
            <w:tcW w:w="1509" w:type="dxa"/>
            <w:tcBorders>
              <w:top w:val="single" w:sz="4" w:space="0" w:color="000000"/>
              <w:start w:val="single" w:sz="4" w:space="0" w:color="000000"/>
              <w:bottom w:val="single" w:sz="4" w:space="0" w:color="000000"/>
            </w:tcBorders>
          </w:tcPr>
          <w:p>
            <w:pPr>
              <w:pStyle w:val="Zawartotabeli"/>
              <w:ind w:hanging="0"/>
              <w:jc w:val="center"/>
              <w:rPr/>
            </w:pPr>
            <w:r>
              <w:rPr/>
              <w:t>MobileNetV3</w:t>
            </w:r>
          </w:p>
        </w:tc>
        <w:tc>
          <w:tcPr>
            <w:tcW w:w="1514" w:type="dxa"/>
            <w:tcBorders>
              <w:top w:val="single" w:sz="4" w:space="0" w:color="000000"/>
              <w:start w:val="single" w:sz="4" w:space="0" w:color="000000"/>
              <w:bottom w:val="single" w:sz="4" w:space="0" w:color="000000"/>
            </w:tcBorders>
          </w:tcPr>
          <w:p>
            <w:pPr>
              <w:pStyle w:val="Zawartotabeli"/>
              <w:ind w:hanging="0"/>
              <w:jc w:val="center"/>
              <w:rPr/>
            </w:pPr>
            <w:r>
              <w:rPr/>
              <w:t>ResNet50</w:t>
            </w:r>
          </w:p>
        </w:tc>
        <w:tc>
          <w:tcPr>
            <w:tcW w:w="1513" w:type="dxa"/>
            <w:tcBorders>
              <w:top w:val="single" w:sz="4" w:space="0" w:color="000000"/>
              <w:start w:val="single" w:sz="4" w:space="0" w:color="000000"/>
              <w:bottom w:val="single" w:sz="4" w:space="0" w:color="000000"/>
            </w:tcBorders>
          </w:tcPr>
          <w:p>
            <w:pPr>
              <w:pStyle w:val="Zawartotabeli"/>
              <w:ind w:hanging="0"/>
              <w:jc w:val="center"/>
              <w:rPr/>
            </w:pPr>
            <w:r>
              <w:rPr/>
              <w:t>Custom CNN</w:t>
            </w:r>
          </w:p>
        </w:tc>
        <w:tc>
          <w:tcPr>
            <w:tcW w:w="1511" w:type="dxa"/>
            <w:tcBorders>
              <w:top w:val="single" w:sz="4" w:space="0" w:color="000000"/>
              <w:start w:val="single" w:sz="4" w:space="0" w:color="000000"/>
              <w:bottom w:val="single" w:sz="4" w:space="0" w:color="000000"/>
            </w:tcBorders>
          </w:tcPr>
          <w:p>
            <w:pPr>
              <w:pStyle w:val="Zawartotabeli"/>
              <w:ind w:hanging="0"/>
              <w:jc w:val="center"/>
              <w:rPr/>
            </w:pPr>
            <w:r>
              <w:rPr/>
              <w:t>ViT</w:t>
            </w:r>
          </w:p>
        </w:tc>
        <w:tc>
          <w:tcPr>
            <w:tcW w:w="1513" w:type="dxa"/>
            <w:tcBorders>
              <w:top w:val="single" w:sz="4" w:space="0" w:color="000000"/>
              <w:start w:val="single" w:sz="4" w:space="0" w:color="000000"/>
              <w:bottom w:val="single" w:sz="4" w:space="0" w:color="000000"/>
              <w:end w:val="single" w:sz="4" w:space="0" w:color="000000"/>
            </w:tcBorders>
          </w:tcPr>
          <w:p>
            <w:pPr>
              <w:pStyle w:val="Zawartotabeli"/>
              <w:ind w:hanging="0"/>
              <w:jc w:val="center"/>
              <w:rPr/>
            </w:pPr>
            <w:r>
              <w:rPr/>
              <w:t>EficientNet-B0</w:t>
            </w:r>
          </w:p>
        </w:tc>
      </w:tr>
      <w:tr>
        <w:trPr/>
        <w:tc>
          <w:tcPr>
            <w:tcW w:w="1512" w:type="dxa"/>
            <w:tcBorders>
              <w:start w:val="single" w:sz="4" w:space="0" w:color="000000"/>
              <w:bottom w:val="single" w:sz="4" w:space="0" w:color="000000"/>
            </w:tcBorders>
          </w:tcPr>
          <w:p>
            <w:pPr>
              <w:pStyle w:val="Zawartotabeli"/>
              <w:ind w:hanging="0"/>
              <w:rPr/>
            </w:pPr>
            <w:r>
              <w:rPr/>
              <w:t>1</w:t>
            </w:r>
          </w:p>
        </w:tc>
        <w:tc>
          <w:tcPr>
            <w:tcW w:w="1509" w:type="dxa"/>
            <w:tcBorders>
              <w:start w:val="single" w:sz="4" w:space="0" w:color="000000"/>
              <w:bottom w:val="single" w:sz="4" w:space="0" w:color="000000"/>
            </w:tcBorders>
          </w:tcPr>
          <w:p>
            <w:pPr>
              <w:pStyle w:val="BodyText"/>
              <w:spacing w:before="0" w:after="140"/>
              <w:ind w:hanging="0"/>
              <w:jc w:val="center"/>
              <w:rPr/>
            </w:pPr>
            <w:r>
              <w:rPr/>
              <w:t>0.0472s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0.0789s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0.0180s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0.2198s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0.0564s</w:t>
            </w:r>
          </w:p>
        </w:tc>
      </w:tr>
      <w:tr>
        <w:trPr/>
        <w:tc>
          <w:tcPr>
            <w:tcW w:w="1512" w:type="dxa"/>
            <w:tcBorders>
              <w:start w:val="single" w:sz="4" w:space="0" w:color="000000"/>
              <w:bottom w:val="single" w:sz="4" w:space="0" w:color="000000"/>
            </w:tcBorders>
          </w:tcPr>
          <w:p>
            <w:pPr>
              <w:pStyle w:val="Zawartotabeli"/>
              <w:ind w:hanging="0"/>
              <w:rPr/>
            </w:pPr>
            <w:r>
              <w:rPr/>
              <w:t>2</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0.0373s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0.0623s</w:t>
            </w:r>
          </w:p>
        </w:tc>
        <w:tc>
          <w:tcPr>
            <w:tcW w:w="1513" w:type="dxa"/>
            <w:tcBorders>
              <w:start w:val="single" w:sz="4" w:space="0" w:color="000000"/>
              <w:bottom w:val="single" w:sz="4" w:space="0" w:color="000000"/>
            </w:tcBorders>
          </w:tcPr>
          <w:p>
            <w:pPr>
              <w:pStyle w:val="BodyText"/>
              <w:spacing w:before="0" w:after="140"/>
              <w:ind w:hanging="0"/>
              <w:jc w:val="center"/>
              <w:rPr/>
            </w:pPr>
            <w:r>
              <w:rPr/>
              <w:t>0.0184s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0.1682s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0.0390s</w:t>
            </w:r>
          </w:p>
        </w:tc>
      </w:tr>
      <w:tr>
        <w:trPr/>
        <w:tc>
          <w:tcPr>
            <w:tcW w:w="1512" w:type="dxa"/>
            <w:tcBorders>
              <w:start w:val="single" w:sz="4" w:space="0" w:color="000000"/>
              <w:bottom w:val="single" w:sz="4" w:space="0" w:color="000000"/>
            </w:tcBorders>
          </w:tcPr>
          <w:p>
            <w:pPr>
              <w:pStyle w:val="Zawartotabeli"/>
              <w:ind w:hanging="0"/>
              <w:rPr/>
            </w:pPr>
            <w:r>
              <w:rPr/>
              <w:t>3</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0.0357s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0.0804 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0.0159 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0.1348 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0.0632 s</w:t>
            </w:r>
          </w:p>
        </w:tc>
      </w:tr>
      <w:tr>
        <w:trPr/>
        <w:tc>
          <w:tcPr>
            <w:tcW w:w="1512" w:type="dxa"/>
            <w:tcBorders>
              <w:start w:val="single" w:sz="4" w:space="0" w:color="000000"/>
              <w:bottom w:val="single" w:sz="4" w:space="0" w:color="000000"/>
            </w:tcBorders>
          </w:tcPr>
          <w:p>
            <w:pPr>
              <w:pStyle w:val="Zawartotabeli"/>
              <w:ind w:hanging="0"/>
              <w:rPr/>
            </w:pPr>
            <w:r>
              <w:rPr/>
              <w:t>4</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0.0238s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0.0766s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0.0442s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0.1751s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0.0438s</w:t>
            </w:r>
          </w:p>
        </w:tc>
      </w:tr>
      <w:tr>
        <w:trPr/>
        <w:tc>
          <w:tcPr>
            <w:tcW w:w="1512" w:type="dxa"/>
            <w:tcBorders>
              <w:start w:val="single" w:sz="4" w:space="0" w:color="000000"/>
              <w:bottom w:val="single" w:sz="4" w:space="0" w:color="000000"/>
            </w:tcBorders>
          </w:tcPr>
          <w:p>
            <w:pPr>
              <w:pStyle w:val="Zawartotabeli"/>
              <w:ind w:hanging="0"/>
              <w:rPr/>
            </w:pPr>
            <w:r>
              <w:rPr/>
              <w:t>5</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0.0247s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0.0726s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0.0169s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0.1712s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0.0372s</w:t>
            </w:r>
          </w:p>
        </w:tc>
      </w:tr>
      <w:tr>
        <w:trPr/>
        <w:tc>
          <w:tcPr>
            <w:tcW w:w="1512" w:type="dxa"/>
            <w:tcBorders>
              <w:start w:val="single" w:sz="4" w:space="0" w:color="000000"/>
              <w:bottom w:val="single" w:sz="4" w:space="0" w:color="000000"/>
            </w:tcBorders>
          </w:tcPr>
          <w:p>
            <w:pPr>
              <w:pStyle w:val="Zawartotabeli"/>
              <w:ind w:hanging="0"/>
              <w:rPr/>
            </w:pPr>
            <w:r>
              <w:rPr/>
              <w:t>6</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0.0245s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0.0611s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0.0178s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0.1659s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0.0568s</w:t>
            </w:r>
          </w:p>
        </w:tc>
      </w:tr>
      <w:tr>
        <w:trPr/>
        <w:tc>
          <w:tcPr>
            <w:tcW w:w="1512" w:type="dxa"/>
            <w:tcBorders>
              <w:start w:val="single" w:sz="4" w:space="0" w:color="000000"/>
              <w:bottom w:val="single" w:sz="4" w:space="0" w:color="000000"/>
            </w:tcBorders>
          </w:tcPr>
          <w:p>
            <w:pPr>
              <w:pStyle w:val="Zawartotabeli"/>
              <w:ind w:hanging="0"/>
              <w:rPr/>
            </w:pPr>
            <w:r>
              <w:rPr/>
              <w:t>7</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0.0229s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0.0716s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0.0151s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0.1419s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0.0479s</w:t>
            </w:r>
          </w:p>
        </w:tc>
      </w:tr>
      <w:tr>
        <w:trPr/>
        <w:tc>
          <w:tcPr>
            <w:tcW w:w="1512" w:type="dxa"/>
            <w:tcBorders>
              <w:start w:val="single" w:sz="4" w:space="0" w:color="000000"/>
              <w:bottom w:val="single" w:sz="4" w:space="0" w:color="000000"/>
            </w:tcBorders>
          </w:tcPr>
          <w:p>
            <w:pPr>
              <w:pStyle w:val="Zawartotabeli"/>
              <w:ind w:hanging="0"/>
              <w:rPr/>
            </w:pPr>
            <w:r>
              <w:rPr/>
              <w:t>8</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0.0217s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0.0742s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0.0428s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0.1795s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0.0743s</w:t>
            </w:r>
          </w:p>
        </w:tc>
      </w:tr>
      <w:tr>
        <w:trPr/>
        <w:tc>
          <w:tcPr>
            <w:tcW w:w="1512" w:type="dxa"/>
            <w:tcBorders>
              <w:start w:val="single" w:sz="4" w:space="0" w:color="000000"/>
              <w:bottom w:val="single" w:sz="4" w:space="0" w:color="000000"/>
            </w:tcBorders>
          </w:tcPr>
          <w:p>
            <w:pPr>
              <w:pStyle w:val="Zawartotabeli"/>
              <w:ind w:hanging="0"/>
              <w:rPr/>
            </w:pPr>
            <w:r>
              <w:rPr/>
              <w:t>9</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0.0199s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0.0672s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0.0225s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0.1972s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0.0522s</w:t>
            </w:r>
          </w:p>
        </w:tc>
      </w:tr>
      <w:tr>
        <w:trPr/>
        <w:tc>
          <w:tcPr>
            <w:tcW w:w="1512" w:type="dxa"/>
            <w:tcBorders>
              <w:start w:val="single" w:sz="4" w:space="0" w:color="000000"/>
              <w:bottom w:val="single" w:sz="4" w:space="0" w:color="000000"/>
            </w:tcBorders>
          </w:tcPr>
          <w:p>
            <w:pPr>
              <w:pStyle w:val="Zawartotabeli"/>
              <w:ind w:hanging="0"/>
              <w:rPr/>
            </w:pPr>
            <w:r>
              <w:rPr/>
              <w:t>10</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0.0268s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0.0610s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0.0147s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0.1467s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0.0358s</w:t>
            </w:r>
          </w:p>
        </w:tc>
      </w:tr>
      <w:tr>
        <w:trPr/>
        <w:tc>
          <w:tcPr>
            <w:tcW w:w="1512" w:type="dxa"/>
            <w:tcBorders>
              <w:start w:val="single" w:sz="4" w:space="0" w:color="000000"/>
              <w:bottom w:val="single" w:sz="4" w:space="0" w:color="000000"/>
            </w:tcBorders>
          </w:tcPr>
          <w:p>
            <w:pPr>
              <w:pStyle w:val="Zawartotabeli"/>
              <w:ind w:hanging="0"/>
              <w:rPr/>
            </w:pPr>
            <w:r>
              <w:rPr/>
              <w:t>Średnia</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0.0284s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0.0706s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0.0226s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0.1700s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0.0507s</w:t>
            </w:r>
          </w:p>
        </w:tc>
      </w:tr>
    </w:tbl>
    <w:p>
      <w:pPr>
        <w:pStyle w:val="Normal"/>
        <w:ind w:hanging="0"/>
        <w:rPr/>
      </w:pPr>
      <w:r>
        <w:rPr/>
      </w:r>
    </w:p>
    <w:p>
      <w:pPr>
        <w:pStyle w:val="Normal"/>
        <w:ind w:firstLine="708"/>
        <w:rPr/>
      </w:pPr>
      <w:r>
        <w:rPr/>
        <w:t>Wyniki na CPU ujawniają wyraźną hierarchię szybkości. MobileNetV3 osiągnął naj-niższą średnią latencję wśród modeli przetrenowanych (</w:t>
      </w:r>
      <w:r>
        <w:rPr/>
        <w:fldChar w:fldCharType="begin"/>
      </w:r>
      <w:r>
        <w:rPr/>
        <w:instrText xml:space="preserve"> REF _Ref228224089 \h </w:instrText>
      </w:r>
      <w:r>
        <w:rPr/>
        <w:fldChar w:fldCharType="separate"/>
      </w:r>
      <w:r>
        <w:rPr/>
        <w:t>Tabela 6</w:t>
      </w:r>
      <w:r>
        <w:rPr/>
        <w:fldChar w:fldCharType="end"/>
      </w:r>
      <w:r>
        <w:rPr/>
        <w:t>), wynoszącą 0,0284 s, co odpowiada przepustowości około 35 obrazów na sekundę. Custom CNN,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ViT ze średnią 0,1700 s, co odpowiada zaledwie około 6 obrazów na sekundę. Wysoka latencja ViT wynika z konieczności obliczenia uwagi wielogłowowej na sekwencji tokenów. Operacja ta ma złożoność kwadratową względem liczby patchów, przez co jest znacznie kosztowniejsza obliczeniowo niż konwolucja na równorzędnej architekturze CNN.</w:t>
      </w:r>
    </w:p>
    <w:p>
      <w:pPr>
        <w:pStyle w:val="Normal"/>
        <w:ind w:firstLine="708"/>
        <w:rPr/>
      </w:pPr>
      <w:r>
        <w:rPr/>
        <w:t>Warto zwrócić uwagę na pewną zmienność pomiarów między kolejnymi uruchomieniami, szczególnie widoczną przy Custom CNN (wahania między 0,0147 s a 0,0442 s) i ViT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warm-up, który eliminuje narzut pierwszego uruchomienia. Poniżej zarezerwowano miejsce na wyniki analogicznego testu przeprowadzonego na GPU.</w:t>
      </w:r>
    </w:p>
    <w:p>
      <w:pPr>
        <w:pStyle w:val="Caption"/>
        <w:rPr/>
      </w:pPr>
      <w:bookmarkStart w:id="151" w:name="_Toc230629548"/>
      <w:bookmarkStart w:id="152" w:name="_Ref228224155"/>
      <w:r>
        <w:rPr/>
        <w:t xml:space="preserve">Tabela </w:t>
      </w:r>
      <w:r>
        <w:rPr/>
        <w:fldChar w:fldCharType="begin"/>
      </w:r>
      <w:r>
        <w:rPr/>
        <w:instrText xml:space="preserve"> SEQ Tabela \* ARABIC </w:instrText>
      </w:r>
      <w:r>
        <w:rPr/>
        <w:fldChar w:fldCharType="separate"/>
      </w:r>
      <w:r>
        <w:rPr/>
        <w:t>7</w:t>
      </w:r>
      <w:r>
        <w:rPr/>
        <w:fldChar w:fldCharType="end"/>
      </w:r>
      <w:bookmarkEnd w:id="152"/>
      <w:r>
        <w:rPr/>
        <w:t xml:space="preserve"> Tabela średniego czasu analizy modelów (10 próbek) GPU RTX 4060</w:t>
      </w:r>
      <w:bookmarkEnd w:id="151"/>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512"/>
        <w:gridCol w:w="1509"/>
        <w:gridCol w:w="1514"/>
        <w:gridCol w:w="1513"/>
        <w:gridCol w:w="1511"/>
        <w:gridCol w:w="1513"/>
      </w:tblGrid>
      <w:tr>
        <w:trPr/>
        <w:tc>
          <w:tcPr>
            <w:tcW w:w="1512" w:type="dxa"/>
            <w:tcBorders>
              <w:top w:val="single" w:sz="4" w:space="0" w:color="000000"/>
              <w:start w:val="single" w:sz="4" w:space="0" w:color="000000"/>
              <w:bottom w:val="single" w:sz="4" w:space="0" w:color="000000"/>
            </w:tcBorders>
          </w:tcPr>
          <w:p>
            <w:pPr>
              <w:pStyle w:val="Zawartotabeli"/>
              <w:ind w:hanging="0"/>
              <w:rPr/>
            </w:pPr>
            <w:r>
              <w:rPr/>
              <w:t>Uruchomienie</w:t>
            </w:r>
          </w:p>
        </w:tc>
        <w:tc>
          <w:tcPr>
            <w:tcW w:w="1509" w:type="dxa"/>
            <w:tcBorders>
              <w:top w:val="single" w:sz="4" w:space="0" w:color="000000"/>
              <w:start w:val="single" w:sz="4" w:space="0" w:color="000000"/>
              <w:bottom w:val="single" w:sz="4" w:space="0" w:color="000000"/>
            </w:tcBorders>
          </w:tcPr>
          <w:p>
            <w:pPr>
              <w:pStyle w:val="Zawartotabeli"/>
              <w:ind w:hanging="0"/>
              <w:jc w:val="center"/>
              <w:rPr/>
            </w:pPr>
            <w:r>
              <w:rPr/>
              <w:t>MobileNetV3</w:t>
            </w:r>
          </w:p>
        </w:tc>
        <w:tc>
          <w:tcPr>
            <w:tcW w:w="1514" w:type="dxa"/>
            <w:tcBorders>
              <w:top w:val="single" w:sz="4" w:space="0" w:color="000000"/>
              <w:start w:val="single" w:sz="4" w:space="0" w:color="000000"/>
              <w:bottom w:val="single" w:sz="4" w:space="0" w:color="000000"/>
            </w:tcBorders>
          </w:tcPr>
          <w:p>
            <w:pPr>
              <w:pStyle w:val="Zawartotabeli"/>
              <w:ind w:hanging="0"/>
              <w:jc w:val="center"/>
              <w:rPr/>
            </w:pPr>
            <w:r>
              <w:rPr/>
              <w:t>ResNet50</w:t>
            </w:r>
          </w:p>
        </w:tc>
        <w:tc>
          <w:tcPr>
            <w:tcW w:w="1513" w:type="dxa"/>
            <w:tcBorders>
              <w:top w:val="single" w:sz="4" w:space="0" w:color="000000"/>
              <w:start w:val="single" w:sz="4" w:space="0" w:color="000000"/>
              <w:bottom w:val="single" w:sz="4" w:space="0" w:color="000000"/>
            </w:tcBorders>
          </w:tcPr>
          <w:p>
            <w:pPr>
              <w:pStyle w:val="Zawartotabeli"/>
              <w:ind w:hanging="0"/>
              <w:jc w:val="center"/>
              <w:rPr/>
            </w:pPr>
            <w:r>
              <w:rPr/>
              <w:t>Custom CNN</w:t>
            </w:r>
          </w:p>
        </w:tc>
        <w:tc>
          <w:tcPr>
            <w:tcW w:w="1511" w:type="dxa"/>
            <w:tcBorders>
              <w:top w:val="single" w:sz="4" w:space="0" w:color="000000"/>
              <w:start w:val="single" w:sz="4" w:space="0" w:color="000000"/>
              <w:bottom w:val="single" w:sz="4" w:space="0" w:color="000000"/>
            </w:tcBorders>
          </w:tcPr>
          <w:p>
            <w:pPr>
              <w:pStyle w:val="Zawartotabeli"/>
              <w:ind w:hanging="0"/>
              <w:jc w:val="center"/>
              <w:rPr/>
            </w:pPr>
            <w:r>
              <w:rPr/>
              <w:t>ViT</w:t>
            </w:r>
          </w:p>
        </w:tc>
        <w:tc>
          <w:tcPr>
            <w:tcW w:w="1513" w:type="dxa"/>
            <w:tcBorders>
              <w:top w:val="single" w:sz="4" w:space="0" w:color="000000"/>
              <w:start w:val="single" w:sz="4" w:space="0" w:color="000000"/>
              <w:bottom w:val="single" w:sz="4" w:space="0" w:color="000000"/>
              <w:end w:val="single" w:sz="4" w:space="0" w:color="000000"/>
            </w:tcBorders>
          </w:tcPr>
          <w:p>
            <w:pPr>
              <w:pStyle w:val="Zawartotabeli"/>
              <w:ind w:hanging="0"/>
              <w:jc w:val="center"/>
              <w:rPr/>
            </w:pPr>
            <w:r>
              <w:rPr/>
              <w:t>EficientNet-B0</w:t>
            </w:r>
          </w:p>
        </w:tc>
      </w:tr>
      <w:tr>
        <w:trPr/>
        <w:tc>
          <w:tcPr>
            <w:tcW w:w="1512" w:type="dxa"/>
            <w:tcBorders>
              <w:start w:val="single" w:sz="4" w:space="0" w:color="000000"/>
              <w:bottom w:val="single" w:sz="4" w:space="0" w:color="000000"/>
            </w:tcBorders>
          </w:tcPr>
          <w:p>
            <w:pPr>
              <w:pStyle w:val="Zawartotabeli"/>
              <w:ind w:hanging="0"/>
              <w:rPr/>
            </w:pPr>
            <w:r>
              <w:rPr/>
              <w:t>1</w:t>
            </w:r>
          </w:p>
        </w:tc>
        <w:tc>
          <w:tcPr>
            <w:tcW w:w="1509" w:type="dxa"/>
            <w:tcBorders>
              <w:start w:val="single" w:sz="4" w:space="0" w:color="000000"/>
              <w:bottom w:val="single" w:sz="4" w:space="0" w:color="000000"/>
            </w:tcBorders>
          </w:tcPr>
          <w:p>
            <w:pPr>
              <w:pStyle w:val="BodyText"/>
              <w:spacing w:before="0" w:after="140"/>
              <w:ind w:hanging="0"/>
              <w:jc w:val="center"/>
              <w:rPr/>
            </w:pPr>
            <w:r>
              <w:rPr/>
              <w:t>0.018s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0.0848s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0.0031s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0.0136s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0.0219s</w:t>
            </w:r>
          </w:p>
        </w:tc>
      </w:tr>
      <w:tr>
        <w:trPr/>
        <w:tc>
          <w:tcPr>
            <w:tcW w:w="1512" w:type="dxa"/>
            <w:tcBorders>
              <w:start w:val="single" w:sz="4" w:space="0" w:color="000000"/>
              <w:bottom w:val="single" w:sz="4" w:space="0" w:color="000000"/>
            </w:tcBorders>
          </w:tcPr>
          <w:p>
            <w:pPr>
              <w:pStyle w:val="Zawartotabeli"/>
              <w:ind w:hanging="0"/>
              <w:rPr/>
            </w:pPr>
            <w:r>
              <w:rPr/>
              <w:t>2</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0.0174s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0.0547s</w:t>
            </w:r>
          </w:p>
        </w:tc>
        <w:tc>
          <w:tcPr>
            <w:tcW w:w="1513" w:type="dxa"/>
            <w:tcBorders>
              <w:start w:val="single" w:sz="4" w:space="0" w:color="000000"/>
              <w:bottom w:val="single" w:sz="4" w:space="0" w:color="000000"/>
            </w:tcBorders>
          </w:tcPr>
          <w:p>
            <w:pPr>
              <w:pStyle w:val="BodyText"/>
              <w:spacing w:before="0" w:after="140"/>
              <w:ind w:hanging="0"/>
              <w:jc w:val="center"/>
              <w:rPr/>
            </w:pPr>
            <w:r>
              <w:rPr/>
              <w:t>0.0809s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0.0161s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0.032s</w:t>
            </w:r>
          </w:p>
        </w:tc>
      </w:tr>
      <w:tr>
        <w:trPr/>
        <w:tc>
          <w:tcPr>
            <w:tcW w:w="1512" w:type="dxa"/>
            <w:tcBorders>
              <w:start w:val="single" w:sz="4" w:space="0" w:color="000000"/>
              <w:bottom w:val="single" w:sz="4" w:space="0" w:color="000000"/>
            </w:tcBorders>
          </w:tcPr>
          <w:p>
            <w:pPr>
              <w:pStyle w:val="Zawartotabeli"/>
              <w:ind w:hanging="0"/>
              <w:rPr/>
            </w:pPr>
            <w:r>
              <w:rPr/>
              <w:t>3</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0.0232s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0.0711s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0.0025s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0.0148s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0.0215s</w:t>
            </w:r>
          </w:p>
        </w:tc>
      </w:tr>
      <w:tr>
        <w:trPr/>
        <w:tc>
          <w:tcPr>
            <w:tcW w:w="1512" w:type="dxa"/>
            <w:tcBorders>
              <w:start w:val="single" w:sz="4" w:space="0" w:color="000000"/>
              <w:bottom w:val="single" w:sz="4" w:space="0" w:color="000000"/>
            </w:tcBorders>
          </w:tcPr>
          <w:p>
            <w:pPr>
              <w:pStyle w:val="Zawartotabeli"/>
              <w:ind w:hanging="0"/>
              <w:rPr/>
            </w:pPr>
            <w:r>
              <w:rPr/>
              <w:t>4</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0.0169s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0.0771s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0.002s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0.0186s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0.0257s</w:t>
            </w:r>
          </w:p>
        </w:tc>
      </w:tr>
      <w:tr>
        <w:trPr/>
        <w:tc>
          <w:tcPr>
            <w:tcW w:w="1512" w:type="dxa"/>
            <w:tcBorders>
              <w:start w:val="single" w:sz="4" w:space="0" w:color="000000"/>
              <w:bottom w:val="single" w:sz="4" w:space="0" w:color="000000"/>
            </w:tcBorders>
          </w:tcPr>
          <w:p>
            <w:pPr>
              <w:pStyle w:val="Zawartotabeli"/>
              <w:ind w:hanging="0"/>
              <w:rPr/>
            </w:pPr>
            <w:r>
              <w:rPr/>
              <w:t>5</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0.0258s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0.0819s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0.003s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0.0164s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0.0195s</w:t>
            </w:r>
          </w:p>
        </w:tc>
      </w:tr>
      <w:tr>
        <w:trPr/>
        <w:tc>
          <w:tcPr>
            <w:tcW w:w="1512" w:type="dxa"/>
            <w:tcBorders>
              <w:start w:val="single" w:sz="4" w:space="0" w:color="000000"/>
              <w:bottom w:val="single" w:sz="4" w:space="0" w:color="000000"/>
            </w:tcBorders>
          </w:tcPr>
          <w:p>
            <w:pPr>
              <w:pStyle w:val="Zawartotabeli"/>
              <w:ind w:hanging="0"/>
              <w:rPr/>
            </w:pPr>
            <w:r>
              <w:rPr/>
              <w:t>6</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0.0188s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0.0791s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0.0334s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0.0119s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0.0192s</w:t>
            </w:r>
          </w:p>
        </w:tc>
      </w:tr>
      <w:tr>
        <w:trPr/>
        <w:tc>
          <w:tcPr>
            <w:tcW w:w="1512" w:type="dxa"/>
            <w:tcBorders>
              <w:start w:val="single" w:sz="4" w:space="0" w:color="000000"/>
              <w:bottom w:val="single" w:sz="4" w:space="0" w:color="000000"/>
            </w:tcBorders>
          </w:tcPr>
          <w:p>
            <w:pPr>
              <w:pStyle w:val="Zawartotabeli"/>
              <w:ind w:hanging="0"/>
              <w:rPr/>
            </w:pPr>
            <w:r>
              <w:rPr/>
              <w:t>7</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0.0243s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0.0874s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0.003s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0.0123s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0.02s</w:t>
            </w:r>
          </w:p>
        </w:tc>
      </w:tr>
      <w:tr>
        <w:trPr/>
        <w:tc>
          <w:tcPr>
            <w:tcW w:w="1512" w:type="dxa"/>
            <w:tcBorders>
              <w:start w:val="single" w:sz="4" w:space="0" w:color="000000"/>
              <w:bottom w:val="single" w:sz="4" w:space="0" w:color="000000"/>
            </w:tcBorders>
          </w:tcPr>
          <w:p>
            <w:pPr>
              <w:pStyle w:val="Zawartotabeli"/>
              <w:ind w:hanging="0"/>
              <w:rPr/>
            </w:pPr>
            <w:r>
              <w:rPr/>
              <w:t>8</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0.0175s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0.0839s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0.0121s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0.0222s</w:t>
            </w:r>
          </w:p>
        </w:tc>
      </w:tr>
      <w:tr>
        <w:trPr/>
        <w:tc>
          <w:tcPr>
            <w:tcW w:w="1512" w:type="dxa"/>
            <w:tcBorders>
              <w:start w:val="single" w:sz="4" w:space="0" w:color="000000"/>
              <w:bottom w:val="single" w:sz="4" w:space="0" w:color="000000"/>
            </w:tcBorders>
          </w:tcPr>
          <w:p>
            <w:pPr>
              <w:pStyle w:val="Zawartotabeli"/>
              <w:ind w:hanging="0"/>
              <w:rPr/>
            </w:pPr>
            <w:r>
              <w:rPr/>
              <w:t>9</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0.0192s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0.0919s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0.0084s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0.0109s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0.0205s</w:t>
            </w:r>
          </w:p>
        </w:tc>
      </w:tr>
      <w:tr>
        <w:trPr/>
        <w:tc>
          <w:tcPr>
            <w:tcW w:w="1512" w:type="dxa"/>
            <w:tcBorders>
              <w:start w:val="single" w:sz="4" w:space="0" w:color="000000"/>
              <w:bottom w:val="single" w:sz="4" w:space="0" w:color="000000"/>
            </w:tcBorders>
          </w:tcPr>
          <w:p>
            <w:pPr>
              <w:pStyle w:val="Zawartotabeli"/>
              <w:ind w:hanging="0"/>
              <w:rPr/>
            </w:pPr>
            <w:r>
              <w:rPr/>
              <w:t>10</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0.0173s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0.0778s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0.0768s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0.0136s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0.0269s</w:t>
            </w:r>
          </w:p>
        </w:tc>
      </w:tr>
      <w:tr>
        <w:trPr/>
        <w:tc>
          <w:tcPr>
            <w:tcW w:w="1512" w:type="dxa"/>
            <w:tcBorders>
              <w:start w:val="single" w:sz="4" w:space="0" w:color="000000"/>
              <w:bottom w:val="single" w:sz="4" w:space="0" w:color="000000"/>
            </w:tcBorders>
          </w:tcPr>
          <w:p>
            <w:pPr>
              <w:pStyle w:val="Zawartotabeli"/>
              <w:ind w:hanging="0"/>
              <w:rPr/>
            </w:pPr>
            <w:r>
              <w:rPr/>
              <w:t>Średnia</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0,0198s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0,0790s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0.0283s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0,0140s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0,0229s</w:t>
            </w:r>
          </w:p>
        </w:tc>
      </w:tr>
    </w:tbl>
    <w:p>
      <w:pPr>
        <w:pStyle w:val="Normal"/>
        <w:ind w:hanging="0"/>
        <w:rPr/>
      </w:pPr>
      <w:r>
        <w:rPr/>
      </w:r>
    </w:p>
    <w:p>
      <w:pPr>
        <w:pStyle w:val="Normal"/>
        <w:ind w:firstLine="708"/>
        <w:rPr/>
      </w:pPr>
      <w:r>
        <w:rPr/>
        <w:t>Analiza porównawcza czasów inferencji przeprowadzona na jednostkach CPU (</w:t>
      </w:r>
      <w:r>
        <w:rPr/>
        <w:fldChar w:fldCharType="begin"/>
      </w:r>
      <w:r>
        <w:rPr/>
        <w:instrText xml:space="preserve"> REF _Ref228224089 \h </w:instrText>
      </w:r>
      <w:r>
        <w:rPr/>
        <w:fldChar w:fldCharType="separate"/>
      </w:r>
      <w:r>
        <w:rPr/>
        <w:t>Tabela 6</w:t>
      </w:r>
      <w:r>
        <w:rPr/>
        <w:fldChar w:fldCharType="end"/>
      </w:r>
      <w:r>
        <w:rPr/>
        <w:t>) i GPU (</w:t>
      </w:r>
      <w:r>
        <w:rPr/>
        <w:fldChar w:fldCharType="begin"/>
      </w:r>
      <w:r>
        <w:rPr/>
        <w:instrText xml:space="preserve"> REF _Ref228224155 \h </w:instrText>
      </w:r>
      <w:r>
        <w:rPr/>
        <w:fldChar w:fldCharType="separate"/>
      </w:r>
      <w:r>
        <w:rPr/>
        <w:t>Tabela 7</w:t>
      </w:r>
      <w:r>
        <w:rPr/>
        <w:fldChar w:fldCharType="end"/>
      </w:r>
      <w:r>
        <w:rPr/>
        <w:t>) wykazuje istotne różnice w efektywności badanych architektur. Największy wzrost wydajności odnotowano dla modelu Vision Transformer (ViT), którego średni czas procesowania spadł z 0,1700 s na CPU do zaledwie 0,0140 s na GPU, co stanowi przyspieszenie o ponad 91%. Podobną tendencję wykazano dla modelu EfficientNet-B0, który na akceleratorze graficznym pracował o blisko 55% szybciej (0,0229 s) niż na procesorze (0,0507 s).</w:t>
      </w:r>
    </w:p>
    <w:p>
      <w:pPr>
        <w:pStyle w:val="Normal"/>
        <w:ind w:firstLine="708"/>
        <w:rPr/>
      </w:pPr>
      <w:r>
        <w:rPr/>
        <w:t>Należy jednak zwrócić uwagę na paradoksalne wyniki w przypadku modeli ResNet50 oraz Custom CNN, które na GPU uzyskały czasy gorsze o odpowiednio 12% i 25% względem jednostki CPU. Średni czas dla ResNet50 na GPU wyniósł 0,0790 s wobec 0,0706 s na CPU, natomiast Custom CNN spowolnił z 0,0226 s do 0,0283 s. Zjawisko to jest bezpośrednio związane z narzutem komunikacyjnym szyny danych i opóźnieniami przy przesyłaniu pojedynczych obrazów do pamięci VRAM. W przypadku mniej złożonych obliczeniowo struktur, czas potrzebny na inicjalizację procesów w środowisku CUDA przewyższa zysk z równoległego przetwarzania, co sprawia, że dla pojedynczych wywołań (inferencji jednostkowej) procesor CPU pozostaje rozwiązaniem efektywniejszym. Wyniki te potwierdzają, że pełna utylizacja mocy obliczeniowej GPU zachodzi dopiero przy modelach o wysokiej złożoności lub przetwarzaniu seryjnym.</w:t>
      </w:r>
    </w:p>
    <w:p>
      <w:pPr>
        <w:pStyle w:val="ListParagraph"/>
        <w:numPr>
          <w:ilvl w:val="1"/>
          <w:numId w:val="23"/>
        </w:numPr>
        <w:rPr>
          <w:rFonts w:eastAsia="游ゴシック Light" w:cs="Times New Roman" w:cstheme="majorBidi" w:eastAsiaTheme="majorEastAsia"/>
          <w:b/>
          <w:sz w:val="36"/>
          <w:szCs w:val="26"/>
        </w:rPr>
      </w:pPr>
      <w:r>
        <w:rPr>
          <w:rFonts w:eastAsia="游ゴシック Light" w:cs="Times New Roman" w:cstheme="majorBidi" w:eastAsiaTheme="majorEastAsia"/>
          <w:b/>
          <w:sz w:val="36"/>
          <w:szCs w:val="26"/>
        </w:rPr>
        <w:t>Analiza skuteczności modeli i zespołów klasyfikacyjnych</w:t>
      </w:r>
    </w:p>
    <w:p>
      <w:pPr>
        <w:pStyle w:val="Normal"/>
        <w:ind w:firstLine="708"/>
        <w:rPr/>
      </w:pPr>
      <w:r>
        <w:rPr/>
        <w:t>Analizie poddano również różne kombinacje modeli działających zespołowo, w których końcowa predykcja była wyznaczana na podstawie mechanizmu głosowania poszczególnych modeli. Dla każdej grupy zmian skórnych przetestowano różne konfiguracje modeli w celu wyznaczenia kombinacji zapewniającej najwyższą skuteczność klasyfikacji.</w:t>
      </w:r>
    </w:p>
    <w:p>
      <w:pPr>
        <w:pStyle w:val="Normal"/>
        <w:ind w:hanging="0"/>
        <w:rPr/>
      </w:pPr>
      <w:r>
        <w:rPr/>
        <w:tab/>
        <w:t>Uzyskane wyniki wskazują, że najlepsze rezultaty najczęściej osiągały konfiguracje zawierające modele EfficientNet oraz ViT (</w:t>
      </w:r>
      <w:r>
        <w:rPr/>
        <w:fldChar w:fldCharType="begin"/>
      </w:r>
      <w:r>
        <w:rPr/>
        <w:instrText xml:space="preserve"> REF _Ref230625303 \h </w:instrText>
      </w:r>
      <w:r>
        <w:rPr/>
        <w:fldChar w:fldCharType="separate"/>
      </w:r>
      <w:r>
        <w:rPr/>
        <w:t>Tabela 8</w:t>
      </w:r>
      <w:r>
        <w:rPr/>
        <w:fldChar w:fldCharType="end"/>
      </w:r>
      <w:r>
        <w:rPr/>
        <w:t>). W przypadku zmian nowotworowych oraz łagodnych najwyższą skuteczność uzyskała kombinacja EfficientNet + MobileNetV3 + ViT, osiągając odpowiednio 81,77% oraz 81,64% dokładności dla analizowanych grup. Jednocześnie konfiguracja ta uzyskała skuteczność całkowitą na poziomie 90,36%, co stanowi wzrost o 2,36 punktu procentowego względem najlepszego modelu pojedynczego (EfficientNet – 88%).</w:t>
      </w:r>
    </w:p>
    <w:p>
      <w:pPr>
        <w:pStyle w:val="Normal"/>
        <w:ind w:firstLine="708"/>
        <w:rPr/>
      </w:pPr>
      <w:r>
        <w:rPr/>
        <w:t>Dla zmian przednowotworowych najlepsze wyniki uzyskała konfiguracja EfficientNet + ViT, osiągając 78,41% dokładności dla analizowanej grupy oraz 89,60% skuteczności całkowitej, co odpowiada wzrostowi o 2,01 punktu procentowego względem modelu EfficientNet. W grupie zmian wirusowych najwyższą skuteczność osiągnęła kombinacja Custom CNN + EfficientNet + ResNet50 + ViT, uzyskując 99,70% dokładności dla analizowanej grupy przy skuteczności całkowitej wynoszącej 88,43%, co oznacza poprawę o 0,84 punktu procentowego względem najlepszego modelu indywidualnego.</w:t>
      </w:r>
    </w:p>
    <w:p>
      <w:pPr>
        <w:pStyle w:val="Normal"/>
        <w:ind w:firstLine="708"/>
        <w:rPr/>
      </w:pPr>
      <w:r>
        <w:rPr/>
        <w:t>Dla klasy zdrowej najwyższą skuteczność klasyfikacji wyniosła 100,00%, osiągnięta przez konfigurację EfficientNet + MobileNetV3 + ViT, która jednocześnie uzyskała 90,36% skuteczności całkowitej. W przypadku zmian naczyniowych najlepszy wynik osiągnęła kombinacja EfficientNet + MobileNetV3 (96,15%), uzyskując skuteczność całkowitą na poziomie 88,79%, co oznacza wzrost o 1,20 punktu procentowego względem modelu EfficientNet.</w:t>
      </w:r>
    </w:p>
    <w:p>
      <w:pPr>
        <w:pStyle w:val="Caption"/>
        <w:rPr/>
      </w:pPr>
      <w:bookmarkStart w:id="153" w:name="_Toc230629549"/>
      <w:bookmarkStart w:id="154" w:name="_Ref230625303"/>
      <w:r>
        <w:rPr/>
        <w:t xml:space="preserve">Tabela </w:t>
      </w:r>
      <w:r>
        <w:rPr/>
        <w:fldChar w:fldCharType="begin"/>
      </w:r>
      <w:r>
        <w:rPr/>
        <w:instrText xml:space="preserve"> SEQ Tabela \* ARABIC </w:instrText>
      </w:r>
      <w:r>
        <w:rPr/>
        <w:fldChar w:fldCharType="separate"/>
      </w:r>
      <w:r>
        <w:rPr/>
        <w:t>8</w:t>
      </w:r>
      <w:r>
        <w:rPr/>
        <w:fldChar w:fldCharType="end"/>
      </w:r>
      <w:bookmarkEnd w:id="154"/>
      <w:r>
        <w:rPr/>
        <w:t xml:space="preserve"> Najlepsze kombinacje modeli dla poszczególnych grup zmian skórnych</w:t>
      </w:r>
      <w:bookmarkEnd w:id="153"/>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265"/>
        <w:gridCol w:w="2265"/>
        <w:gridCol w:w="2266"/>
        <w:gridCol w:w="2266"/>
      </w:tblGrid>
      <w:tr>
        <w:trPr/>
        <w:tc>
          <w:tcPr>
            <w:tcW w:w="2265"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Grupa zmian</w:t>
            </w:r>
          </w:p>
        </w:tc>
        <w:tc>
          <w:tcPr>
            <w:tcW w:w="2265"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Najlepsza kombinacja modeli</w:t>
            </w:r>
          </w:p>
        </w:tc>
        <w:tc>
          <w:tcPr>
            <w:tcW w:w="2266"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 xml:space="preserve">Dokładność </w:t>
            </w:r>
          </w:p>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grupy [%]</w:t>
            </w:r>
          </w:p>
        </w:tc>
        <w:tc>
          <w:tcPr>
            <w:tcW w:w="2266"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Ogólna dokładność</w:t>
            </w:r>
          </w:p>
        </w:tc>
      </w:tr>
      <w:tr>
        <w:trPr/>
        <w:tc>
          <w:tcPr>
            <w:tcW w:w="2265"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Przednowotworowe</w:t>
            </w:r>
          </w:p>
        </w:tc>
        <w:tc>
          <w:tcPr>
            <w:tcW w:w="2265"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EfficientNet + ViT</w:t>
            </w:r>
          </w:p>
        </w:tc>
        <w:tc>
          <w:tcPr>
            <w:tcW w:w="2266" w:type="dxa"/>
            <w:tcBorders/>
          </w:tcPr>
          <w:p>
            <w:pPr>
              <w:pStyle w:val="Normal"/>
              <w:widowControl/>
              <w:spacing w:before="0" w:after="0"/>
              <w:ind w:hanging="0"/>
              <w:jc w:val="center"/>
              <w:rPr>
                <w:rFonts w:eastAsia="Calibri" w:cs="Arial"/>
                <w:kern w:val="0"/>
                <w:szCs w:val="22"/>
                <w:lang w:val="pl-PL" w:eastAsia="en-US" w:bidi="ar-SA"/>
              </w:rPr>
            </w:pPr>
            <w:r>
              <w:rPr>
                <w:rFonts w:eastAsia="Calibri" w:cs="Arial"/>
                <w:kern w:val="0"/>
                <w:szCs w:val="22"/>
                <w:lang w:val="pl-PL" w:eastAsia="en-US" w:bidi="ar-SA"/>
              </w:rPr>
              <w:t>78,41</w:t>
            </w:r>
          </w:p>
        </w:tc>
        <w:tc>
          <w:tcPr>
            <w:tcW w:w="2266" w:type="dxa"/>
            <w:tcBorders/>
          </w:tcPr>
          <w:p>
            <w:pPr>
              <w:pStyle w:val="Normal"/>
              <w:widowControl/>
              <w:spacing w:before="0" w:after="0"/>
              <w:ind w:hanging="0"/>
              <w:jc w:val="center"/>
              <w:rPr>
                <w:rFonts w:eastAsia="Calibri" w:cs="Arial"/>
                <w:kern w:val="0"/>
                <w:szCs w:val="22"/>
                <w:lang w:val="pl-PL" w:eastAsia="en-US" w:bidi="ar-SA"/>
              </w:rPr>
            </w:pPr>
            <w:r>
              <w:rPr>
                <w:rFonts w:eastAsia="Calibri" w:cs="Arial"/>
                <w:kern w:val="0"/>
                <w:szCs w:val="22"/>
                <w:lang w:val="pl-PL" w:eastAsia="en-US" w:bidi="ar-SA"/>
              </w:rPr>
              <w:t>89,60</w:t>
            </w:r>
          </w:p>
        </w:tc>
      </w:tr>
      <w:tr>
        <w:trPr/>
        <w:tc>
          <w:tcPr>
            <w:tcW w:w="2265"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Nowotworowe</w:t>
            </w:r>
          </w:p>
        </w:tc>
        <w:tc>
          <w:tcPr>
            <w:tcW w:w="2265"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EfficientNet + Mobi-leNetV3 + ViT</w:t>
            </w:r>
          </w:p>
        </w:tc>
        <w:tc>
          <w:tcPr>
            <w:tcW w:w="2266" w:type="dxa"/>
            <w:tcBorders/>
          </w:tcPr>
          <w:p>
            <w:pPr>
              <w:pStyle w:val="Normal"/>
              <w:widowControl/>
              <w:spacing w:before="0" w:after="0"/>
              <w:ind w:hanging="0"/>
              <w:jc w:val="center"/>
              <w:rPr>
                <w:rFonts w:eastAsia="Calibri" w:cs="Arial"/>
                <w:kern w:val="0"/>
                <w:szCs w:val="22"/>
                <w:lang w:val="pl-PL" w:eastAsia="en-US" w:bidi="ar-SA"/>
              </w:rPr>
            </w:pPr>
            <w:r>
              <w:rPr>
                <w:rFonts w:eastAsia="Calibri" w:cs="Arial"/>
                <w:kern w:val="0"/>
                <w:szCs w:val="22"/>
                <w:lang w:val="pl-PL" w:eastAsia="en-US" w:bidi="ar-SA"/>
              </w:rPr>
              <w:t>81,77</w:t>
            </w:r>
          </w:p>
        </w:tc>
        <w:tc>
          <w:tcPr>
            <w:tcW w:w="2266" w:type="dxa"/>
            <w:tcBorders/>
          </w:tcPr>
          <w:p>
            <w:pPr>
              <w:pStyle w:val="Normal"/>
              <w:widowControl/>
              <w:spacing w:before="0" w:after="0"/>
              <w:ind w:hanging="0"/>
              <w:jc w:val="center"/>
              <w:rPr>
                <w:rFonts w:eastAsia="Calibri" w:cs="Arial"/>
                <w:kern w:val="0"/>
                <w:szCs w:val="22"/>
                <w:lang w:val="pl-PL" w:eastAsia="en-US" w:bidi="ar-SA"/>
              </w:rPr>
            </w:pPr>
            <w:r>
              <w:rPr>
                <w:rFonts w:eastAsia="Calibri" w:cs="Arial"/>
                <w:kern w:val="0"/>
                <w:szCs w:val="22"/>
                <w:lang w:val="pl-PL" w:eastAsia="en-US" w:bidi="ar-SA"/>
              </w:rPr>
              <w:t>90,36</w:t>
            </w:r>
          </w:p>
        </w:tc>
      </w:tr>
      <w:tr>
        <w:trPr/>
        <w:tc>
          <w:tcPr>
            <w:tcW w:w="2265"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Łagodne</w:t>
            </w:r>
          </w:p>
        </w:tc>
        <w:tc>
          <w:tcPr>
            <w:tcW w:w="2265"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EfficientNet + Mobi-leNetV3 + ViT</w:t>
            </w:r>
          </w:p>
        </w:tc>
        <w:tc>
          <w:tcPr>
            <w:tcW w:w="2266" w:type="dxa"/>
            <w:tcBorders/>
          </w:tcPr>
          <w:p>
            <w:pPr>
              <w:pStyle w:val="Normal"/>
              <w:widowControl/>
              <w:spacing w:before="0" w:after="0"/>
              <w:ind w:hanging="0"/>
              <w:jc w:val="center"/>
              <w:rPr>
                <w:rFonts w:eastAsia="Calibri" w:cs="Arial"/>
                <w:kern w:val="0"/>
                <w:szCs w:val="22"/>
                <w:lang w:val="pl-PL" w:eastAsia="en-US" w:bidi="ar-SA"/>
              </w:rPr>
            </w:pPr>
            <w:r>
              <w:rPr>
                <w:rFonts w:eastAsia="Calibri" w:cs="Arial"/>
                <w:kern w:val="0"/>
                <w:szCs w:val="22"/>
                <w:lang w:val="pl-PL" w:eastAsia="en-US" w:bidi="ar-SA"/>
              </w:rPr>
              <w:t>81,64</w:t>
            </w:r>
          </w:p>
        </w:tc>
        <w:tc>
          <w:tcPr>
            <w:tcW w:w="2266" w:type="dxa"/>
            <w:tcBorders/>
          </w:tcPr>
          <w:p>
            <w:pPr>
              <w:pStyle w:val="Normal"/>
              <w:widowControl/>
              <w:spacing w:before="0" w:after="0"/>
              <w:ind w:hanging="0"/>
              <w:jc w:val="center"/>
              <w:rPr>
                <w:rFonts w:eastAsia="Calibri" w:cs="Arial"/>
                <w:kern w:val="0"/>
                <w:szCs w:val="22"/>
                <w:lang w:val="pl-PL" w:eastAsia="en-US" w:bidi="ar-SA"/>
              </w:rPr>
            </w:pPr>
            <w:r>
              <w:rPr>
                <w:rFonts w:eastAsia="Calibri" w:cs="Arial"/>
                <w:kern w:val="0"/>
                <w:szCs w:val="22"/>
                <w:lang w:val="pl-PL" w:eastAsia="en-US" w:bidi="ar-SA"/>
              </w:rPr>
              <w:t>90,36</w:t>
            </w:r>
          </w:p>
        </w:tc>
      </w:tr>
      <w:tr>
        <w:trPr/>
        <w:tc>
          <w:tcPr>
            <w:tcW w:w="2265"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Wirusowe</w:t>
            </w:r>
          </w:p>
        </w:tc>
        <w:tc>
          <w:tcPr>
            <w:tcW w:w="2265" w:type="dxa"/>
            <w:tcBorders/>
          </w:tcPr>
          <w:p>
            <w:pPr>
              <w:pStyle w:val="Normal"/>
              <w:widowControl/>
              <w:spacing w:before="0" w:after="0"/>
              <w:ind w:hanging="0"/>
              <w:rPr>
                <w:lang w:val="en-US"/>
              </w:rPr>
            </w:pPr>
            <w:r>
              <w:rPr>
                <w:rFonts w:eastAsia="Calibri" w:cs="Arial"/>
                <w:kern w:val="0"/>
                <w:szCs w:val="22"/>
                <w:lang w:val="en-US" w:eastAsia="en-US" w:bidi="ar-SA"/>
              </w:rPr>
              <w:t>Custom CNN + Effi-cientNet + ResNet50 + ViT</w:t>
            </w:r>
          </w:p>
        </w:tc>
        <w:tc>
          <w:tcPr>
            <w:tcW w:w="2266" w:type="dxa"/>
            <w:tcBorders/>
          </w:tcPr>
          <w:p>
            <w:pPr>
              <w:pStyle w:val="Normal"/>
              <w:widowControl/>
              <w:spacing w:before="0" w:after="0"/>
              <w:ind w:hanging="0"/>
              <w:jc w:val="center"/>
              <w:rPr>
                <w:lang w:val="en-US"/>
              </w:rPr>
            </w:pPr>
            <w:r>
              <w:rPr>
                <w:rFonts w:eastAsia="Calibri" w:cs="Arial"/>
                <w:kern w:val="0"/>
                <w:szCs w:val="22"/>
                <w:lang w:val="en-US" w:eastAsia="en-US" w:bidi="ar-SA"/>
              </w:rPr>
              <w:t>99,70</w:t>
            </w:r>
          </w:p>
        </w:tc>
        <w:tc>
          <w:tcPr>
            <w:tcW w:w="2266" w:type="dxa"/>
            <w:tcBorders/>
          </w:tcPr>
          <w:p>
            <w:pPr>
              <w:pStyle w:val="Normal"/>
              <w:widowControl/>
              <w:spacing w:before="0" w:after="0"/>
              <w:ind w:hanging="0"/>
              <w:jc w:val="center"/>
              <w:rPr>
                <w:lang w:val="en-US"/>
              </w:rPr>
            </w:pPr>
            <w:r>
              <w:rPr>
                <w:rFonts w:eastAsia="Calibri" w:cs="Arial"/>
                <w:kern w:val="0"/>
                <w:szCs w:val="22"/>
                <w:lang w:val="en-US" w:eastAsia="en-US" w:bidi="ar-SA"/>
              </w:rPr>
              <w:t>88,43</w:t>
            </w:r>
          </w:p>
        </w:tc>
      </w:tr>
      <w:tr>
        <w:trPr/>
        <w:tc>
          <w:tcPr>
            <w:tcW w:w="2265" w:type="dxa"/>
            <w:tcBorders/>
          </w:tcPr>
          <w:p>
            <w:pPr>
              <w:pStyle w:val="Normal"/>
              <w:widowControl/>
              <w:spacing w:before="0" w:after="0"/>
              <w:ind w:hanging="0"/>
              <w:rPr>
                <w:lang w:val="en-US"/>
              </w:rPr>
            </w:pPr>
            <w:r>
              <w:rPr>
                <w:rFonts w:eastAsia="Calibri" w:cs="Arial"/>
                <w:kern w:val="0"/>
                <w:szCs w:val="22"/>
                <w:lang w:val="pl-PL" w:eastAsia="en-US" w:bidi="ar-SA"/>
              </w:rPr>
              <w:t>Zdrowe</w:t>
            </w:r>
          </w:p>
        </w:tc>
        <w:tc>
          <w:tcPr>
            <w:tcW w:w="2265" w:type="dxa"/>
            <w:tcBorders/>
          </w:tcPr>
          <w:p>
            <w:pPr>
              <w:pStyle w:val="Normal"/>
              <w:widowControl/>
              <w:spacing w:before="0" w:after="0"/>
              <w:ind w:hanging="0"/>
              <w:rPr>
                <w:lang w:val="en-US"/>
              </w:rPr>
            </w:pPr>
            <w:r>
              <w:rPr>
                <w:rFonts w:eastAsia="Calibri" w:cs="Arial"/>
                <w:kern w:val="0"/>
                <w:szCs w:val="22"/>
                <w:lang w:val="en-US" w:eastAsia="en-US" w:bidi="ar-SA"/>
              </w:rPr>
              <w:t>EfficientNet + Mobi-leNetV3 + ViT</w:t>
            </w:r>
          </w:p>
        </w:tc>
        <w:tc>
          <w:tcPr>
            <w:tcW w:w="2266" w:type="dxa"/>
            <w:tcBorders/>
          </w:tcPr>
          <w:p>
            <w:pPr>
              <w:pStyle w:val="Normal"/>
              <w:widowControl/>
              <w:spacing w:before="0" w:after="0"/>
              <w:ind w:hanging="0"/>
              <w:jc w:val="center"/>
              <w:rPr>
                <w:lang w:val="en-US"/>
              </w:rPr>
            </w:pPr>
            <w:r>
              <w:rPr>
                <w:rFonts w:eastAsia="Calibri" w:cs="Arial"/>
                <w:kern w:val="0"/>
                <w:szCs w:val="22"/>
                <w:lang w:val="en-US" w:eastAsia="en-US" w:bidi="ar-SA"/>
              </w:rPr>
              <w:t>100,00</w:t>
            </w:r>
          </w:p>
        </w:tc>
        <w:tc>
          <w:tcPr>
            <w:tcW w:w="2266" w:type="dxa"/>
            <w:tcBorders/>
          </w:tcPr>
          <w:p>
            <w:pPr>
              <w:pStyle w:val="Normal"/>
              <w:widowControl/>
              <w:spacing w:before="0" w:after="0"/>
              <w:ind w:hanging="0"/>
              <w:jc w:val="center"/>
              <w:rPr>
                <w:lang w:val="en-US"/>
              </w:rPr>
            </w:pPr>
            <w:r>
              <w:rPr>
                <w:rFonts w:eastAsia="Calibri" w:cs="Arial"/>
                <w:kern w:val="0"/>
                <w:szCs w:val="22"/>
                <w:lang w:val="en-US" w:eastAsia="en-US" w:bidi="ar-SA"/>
              </w:rPr>
              <w:t>90,36</w:t>
            </w:r>
          </w:p>
        </w:tc>
      </w:tr>
      <w:tr>
        <w:trPr/>
        <w:tc>
          <w:tcPr>
            <w:tcW w:w="2265" w:type="dxa"/>
            <w:tcBorders/>
          </w:tcPr>
          <w:p>
            <w:pPr>
              <w:pStyle w:val="Normal"/>
              <w:widowControl/>
              <w:spacing w:before="0" w:after="0"/>
              <w:ind w:hanging="0"/>
              <w:rPr>
                <w:lang w:val="en-US"/>
              </w:rPr>
            </w:pPr>
            <w:r>
              <w:rPr>
                <w:rFonts w:eastAsia="Calibri" w:cs="Arial"/>
                <w:kern w:val="0"/>
                <w:szCs w:val="22"/>
                <w:lang w:val="en-US" w:eastAsia="en-US" w:bidi="ar-SA"/>
              </w:rPr>
              <w:t>Naczyniowe/ Łagodne</w:t>
            </w:r>
          </w:p>
        </w:tc>
        <w:tc>
          <w:tcPr>
            <w:tcW w:w="2265" w:type="dxa"/>
            <w:tcBorders/>
          </w:tcPr>
          <w:p>
            <w:pPr>
              <w:pStyle w:val="Normal"/>
              <w:widowControl/>
              <w:spacing w:before="0" w:after="0"/>
              <w:ind w:hanging="0"/>
              <w:rPr>
                <w:lang w:val="en-US"/>
              </w:rPr>
            </w:pPr>
            <w:r>
              <w:rPr>
                <w:rFonts w:eastAsia="Calibri" w:cs="Arial"/>
                <w:kern w:val="0"/>
                <w:szCs w:val="22"/>
                <w:lang w:val="en-US" w:eastAsia="en-US" w:bidi="ar-SA"/>
              </w:rPr>
              <w:t>EfficientNet + Mobi-leNetV3</w:t>
            </w:r>
          </w:p>
        </w:tc>
        <w:tc>
          <w:tcPr>
            <w:tcW w:w="2266" w:type="dxa"/>
            <w:tcBorders/>
          </w:tcPr>
          <w:p>
            <w:pPr>
              <w:pStyle w:val="Normal"/>
              <w:widowControl/>
              <w:spacing w:before="0" w:after="0"/>
              <w:ind w:hanging="0"/>
              <w:jc w:val="center"/>
              <w:rPr>
                <w:lang w:val="en-US"/>
              </w:rPr>
            </w:pPr>
            <w:r>
              <w:rPr>
                <w:rFonts w:eastAsia="Calibri" w:cs="Arial"/>
                <w:kern w:val="0"/>
                <w:szCs w:val="22"/>
                <w:lang w:val="pl-PL" w:eastAsia="en-US" w:bidi="ar-SA"/>
              </w:rPr>
              <w:t>96,15</w:t>
            </w:r>
          </w:p>
        </w:tc>
        <w:tc>
          <w:tcPr>
            <w:tcW w:w="2266" w:type="dxa"/>
            <w:tcBorders/>
          </w:tcPr>
          <w:p>
            <w:pPr>
              <w:pStyle w:val="Normal"/>
              <w:widowControl/>
              <w:spacing w:before="0" w:after="0"/>
              <w:ind w:hanging="0"/>
              <w:jc w:val="center"/>
              <w:rPr>
                <w:lang w:val="en-US"/>
              </w:rPr>
            </w:pPr>
            <w:r>
              <w:rPr>
                <w:rFonts w:eastAsia="Calibri" w:cs="Arial"/>
                <w:kern w:val="0"/>
                <w:szCs w:val="22"/>
                <w:lang w:val="pl-PL" w:eastAsia="en-US" w:bidi="ar-SA"/>
              </w:rPr>
              <w:t>88,79</w:t>
            </w:r>
          </w:p>
        </w:tc>
      </w:tr>
    </w:tbl>
    <w:p>
      <w:pPr>
        <w:pStyle w:val="Normal"/>
        <w:ind w:hanging="0"/>
        <w:rPr>
          <w:lang w:val="en-US"/>
        </w:rPr>
      </w:pPr>
      <w:r>
        <w:rPr>
          <w:lang w:val="en-US"/>
        </w:rPr>
      </w:r>
    </w:p>
    <w:p>
      <w:pPr>
        <w:pStyle w:val="Normal"/>
        <w:ind w:hanging="0"/>
        <w:rPr>
          <w:lang w:val="en-US"/>
        </w:rPr>
      </w:pPr>
      <w:r>
        <w:rPr>
          <w:lang w:val="en-US"/>
        </w:rPr>
      </w:r>
    </w:p>
    <w:p>
      <w:pPr>
        <w:pStyle w:val="Normal"/>
        <w:ind w:hanging="0"/>
        <w:rPr>
          <w:lang w:val="en-US"/>
        </w:rPr>
      </w:pPr>
      <w:r>
        <w:rPr>
          <w:lang w:val="en-US"/>
        </w:rPr>
      </w:r>
    </w:p>
    <w:p>
      <w:pPr>
        <w:pStyle w:val="Normal"/>
        <w:ind w:hanging="0"/>
        <w:rPr>
          <w:lang w:val="en-US"/>
        </w:rPr>
      </w:pPr>
      <w:r>
        <w:rPr>
          <w:lang w:val="en-US"/>
        </w:rPr>
      </w:r>
    </w:p>
    <w:p>
      <w:pPr>
        <w:pStyle w:val="Normal"/>
        <w:ind w:hanging="0"/>
        <w:rPr>
          <w:lang w:val="en-US"/>
        </w:rPr>
      </w:pPr>
      <w:r>
        <w:rPr>
          <w:lang w:val="en-US"/>
        </w:rPr>
      </w:r>
    </w:p>
    <w:p>
      <w:pPr>
        <w:pStyle w:val="Normal"/>
        <w:ind w:hanging="0"/>
        <w:rPr>
          <w:lang w:val="en-US"/>
        </w:rPr>
      </w:pPr>
      <w:r>
        <w:rPr>
          <w:lang w:val="en-US"/>
        </w:rPr>
      </w:r>
    </w:p>
    <w:p>
      <w:pPr>
        <w:pStyle w:val="Normal"/>
        <w:ind w:hanging="0"/>
        <w:rPr>
          <w:lang w:val="en-US"/>
        </w:rPr>
      </w:pPr>
      <w:r>
        <w:rPr>
          <w:lang w:val="en-US"/>
        </w:rPr>
      </w:r>
    </w:p>
    <w:p>
      <w:pPr>
        <w:pStyle w:val="Normal"/>
        <w:ind w:hanging="0"/>
        <w:rPr>
          <w:lang w:val="en-US"/>
        </w:rPr>
      </w:pPr>
      <w:r>
        <w:rPr>
          <w:lang w:val="en-US"/>
        </w:rPr>
      </w:r>
    </w:p>
    <w:p>
      <w:pPr>
        <w:pStyle w:val="Heading1"/>
        <w:numPr>
          <w:ilvl w:val="0"/>
          <w:numId w:val="2"/>
        </w:numPr>
        <w:ind w:hanging="851" w:start="851"/>
        <w:rPr/>
      </w:pPr>
      <w:bookmarkStart w:id="155" w:name="_Toc137420687"/>
      <w:bookmarkStart w:id="156" w:name="_Toc230629496"/>
      <w:r>
        <w:rPr/>
        <w:t>Podsumowanie</w:t>
      </w:r>
      <w:bookmarkEnd w:id="155"/>
      <w:bookmarkEnd w:id="120"/>
      <w:bookmarkEnd w:id="121"/>
      <w:bookmarkEnd w:id="156"/>
    </w:p>
    <w:p>
      <w:pPr>
        <w:pStyle w:val="Normal"/>
        <w:rPr/>
      </w:pPr>
      <w:r>
        <w:rPr/>
        <w:t>Celem niniejszej pracy było zaprojektowanie, implementacja oraz porównanie pięciu architektur głębokiego uczenia w zadaniu automatycznej klasyfikacji czternastu klas zmian skórnych, obejmujących zarówno choroby zakaźne, jak i zmiany nowotworowe. Eksperymenty przeprowadzono na zbiorze danych liczącym ponad 18 000 obrazów dermatoskopowych, z podziałem na zbiory treningowy, walidacyjny i testowy. Ocenę skuteczności modeli przeprowadzono z wykorzystaniem metryk klasyfikacyjnych, analizy macierzy konfuzji, testów odporności na zakłócenia obrazu oraz pomiarów czasu inferencji.</w:t>
      </w:r>
    </w:p>
    <w:p>
      <w:pPr>
        <w:pStyle w:val="Normal"/>
        <w:rPr/>
      </w:pPr>
      <w:r>
        <w:rPr/>
        <w:t>Spośród analizowanych architektur najwyższą skuteczność wśród modeli pojedynczych osiągnął EfficientNet-B0, uzyskując dokładność klasyfikacji na poziomie 88% oraz makro F1 równe 0,86. Model ten stanowił najlepszy kompromis pomiędzy skutecznością klasyfikacji a kosztem obliczeniowym. Zbliżone wyniki osiągnął również Vision Transformer (87%), który wykazał wysoką stabilność pomiędzy klasami oraz odporność na wybrane degradacje jakości obrazu. Modele ResNet50 i MobileNetV3 osiągnęły dokładność 84%, przy czym MobileNetV3 wyróżniał się najniższą latencją inferencji, co wskazuje na jego potencjał w zastosowaniach mobilnych. Najniższą skuteczność uzyskał model Custom CNN (62%), trenowany bez wykorzystania pretrenowanych wag, co potwierdza przewagę podejścia transfer learning w analizie obrazów dermatoskopowych.</w:t>
      </w:r>
    </w:p>
    <w:p>
      <w:pPr>
        <w:pStyle w:val="Normal"/>
        <w:rPr/>
      </w:pPr>
      <w:r>
        <w:rPr/>
        <w:t>Przeprowadzona analiza modeli zespołowych wykazała ponadto, że połączenie architektur konwolucyjnych oraz transformatorowych pozwala zwiększyć skuteczność klasyfikacji względem modeli pojedynczych. Najlepsze konfiguracje, wykorzystujące głosowanie predykcji modeli, osiągnęły dokładność całkowitą na poziomie 90,36%, co oznacza poprawę o 2,36 punktu procentowego względem najlepszego modelu indywidualnego. Najwyższą skuteczność uzyskiwały konfiguracje zawierające modele EfficientNet, MobileNetV3 oraz Vision Transformer, szczególnie w klasyfikacji zmian nowotworowych i łagodnych. Wyniki sugerują, że połączenie modeli CNN, odpowiedzialnych za ekstrakcję lokalnych cech obrazu, z architekturą transformatorową analizującą zależności globalne, pozwala ograniczyć błędy pojedynczych modeli i zwiększyć stabilność klasyfikacji.</w:t>
      </w:r>
    </w:p>
    <w:p>
      <w:pPr>
        <w:pStyle w:val="Normal"/>
        <w:ind w:hanging="0"/>
        <w:rPr/>
      </w:pPr>
      <w:r>
        <w:rPr/>
        <w:tab/>
        <w:t>Uzyskane rezultaty potwierdzają, że zastosowanie metod głębokiego uczenia, w szczególności modeli zespołowych łączących architektury CNN i Transformer, może stanowić skuteczne narzędzie wspomagające klasyfikację zmian skórnych.</w:t>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ind w:hanging="0"/>
        <w:rPr/>
      </w:pPr>
      <w:r>
        <w:rPr/>
      </w:r>
    </w:p>
    <w:sdt>
      <w:sdtPr>
        <w:id w:val="1813450624"/>
        <w:docPartObj>
          <w:docPartGallery w:val="Bibliographies"/>
          <w:docPartUnique w:val="true"/>
        </w:docPartObj>
      </w:sdtPr>
      <w:sdtContent>
        <w:p>
          <w:pPr>
            <w:pStyle w:val="Heading1"/>
            <w:numPr>
              <w:ilvl w:val="0"/>
              <w:numId w:val="2"/>
            </w:numPr>
            <w:ind w:hanging="851" w:start="851"/>
            <w:rPr/>
          </w:pPr>
          <w:bookmarkStart w:id="157" w:name="_Toc230629497"/>
          <w:r>
            <w:rPr/>
            <w:t>Bibliografia</w:t>
          </w:r>
          <w:bookmarkEnd w:id="157"/>
        </w:p>
        <w:p>
          <w:pPr>
            <w:pStyle w:val="Normal"/>
            <w:ind w:hanging="0"/>
            <w:rPr>
              <w:rFonts w:ascii="Calibri" w:hAnsi="Calibri" w:asciiTheme="minorHAnsi" w:hAnsiTheme="minorHAnsi"/>
              <w:color w:val="auto"/>
              <w:sz w:val="22"/>
            </w:rPr>
          </w:pPr>
          <w:r>
            <w:fldChar w:fldCharType="begin"/>
          </w:r>
          <w:r>
            <w:rPr>
              <w:rFonts w:ascii="Calibri" w:hAnsi="Calibri"/>
              <w:color w:val="auto"/>
              <w:sz w:val="22"/>
            </w:rPr>
            <w:instrText xml:space="preserve"> BIBLIOGRAPHY </w:instrText>
          </w:r>
          <w:r>
            <w:rPr>
              <w:rFonts w:ascii="Calibri" w:hAnsi="Calibri"/>
              <w:color w:val="auto"/>
              <w:sz w:val="22"/>
            </w:rPr>
            <w:fldChar w:fldCharType="separate"/>
          </w:r>
          <w:r>
            <w:rPr>
              <w:rFonts w:asciiTheme="minorHAnsi" w:hAnsiTheme="minorHAnsi" w:ascii="Calibri" w:hAnsi="Calibri"/>
              <w:color w:val="auto"/>
              <w:sz w:val="22"/>
            </w:rPr>
          </w:r>
        </w:p>
      </w:sdtContent>
    </w:sdt>
    <w:tbl>
      <w:tblPr>
        <w:tblW w:w="5000" w:type="pct"/>
        <w:jc w:val="start"/>
        <w:tblInd w:w="0" w:type="dxa"/>
        <w:tblLayout w:type="fixed"/>
        <w:tblCellMar>
          <w:top w:w="15" w:type="dxa"/>
          <w:start w:w="15" w:type="dxa"/>
          <w:bottom w:w="15" w:type="dxa"/>
          <w:end w:w="15" w:type="dxa"/>
        </w:tblCellMar>
        <w:tblLook w:firstRow="1" w:noVBand="1" w:lastRow="0" w:firstColumn="1" w:lastColumn="0" w:noHBand="0" w:val="04a0"/>
      </w:tblPr>
      <w:tblGrid>
        <w:gridCol w:w="1183"/>
        <w:gridCol w:w="7889"/>
      </w:tblGrid>
      <w:tr>
        <w:trPr/>
        <w:tc>
          <w:tcPr>
            <w:tcW w:w="1183" w:type="dxa"/>
            <w:tcBorders/>
          </w:tcPr>
          <w:p>
            <w:pPr>
              <w:pStyle w:val="Bibliography"/>
              <w:rPr>
                <w:kern w:val="0"/>
                <w:szCs w:val="24"/>
                <w14:ligatures w14:val="none"/>
              </w:rPr>
            </w:pPr>
            <w:r>
              <w:rPr/>
              <w:t xml:space="preserve">[1] </w:t>
            </w:r>
          </w:p>
        </w:tc>
        <w:tc>
          <w:tcPr>
            <w:tcW w:w="7889" w:type="dxa"/>
            <w:tcBorders/>
          </w:tcPr>
          <w:p>
            <w:pPr>
              <w:pStyle w:val="Bibliography"/>
              <w:rPr>
                <w:lang w:val="en-US"/>
              </w:rPr>
            </w:pPr>
            <w:r>
              <w:rPr>
                <w:lang w:val="en-US"/>
              </w:rPr>
              <w:t xml:space="preserve">A. Esteva, B. Kuprel, R. A. Novoa, J. Ko, S. M. Swetter, H. M. Blau i S. Thrun, „Dermatologist-level classification of skin cancer with deep neural networks,” </w:t>
            </w:r>
            <w:r>
              <w:rPr>
                <w:i/>
                <w:iCs/>
                <w:lang w:val="en-US"/>
              </w:rPr>
              <w:t xml:space="preserve">Nature, </w:t>
            </w:r>
            <w:r>
              <w:rPr>
                <w:lang w:val="en-US"/>
              </w:rPr>
              <w:t xml:space="preserve">tom 542, nr 7639, pp. 115-118, 2017. </w:t>
            </w:r>
          </w:p>
        </w:tc>
      </w:tr>
      <w:tr>
        <w:trPr/>
        <w:tc>
          <w:tcPr>
            <w:tcW w:w="1183" w:type="dxa"/>
            <w:tcBorders/>
          </w:tcPr>
          <w:p>
            <w:pPr>
              <w:pStyle w:val="Bibliography"/>
              <w:rPr/>
            </w:pPr>
            <w:r>
              <w:rPr/>
              <w:t xml:space="preserve">[2] </w:t>
            </w:r>
          </w:p>
        </w:tc>
        <w:tc>
          <w:tcPr>
            <w:tcW w:w="7889" w:type="dxa"/>
            <w:tcBorders/>
          </w:tcPr>
          <w:p>
            <w:pPr>
              <w:pStyle w:val="Bibliography"/>
              <w:rPr/>
            </w:pPr>
            <w:r>
              <w:rPr>
                <w:lang w:val="en-US"/>
              </w:rPr>
              <w:t xml:space="preserve">ahmedxc4, „Skin Lesions Classification Dataset,” 2023. [Online]. Available: https://www.kaggle.com/datasets/ahmedxc4/skin-ds. </w:t>
            </w:r>
            <w:r>
              <w:rPr/>
              <w:t>[Data uzyskania dostępu: 12 03 2026].</w:t>
            </w:r>
          </w:p>
        </w:tc>
      </w:tr>
      <w:tr>
        <w:trPr/>
        <w:tc>
          <w:tcPr>
            <w:tcW w:w="1183" w:type="dxa"/>
            <w:tcBorders/>
          </w:tcPr>
          <w:p>
            <w:pPr>
              <w:pStyle w:val="Bibliography"/>
              <w:rPr/>
            </w:pPr>
            <w:r>
              <w:rPr/>
              <w:t xml:space="preserve">[3] </w:t>
            </w:r>
          </w:p>
        </w:tc>
        <w:tc>
          <w:tcPr>
            <w:tcW w:w="7889" w:type="dxa"/>
            <w:tcBorders/>
          </w:tcPr>
          <w:p>
            <w:pPr>
              <w:pStyle w:val="Bibliography"/>
              <w:rPr>
                <w:lang w:val="en-US"/>
              </w:rPr>
            </w:pPr>
            <w:r>
              <w:rPr>
                <w:lang w:val="en-US"/>
              </w:rPr>
              <w:t xml:space="preserve">A. F. Duarte, B. Sousa-Pinto, L. F. Azevedo, A. M. Barros, S. Puig, J. Malvehy, E. Haneke i O. Correia, „Clinical ABCDE rule for early melanoma detection,” </w:t>
            </w:r>
            <w:r>
              <w:rPr>
                <w:i/>
                <w:iCs/>
                <w:lang w:val="en-US"/>
              </w:rPr>
              <w:t xml:space="preserve">European Journal of Dermatology, </w:t>
            </w:r>
            <w:r>
              <w:rPr>
                <w:lang w:val="en-US"/>
              </w:rPr>
              <w:t xml:space="preserve">tom 31, nr 6, p. 771–778, Grudzień 2021. </w:t>
            </w:r>
          </w:p>
        </w:tc>
      </w:tr>
      <w:tr>
        <w:trPr/>
        <w:tc>
          <w:tcPr>
            <w:tcW w:w="1183" w:type="dxa"/>
            <w:tcBorders/>
          </w:tcPr>
          <w:p>
            <w:pPr>
              <w:pStyle w:val="Bibliography"/>
              <w:rPr/>
            </w:pPr>
            <w:r>
              <w:rPr/>
              <w:t xml:space="preserve">[4] </w:t>
            </w:r>
          </w:p>
        </w:tc>
        <w:tc>
          <w:tcPr>
            <w:tcW w:w="7889" w:type="dxa"/>
            <w:tcBorders/>
          </w:tcPr>
          <w:p>
            <w:pPr>
              <w:pStyle w:val="Bibliography"/>
              <w:rPr>
                <w:lang w:val="en-US"/>
              </w:rPr>
            </w:pPr>
            <w:r>
              <w:rPr>
                <w:lang w:val="en-US"/>
              </w:rPr>
              <w:t xml:space="preserve">O. Reiter, l. Mimouni, S. Dusza, A. C. Halpern, Y. A. Leshem i A. A. Marghoob, „Dermoscopic features of basal cell carcinoma and its subtypes: A systematic review,” </w:t>
            </w:r>
            <w:r>
              <w:rPr>
                <w:i/>
                <w:iCs/>
                <w:lang w:val="en-US"/>
              </w:rPr>
              <w:t xml:space="preserve">Journal of the American Academy of Dermatology, </w:t>
            </w:r>
            <w:r>
              <w:rPr>
                <w:lang w:val="en-US"/>
              </w:rPr>
              <w:t xml:space="preserve">tom 85, nr 3, p. 653–664, Październik 2021. </w:t>
            </w:r>
          </w:p>
        </w:tc>
      </w:tr>
      <w:tr>
        <w:trPr/>
        <w:tc>
          <w:tcPr>
            <w:tcW w:w="1183" w:type="dxa"/>
            <w:tcBorders/>
          </w:tcPr>
          <w:p>
            <w:pPr>
              <w:pStyle w:val="Bibliography"/>
              <w:rPr/>
            </w:pPr>
            <w:r>
              <w:rPr/>
              <w:t xml:space="preserve">[5] </w:t>
            </w:r>
          </w:p>
        </w:tc>
        <w:tc>
          <w:tcPr>
            <w:tcW w:w="7889" w:type="dxa"/>
            <w:tcBorders/>
          </w:tcPr>
          <w:p>
            <w:pPr>
              <w:pStyle w:val="Bibliography"/>
              <w:rPr>
                <w:lang w:val="en-US"/>
              </w:rPr>
            </w:pPr>
            <w:r>
              <w:rPr>
                <w:lang w:val="en-US"/>
              </w:rPr>
              <w:t xml:space="preserve">Y. Xiao, M. Liao, J. Wang i S. Cao, „From actinic keratosis to cutaneous squamous cell carcinoma: the key pathogenesis and treatments,” </w:t>
            </w:r>
            <w:r>
              <w:rPr>
                <w:i/>
                <w:iCs/>
                <w:lang w:val="en-US"/>
              </w:rPr>
              <w:t xml:space="preserve">Frontiers in Oncology, </w:t>
            </w:r>
            <w:r>
              <w:rPr>
                <w:lang w:val="en-US"/>
              </w:rPr>
              <w:t xml:space="preserve">tom 13, p. 1150422, 2023. </w:t>
            </w:r>
          </w:p>
        </w:tc>
      </w:tr>
      <w:tr>
        <w:trPr/>
        <w:tc>
          <w:tcPr>
            <w:tcW w:w="1183" w:type="dxa"/>
            <w:tcBorders/>
          </w:tcPr>
          <w:p>
            <w:pPr>
              <w:pStyle w:val="Bibliography"/>
              <w:rPr/>
            </w:pPr>
            <w:r>
              <w:rPr/>
              <w:t xml:space="preserve">[6] </w:t>
            </w:r>
          </w:p>
        </w:tc>
        <w:tc>
          <w:tcPr>
            <w:tcW w:w="7889" w:type="dxa"/>
            <w:tcBorders/>
          </w:tcPr>
          <w:p>
            <w:pPr>
              <w:pStyle w:val="Bibliography"/>
              <w:rPr>
                <w:lang w:val="en-US"/>
              </w:rPr>
            </w:pPr>
            <w:r>
              <w:rPr>
                <w:lang w:val="en-US"/>
              </w:rPr>
              <w:t xml:space="preserve">R. Yadav, A. A. Chaudhary, U. Srivastava, S. Gupta, S. Rustagi, H. A. Rudayni, V. K. Kashyap i S. Kumar, „Mpox 2022 to 2025 Update: A Comprehensive Review on Its Complications, Transmission, Diagnosis, and Treatment,” </w:t>
            </w:r>
            <w:r>
              <w:rPr>
                <w:i/>
                <w:iCs/>
                <w:lang w:val="en-US"/>
              </w:rPr>
              <w:t xml:space="preserve">Viruses, </w:t>
            </w:r>
            <w:r>
              <w:rPr>
                <w:lang w:val="en-US"/>
              </w:rPr>
              <w:t xml:space="preserve">tom 17, p. 753, 2025. </w:t>
            </w:r>
          </w:p>
        </w:tc>
      </w:tr>
      <w:tr>
        <w:trPr/>
        <w:tc>
          <w:tcPr>
            <w:tcW w:w="1183" w:type="dxa"/>
            <w:tcBorders/>
          </w:tcPr>
          <w:p>
            <w:pPr>
              <w:pStyle w:val="Bibliography"/>
              <w:rPr/>
            </w:pPr>
            <w:r>
              <w:rPr/>
              <w:t xml:space="preserve">[7] </w:t>
            </w:r>
          </w:p>
        </w:tc>
        <w:tc>
          <w:tcPr>
            <w:tcW w:w="7889" w:type="dxa"/>
            <w:tcBorders/>
          </w:tcPr>
          <w:p>
            <w:pPr>
              <w:pStyle w:val="Bibliography"/>
              <w:rPr>
                <w:lang w:val="en-US"/>
              </w:rPr>
            </w:pPr>
            <w:r>
              <w:rPr>
                <w:lang w:val="en-US"/>
              </w:rPr>
              <w:t xml:space="preserve">H. M. Saleh, F. Ayoade i S. Kumar, „Varicella-Zoster Virus (Chickenpox),” Treasure Island (FL), StatPearls Publishing, 2025. </w:t>
            </w:r>
          </w:p>
        </w:tc>
      </w:tr>
      <w:tr>
        <w:trPr/>
        <w:tc>
          <w:tcPr>
            <w:tcW w:w="1183" w:type="dxa"/>
            <w:tcBorders/>
          </w:tcPr>
          <w:p>
            <w:pPr>
              <w:pStyle w:val="Bibliography"/>
              <w:rPr/>
            </w:pPr>
            <w:r>
              <w:rPr/>
              <w:t xml:space="preserve">[8] </w:t>
            </w:r>
          </w:p>
        </w:tc>
        <w:tc>
          <w:tcPr>
            <w:tcW w:w="7889" w:type="dxa"/>
            <w:tcBorders/>
          </w:tcPr>
          <w:p>
            <w:pPr>
              <w:pStyle w:val="Bibliography"/>
              <w:rPr/>
            </w:pPr>
            <w:r>
              <w:rPr>
                <w:lang w:val="en-US"/>
              </w:rPr>
              <w:t xml:space="preserve">N. P. Kondamudi, E. H. Tobin i J. R. Waymack., „Measles,” StatPearls Publishing, 2025. [Online]. Available: https://www.ncbi.nlm.nih.gov/books/NBK448068/. </w:t>
            </w:r>
            <w:r>
              <w:rPr/>
              <w:t>[Data uzyskania dostępu: 02.05.2026].</w:t>
            </w:r>
          </w:p>
        </w:tc>
      </w:tr>
      <w:tr>
        <w:trPr/>
        <w:tc>
          <w:tcPr>
            <w:tcW w:w="1183" w:type="dxa"/>
            <w:tcBorders/>
          </w:tcPr>
          <w:p>
            <w:pPr>
              <w:pStyle w:val="Bibliography"/>
              <w:rPr/>
            </w:pPr>
            <w:r>
              <w:rPr/>
              <w:t xml:space="preserve">[9] </w:t>
            </w:r>
          </w:p>
        </w:tc>
        <w:tc>
          <w:tcPr>
            <w:tcW w:w="7889" w:type="dxa"/>
            <w:tcBorders/>
          </w:tcPr>
          <w:p>
            <w:pPr>
              <w:pStyle w:val="Bibliography"/>
              <w:rPr>
                <w:lang w:val="en-US"/>
              </w:rPr>
            </w:pPr>
            <w:r>
              <w:rPr>
                <w:lang w:val="en-US"/>
              </w:rPr>
              <w:t>S. N. Ali, M. T. Ahmed, T. Jahan, J. Paul, S. M. S. Sani, N. Noor, A. N. Asma i T. Hasan, „A web-based mpox skin lesion detection system using state-of-the-art deep learning models considering racial diversity,” 2023.</w:t>
            </w:r>
          </w:p>
        </w:tc>
      </w:tr>
      <w:tr>
        <w:trPr/>
        <w:tc>
          <w:tcPr>
            <w:tcW w:w="1183" w:type="dxa"/>
            <w:tcBorders/>
          </w:tcPr>
          <w:p>
            <w:pPr>
              <w:pStyle w:val="Bibliography"/>
              <w:rPr/>
            </w:pPr>
            <w:r>
              <w:rPr/>
              <w:t xml:space="preserve">[10] </w:t>
            </w:r>
          </w:p>
        </w:tc>
        <w:tc>
          <w:tcPr>
            <w:tcW w:w="7889" w:type="dxa"/>
            <w:tcBorders/>
          </w:tcPr>
          <w:p>
            <w:pPr>
              <w:pStyle w:val="Bibliography"/>
              <w:rPr>
                <w:lang w:val="en-US"/>
              </w:rPr>
            </w:pPr>
            <w:r>
              <w:rPr>
                <w:lang w:val="en-US"/>
              </w:rPr>
              <w:t>A. M. Guerra, E. Orille i M. Waseem., „Hand, Foot, and Mouth Disease,” StatPearls Publishing, 2023. [Online]. Available: https://www.ncbi.nlm.nih.gov/books/NBK431082/.</w:t>
            </w:r>
          </w:p>
        </w:tc>
      </w:tr>
      <w:tr>
        <w:trPr/>
        <w:tc>
          <w:tcPr>
            <w:tcW w:w="1183" w:type="dxa"/>
            <w:tcBorders/>
          </w:tcPr>
          <w:p>
            <w:pPr>
              <w:pStyle w:val="Bibliography"/>
              <w:rPr/>
            </w:pPr>
            <w:r>
              <w:rPr/>
              <w:t xml:space="preserve">[11] </w:t>
            </w:r>
          </w:p>
        </w:tc>
        <w:tc>
          <w:tcPr>
            <w:tcW w:w="7889" w:type="dxa"/>
            <w:tcBorders/>
          </w:tcPr>
          <w:p>
            <w:pPr>
              <w:pStyle w:val="Bibliography"/>
              <w:rPr>
                <w:lang w:val="en-US"/>
              </w:rPr>
            </w:pPr>
            <w:r>
              <w:rPr>
                <w:lang w:val="en-US"/>
              </w:rPr>
              <w:t xml:space="preserve">M. A. Carrera C, „Discriminating Nevi from Melanomas: Clues and Pitfalls,” </w:t>
            </w:r>
            <w:r>
              <w:rPr>
                <w:i/>
                <w:iCs/>
                <w:lang w:val="en-US"/>
              </w:rPr>
              <w:t xml:space="preserve">Dermatol Clin, </w:t>
            </w:r>
            <w:r>
              <w:rPr>
                <w:lang w:val="en-US"/>
              </w:rPr>
              <w:t xml:space="preserve">tom 34, 2016. </w:t>
            </w:r>
          </w:p>
        </w:tc>
      </w:tr>
      <w:tr>
        <w:trPr/>
        <w:tc>
          <w:tcPr>
            <w:tcW w:w="1183" w:type="dxa"/>
            <w:tcBorders/>
          </w:tcPr>
          <w:p>
            <w:pPr>
              <w:pStyle w:val="Bibliography"/>
              <w:rPr/>
            </w:pPr>
            <w:r>
              <w:rPr/>
              <w:t xml:space="preserve">[12] </w:t>
            </w:r>
          </w:p>
        </w:tc>
        <w:tc>
          <w:tcPr>
            <w:tcW w:w="7889" w:type="dxa"/>
            <w:tcBorders/>
          </w:tcPr>
          <w:p>
            <w:pPr>
              <w:pStyle w:val="Bibliography"/>
              <w:rPr>
                <w:lang w:val="en-US"/>
              </w:rPr>
            </w:pPr>
            <w:r>
              <w:rPr>
                <w:lang w:val="en-US"/>
              </w:rPr>
              <w:t xml:space="preserve">O. A. Scott R, „Benign Keratosis: A Useful Term?,” </w:t>
            </w:r>
            <w:r>
              <w:rPr>
                <w:i/>
                <w:iCs/>
                <w:lang w:val="en-US"/>
              </w:rPr>
              <w:t xml:space="preserve">Dermatol Pract Concept, </w:t>
            </w:r>
            <w:r>
              <w:rPr>
                <w:lang w:val="en-US"/>
              </w:rPr>
              <w:t xml:space="preserve">tom 13, 2023. </w:t>
            </w:r>
          </w:p>
        </w:tc>
      </w:tr>
      <w:tr>
        <w:trPr/>
        <w:tc>
          <w:tcPr>
            <w:tcW w:w="1183" w:type="dxa"/>
            <w:tcBorders/>
          </w:tcPr>
          <w:p>
            <w:pPr>
              <w:pStyle w:val="Bibliography"/>
              <w:rPr/>
            </w:pPr>
            <w:r>
              <w:rPr/>
              <w:t xml:space="preserve">[13] </w:t>
            </w:r>
          </w:p>
        </w:tc>
        <w:tc>
          <w:tcPr>
            <w:tcW w:w="7889" w:type="dxa"/>
            <w:tcBorders/>
          </w:tcPr>
          <w:p>
            <w:pPr>
              <w:pStyle w:val="Bibliography"/>
              <w:rPr>
                <w:lang w:val="en-US"/>
              </w:rPr>
            </w:pPr>
            <w:r>
              <w:rPr>
                <w:lang w:val="en-US"/>
              </w:rPr>
              <w:t>D. J. Myers i E. P. Fillman., „Dermatofibroma,” StatPearls Publishing, 2024. [Online]. Available: https://www.ncbi.nlm.nih.gov/books/NBK470538/.</w:t>
            </w:r>
          </w:p>
        </w:tc>
      </w:tr>
      <w:tr>
        <w:trPr/>
        <w:tc>
          <w:tcPr>
            <w:tcW w:w="1183" w:type="dxa"/>
            <w:tcBorders/>
          </w:tcPr>
          <w:p>
            <w:pPr>
              <w:pStyle w:val="Bibliography"/>
              <w:rPr/>
            </w:pPr>
            <w:r>
              <w:rPr/>
              <w:t xml:space="preserve">[14] </w:t>
            </w:r>
          </w:p>
        </w:tc>
        <w:tc>
          <w:tcPr>
            <w:tcW w:w="7889" w:type="dxa"/>
            <w:tcBorders/>
          </w:tcPr>
          <w:p>
            <w:pPr>
              <w:pStyle w:val="Bibliography"/>
              <w:rPr>
                <w:lang w:val="en-US"/>
              </w:rPr>
            </w:pPr>
            <w:r>
              <w:rPr>
                <w:lang w:val="en-US"/>
              </w:rPr>
              <w:t xml:space="preserve">P. Tschandl, C. Rosendahl i H. Kittler, „The HAM10000 dataset, a large collection of multi-source dermatoscopic images of common pigmented skin lesions,” </w:t>
            </w:r>
            <w:r>
              <w:rPr>
                <w:i/>
                <w:iCs/>
                <w:lang w:val="en-US"/>
              </w:rPr>
              <w:t xml:space="preserve">Scientific Data, </w:t>
            </w:r>
            <w:r>
              <w:rPr>
                <w:lang w:val="en-US"/>
              </w:rPr>
              <w:t xml:space="preserve">tom 5, nr 1, pp. 1-9, 2018. </w:t>
            </w:r>
          </w:p>
        </w:tc>
      </w:tr>
      <w:tr>
        <w:trPr/>
        <w:tc>
          <w:tcPr>
            <w:tcW w:w="1183" w:type="dxa"/>
            <w:tcBorders/>
          </w:tcPr>
          <w:p>
            <w:pPr>
              <w:pStyle w:val="Bibliography"/>
              <w:rPr/>
            </w:pPr>
            <w:r>
              <w:rPr/>
              <w:t xml:space="preserve">[15] </w:t>
            </w:r>
          </w:p>
        </w:tc>
        <w:tc>
          <w:tcPr>
            <w:tcW w:w="7889" w:type="dxa"/>
            <w:tcBorders/>
          </w:tcPr>
          <w:p>
            <w:pPr>
              <w:pStyle w:val="Bibliography"/>
              <w:rPr>
                <w:lang w:val="en-US"/>
              </w:rPr>
            </w:pPr>
            <w:r>
              <w:rPr>
                <w:lang w:val="en-US"/>
              </w:rPr>
              <w:t xml:space="preserve">Y. LeCun, Y. Bengio i G. Hinton, „Deep learning,” </w:t>
            </w:r>
            <w:r>
              <w:rPr>
                <w:i/>
                <w:iCs/>
                <w:lang w:val="en-US"/>
              </w:rPr>
              <w:t xml:space="preserve">Nature, </w:t>
            </w:r>
            <w:r>
              <w:rPr>
                <w:lang w:val="en-US"/>
              </w:rPr>
              <w:t xml:space="preserve">tom 521, nr 7553, pp. 436-444, 2015. </w:t>
            </w:r>
          </w:p>
        </w:tc>
      </w:tr>
      <w:tr>
        <w:trPr/>
        <w:tc>
          <w:tcPr>
            <w:tcW w:w="1183" w:type="dxa"/>
            <w:tcBorders/>
          </w:tcPr>
          <w:p>
            <w:pPr>
              <w:pStyle w:val="Bibliography"/>
              <w:rPr/>
            </w:pPr>
            <w:r>
              <w:rPr/>
              <w:t xml:space="preserve">[16] </w:t>
            </w:r>
          </w:p>
        </w:tc>
        <w:tc>
          <w:tcPr>
            <w:tcW w:w="7889" w:type="dxa"/>
            <w:tcBorders/>
          </w:tcPr>
          <w:p>
            <w:pPr>
              <w:pStyle w:val="Bibliography"/>
              <w:rPr>
                <w:lang w:val="en-US"/>
              </w:rPr>
            </w:pPr>
            <w:r>
              <w:rPr>
                <w:lang w:val="en-US"/>
              </w:rPr>
              <w:t xml:space="preserve">K. He, X. Zhang, S. Ren i J. Sun, „Deep residual learning for image recognition,” 2016. </w:t>
            </w:r>
          </w:p>
        </w:tc>
      </w:tr>
      <w:tr>
        <w:trPr/>
        <w:tc>
          <w:tcPr>
            <w:tcW w:w="1183" w:type="dxa"/>
            <w:tcBorders/>
          </w:tcPr>
          <w:p>
            <w:pPr>
              <w:pStyle w:val="Bibliography"/>
              <w:rPr/>
            </w:pPr>
            <w:r>
              <w:rPr/>
              <w:t xml:space="preserve">[17] </w:t>
            </w:r>
          </w:p>
        </w:tc>
        <w:tc>
          <w:tcPr>
            <w:tcW w:w="7889" w:type="dxa"/>
            <w:tcBorders/>
          </w:tcPr>
          <w:p>
            <w:pPr>
              <w:pStyle w:val="Bibliography"/>
              <w:rPr>
                <w:lang w:val="en-US"/>
              </w:rPr>
            </w:pPr>
            <w:r>
              <w:rPr>
                <w:lang w:val="en-US"/>
              </w:rPr>
              <w:t xml:space="preserve">A. Howard, M. Sandler, G. Chu, L.-C. Chen, B. Chen, M. Tan, W. Wang, Y. Zhu, R. Pang, V. Vasudevan, Q. V. Le i H. Adam, „Searching for MobileNetV3,” w </w:t>
            </w:r>
            <w:r>
              <w:rPr>
                <w:i/>
                <w:iCs/>
                <w:lang w:val="en-US"/>
              </w:rPr>
              <w:t>Proceedings of the IEEE/CVF International Conference on Computer Vision (ICCV)</w:t>
            </w:r>
            <w:r>
              <w:rPr>
                <w:lang w:val="en-US"/>
              </w:rPr>
              <w:t xml:space="preserve">, 2019. </w:t>
            </w:r>
          </w:p>
        </w:tc>
      </w:tr>
      <w:tr>
        <w:trPr/>
        <w:tc>
          <w:tcPr>
            <w:tcW w:w="1183" w:type="dxa"/>
            <w:tcBorders/>
          </w:tcPr>
          <w:p>
            <w:pPr>
              <w:pStyle w:val="Bibliography"/>
              <w:rPr/>
            </w:pPr>
            <w:r>
              <w:rPr/>
              <w:t xml:space="preserve">[18] </w:t>
            </w:r>
          </w:p>
        </w:tc>
        <w:tc>
          <w:tcPr>
            <w:tcW w:w="7889" w:type="dxa"/>
            <w:tcBorders/>
          </w:tcPr>
          <w:p>
            <w:pPr>
              <w:pStyle w:val="Bibliography"/>
              <w:rPr>
                <w:lang w:val="en-US"/>
              </w:rPr>
            </w:pPr>
            <w:r>
              <w:rPr>
                <w:lang w:val="en-US"/>
              </w:rPr>
              <w:t xml:space="preserve">M. Tan i Q. Le, „EfficientNet: Rethinking model scaling for convolutional neural networks,” w </w:t>
            </w:r>
            <w:r>
              <w:rPr>
                <w:i/>
                <w:iCs/>
                <w:lang w:val="en-US"/>
              </w:rPr>
              <w:t>Proceedings of the 36th International Conference on Machine Learning (ICML)</w:t>
            </w:r>
            <w:r>
              <w:rPr>
                <w:lang w:val="en-US"/>
              </w:rPr>
              <w:t xml:space="preserve">, 2019. </w:t>
            </w:r>
          </w:p>
        </w:tc>
      </w:tr>
      <w:tr>
        <w:trPr/>
        <w:tc>
          <w:tcPr>
            <w:tcW w:w="1183" w:type="dxa"/>
            <w:tcBorders/>
          </w:tcPr>
          <w:p>
            <w:pPr>
              <w:pStyle w:val="Bibliography"/>
              <w:rPr/>
            </w:pPr>
            <w:r>
              <w:rPr/>
              <w:t xml:space="preserve">[19] </w:t>
            </w:r>
          </w:p>
        </w:tc>
        <w:tc>
          <w:tcPr>
            <w:tcW w:w="7889" w:type="dxa"/>
            <w:tcBorders/>
          </w:tcPr>
          <w:p>
            <w:pPr>
              <w:pStyle w:val="Bibliography"/>
              <w:rPr>
                <w:lang w:val="en-US"/>
              </w:rPr>
            </w:pPr>
            <w:r>
              <w:rPr>
                <w:lang w:val="en-US"/>
              </w:rPr>
              <w:t>A. Dosovitskiy, L. Beyer, A. Kolesnikov, D. Weissenborn, X. Zhai, T. Unterthiner, M. Dehghani, M. Minderer, G. Heigold, S. Gelly, J. Uszkoreit i N. Houlsby, „An image is worth 16x16 words: Transformers for image recognition at scale,” 2020.</w:t>
            </w:r>
          </w:p>
        </w:tc>
      </w:tr>
      <w:tr>
        <w:trPr/>
        <w:tc>
          <w:tcPr>
            <w:tcW w:w="1183" w:type="dxa"/>
            <w:tcBorders/>
          </w:tcPr>
          <w:p>
            <w:pPr>
              <w:pStyle w:val="Bibliography"/>
              <w:rPr/>
            </w:pPr>
            <w:r>
              <w:rPr/>
              <w:t xml:space="preserve">[20] </w:t>
            </w:r>
          </w:p>
        </w:tc>
        <w:tc>
          <w:tcPr>
            <w:tcW w:w="7889" w:type="dxa"/>
            <w:tcBorders/>
          </w:tcPr>
          <w:p>
            <w:pPr>
              <w:pStyle w:val="Bibliography"/>
              <w:rPr>
                <w:lang w:val="en-US"/>
              </w:rPr>
            </w:pPr>
            <w:r>
              <w:rPr>
                <w:lang w:val="en-US"/>
              </w:rPr>
              <w:t xml:space="preserve">C. Shorten i T. M. Khoshgoftaar, „A survey on image data augmentation for deep learning,” </w:t>
            </w:r>
            <w:r>
              <w:rPr>
                <w:i/>
                <w:iCs/>
                <w:lang w:val="en-US"/>
              </w:rPr>
              <w:t xml:space="preserve">Journal of Big Data, </w:t>
            </w:r>
            <w:r>
              <w:rPr>
                <w:lang w:val="en-US"/>
              </w:rPr>
              <w:t xml:space="preserve">tom 6, nr 1, pp. 1-48, 2019. </w:t>
            </w:r>
          </w:p>
        </w:tc>
      </w:tr>
      <w:tr>
        <w:trPr/>
        <w:tc>
          <w:tcPr>
            <w:tcW w:w="1183" w:type="dxa"/>
            <w:tcBorders/>
          </w:tcPr>
          <w:p>
            <w:pPr>
              <w:pStyle w:val="Bibliography"/>
              <w:rPr/>
            </w:pPr>
            <w:r>
              <w:rPr/>
              <w:t xml:space="preserve">[21] </w:t>
            </w:r>
          </w:p>
        </w:tc>
        <w:tc>
          <w:tcPr>
            <w:tcW w:w="7889" w:type="dxa"/>
            <w:tcBorders/>
          </w:tcPr>
          <w:p>
            <w:pPr>
              <w:pStyle w:val="Bibliography"/>
              <w:rPr>
                <w:lang w:val="en-US"/>
              </w:rPr>
            </w:pPr>
            <w:r>
              <w:rPr>
                <w:lang w:val="en-US"/>
              </w:rPr>
              <w:t xml:space="preserve">R. R. Selvaraju, M. Cogswell, A. Das, R. Vedantam, D. Parikh i D. Batra, „Grad-CAM: Visual explanations from deep networks via gradient-based localization,” w </w:t>
            </w:r>
            <w:r>
              <w:rPr>
                <w:i/>
                <w:iCs/>
                <w:lang w:val="en-US"/>
              </w:rPr>
              <w:t>Proceedings of the IEEE International Conference on Computer Vision (ICCV)</w:t>
            </w:r>
            <w:r>
              <w:rPr>
                <w:lang w:val="en-US"/>
              </w:rPr>
              <w:t xml:space="preserve">, 2017. </w:t>
            </w:r>
          </w:p>
        </w:tc>
      </w:tr>
    </w:tbl>
    <w:p>
      <w:pPr>
        <w:pStyle w:val="Normal"/>
        <w:rPr>
          <w:rFonts w:eastAsia="Times New Roman"/>
          <w:lang w:val="en-US"/>
        </w:rPr>
      </w:pPr>
      <w:r>
        <w:rPr>
          <w:rFonts w:eastAsia="Times New Roman"/>
          <w:lang w:val="en-US"/>
        </w:rPr>
      </w:r>
    </w:p>
    <w:p>
      <w:pPr>
        <w:pStyle w:val="Normal"/>
        <w:ind w:hanging="0"/>
        <w:rPr/>
      </w:pPr>
      <w:r>
        <w:rPr/>
      </w:r>
      <w:r>
        <w:rPr/>
        <w:fldChar w:fldCharType="end"/>
      </w:r>
    </w:p>
    <w:p>
      <w:pPr>
        <w:pStyle w:val="Normal"/>
        <w:ind w:hanging="0"/>
        <w:rPr/>
      </w:pPr>
      <w:r>
        <w:rPr/>
      </w:r>
    </w:p>
    <w:p>
      <w:pPr>
        <w:pStyle w:val="Normal"/>
        <w:ind w:hanging="0"/>
        <w:rPr/>
      </w:pPr>
      <w:r>
        <w:rPr/>
      </w:r>
      <w:bookmarkStart w:id="158" w:name="OLE_LINK35"/>
      <w:bookmarkStart w:id="159" w:name="OLE_LINK34"/>
      <w:bookmarkStart w:id="160" w:name="_Toc137420689"/>
      <w:bookmarkStart w:id="161" w:name="OLE_LINK35"/>
      <w:bookmarkStart w:id="162" w:name="OLE_LINK34"/>
      <w:bookmarkStart w:id="163" w:name="_Toc137420689"/>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start="851"/>
        <w:rPr/>
      </w:pPr>
      <w:bookmarkStart w:id="164" w:name="OLE_LINK35"/>
      <w:bookmarkStart w:id="165" w:name="OLE_LINK34"/>
      <w:bookmarkStart w:id="166" w:name="_Toc137420689"/>
      <w:bookmarkStart w:id="167" w:name="_Toc230629498"/>
      <w:r>
        <w:rPr/>
        <w:t>Spis rysunków</w:t>
      </w:r>
      <w:bookmarkStart w:id="168" w:name="_Toc471993124"/>
      <w:bookmarkEnd w:id="164"/>
      <w:bookmarkEnd w:id="165"/>
      <w:bookmarkEnd w:id="166"/>
      <w:bookmarkEnd w:id="167"/>
      <w:bookmarkEnd w:id="168"/>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r>
        <w:fldChar w:fldCharType="begin"/>
      </w:r>
      <w:r>
        <w:rPr>
          <w:rStyle w:val="czeindeksu"/>
          <w:lang w:val="en-US"/>
        </w:rPr>
        <w:instrText xml:space="preserve"> TOC \c "Rysunek" \h </w:instrText>
      </w:r>
      <w:r>
        <w:rPr>
          <w:rStyle w:val="czeindeksu"/>
          <w:lang w:val="en-US"/>
        </w:rPr>
        <w:fldChar w:fldCharType="separate"/>
      </w:r>
      <w:hyperlink w:anchor="_Toc230629500">
        <w:bookmarkStart w:id="169" w:name="_Toc137420690"/>
        <w:r>
          <w:rPr>
            <w:rStyle w:val="czeindeksu"/>
            <w:lang w:val="en-US"/>
          </w:rPr>
          <w:t>Rysunek 1 Czerniak Źródło: Skin Lesions Classification Dataset [2]</w:t>
        </w:r>
        <w:r>
          <w:rPr>
            <w:webHidden/>
          </w:rPr>
          <w:fldChar w:fldCharType="begin"/>
        </w:r>
        <w:r>
          <w:rPr>
            <w:webHidden/>
          </w:rPr>
          <w:instrText xml:space="preserve">PAGEREF _Toc230629500 \h</w:instrText>
        </w:r>
        <w:r>
          <w:rPr>
            <w:webHidden/>
          </w:rPr>
          <w:fldChar w:fldCharType="separate"/>
        </w:r>
        <w:r>
          <w:rPr>
            <w:rStyle w:val="czeindeksu"/>
            <w:vanish w:val="false"/>
          </w:rPr>
          <w:tab/>
          <w:t>13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01">
        <w:r>
          <w:rPr>
            <w:rStyle w:val="czeindeksu"/>
          </w:rPr>
          <w:t>Rysunek 2 Rak podstawnokomórkowy, BCC Źródło: Skin Lesions Classification Dataset [2]</w:t>
        </w:r>
        <w:r>
          <w:rPr>
            <w:webHidden/>
          </w:rPr>
          <w:fldChar w:fldCharType="begin"/>
        </w:r>
        <w:r>
          <w:rPr>
            <w:webHidden/>
          </w:rPr>
          <w:instrText xml:space="preserve">PAGEREF _Toc230629501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02">
        <w:r>
          <w:rPr>
            <w:rStyle w:val="czeindeksu"/>
          </w:rPr>
          <w:t>Rysunek 3 Rak płaskonabłonkowy Źródło: Skin Lesions Classification Dataset [2]</w:t>
        </w:r>
        <w:r>
          <w:rPr>
            <w:webHidden/>
          </w:rPr>
          <w:fldChar w:fldCharType="begin"/>
        </w:r>
        <w:r>
          <w:rPr>
            <w:webHidden/>
          </w:rPr>
          <w:instrText xml:space="preserve">PAGEREF _Toc230629502 \h</w:instrText>
        </w:r>
        <w:r>
          <w:rPr>
            <w:webHidden/>
          </w:rPr>
          <w:fldChar w:fldCharType="separate"/>
        </w:r>
        <w:r>
          <w:rPr>
            <w:rStyle w:val="czeindeksu"/>
            <w:vanish w:val="false"/>
          </w:rPr>
          <w:tab/>
          <w:t>15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03">
        <w:r>
          <w:rPr>
            <w:rStyle w:val="czeindeksu"/>
          </w:rPr>
          <w:t xml:space="preserve">Rysunek 4 Rogowacenie słoneczne </w:t>
        </w:r>
        <w:r>
          <w:rPr>
            <w:rStyle w:val="czeindeksu"/>
            <w:lang w:val="en-US"/>
          </w:rPr>
          <w:t>Źródło: Skin Lesions Classification Dataset [2]</w:t>
        </w:r>
        <w:r>
          <w:rPr>
            <w:webHidden/>
          </w:rPr>
          <w:fldChar w:fldCharType="begin"/>
        </w:r>
        <w:r>
          <w:rPr>
            <w:webHidden/>
          </w:rPr>
          <w:instrText xml:space="preserve">PAGEREF _Toc230629503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04">
        <w:r>
          <w:rPr>
            <w:rStyle w:val="czeindeksu"/>
            <w:lang w:val="en-US"/>
          </w:rPr>
          <w:t>Rysunek 5 : Ospa małpia Źródło: Skin Lesions Classification Dataset [2]</w:t>
        </w:r>
        <w:r>
          <w:rPr>
            <w:webHidden/>
          </w:rPr>
          <w:fldChar w:fldCharType="begin"/>
        </w:r>
        <w:r>
          <w:rPr>
            <w:webHidden/>
          </w:rPr>
          <w:instrText xml:space="preserve">PAGEREF _Toc230629504 \h</w:instrText>
        </w:r>
        <w:r>
          <w:rPr>
            <w:webHidden/>
          </w:rPr>
          <w:fldChar w:fldCharType="separate"/>
        </w:r>
        <w:r>
          <w:rPr>
            <w:rStyle w:val="czeindeksu"/>
            <w:vanish w:val="false"/>
          </w:rPr>
          <w:tab/>
          <w:t>17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05">
        <w:r>
          <w:rPr>
            <w:rStyle w:val="czeindeksu"/>
            <w:lang w:val="en-US"/>
          </w:rPr>
          <w:t>Rysunek 6 Ospa wietrzna Źródło: Skin Lesions Classification Dataset [2]</w:t>
        </w:r>
        <w:r>
          <w:rPr>
            <w:webHidden/>
          </w:rPr>
          <w:fldChar w:fldCharType="begin"/>
        </w:r>
        <w:r>
          <w:rPr>
            <w:webHidden/>
          </w:rPr>
          <w:instrText xml:space="preserve">PAGEREF _Toc230629505 \h</w:instrText>
        </w:r>
        <w:r>
          <w:rPr>
            <w:webHidden/>
          </w:rPr>
          <w:fldChar w:fldCharType="separate"/>
        </w:r>
        <w:r>
          <w:rPr>
            <w:rStyle w:val="czeindeksu"/>
            <w:vanish w:val="false"/>
          </w:rPr>
          <w:tab/>
          <w:t>17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06">
        <w:r>
          <w:rPr>
            <w:rStyle w:val="czeindeksu"/>
            <w:lang w:val="en-US"/>
          </w:rPr>
          <w:t>Rysunek 7 : Odra Źródło: Skin Lesions Classification Dataset [2]</w:t>
        </w:r>
        <w:r>
          <w:rPr>
            <w:webHidden/>
          </w:rPr>
          <w:fldChar w:fldCharType="begin"/>
        </w:r>
        <w:r>
          <w:rPr>
            <w:webHidden/>
          </w:rPr>
          <w:instrText xml:space="preserve">PAGEREF _Toc230629506 \h</w:instrText>
        </w:r>
        <w:r>
          <w:rPr>
            <w:webHidden/>
          </w:rPr>
          <w:fldChar w:fldCharType="separate"/>
        </w:r>
        <w:r>
          <w:rPr>
            <w:rStyle w:val="czeindeksu"/>
            <w:vanish w:val="false"/>
          </w:rPr>
          <w:tab/>
          <w:t>18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07">
        <w:r>
          <w:rPr>
            <w:rStyle w:val="czeindeksu"/>
            <w:lang w:val="en-US"/>
          </w:rPr>
          <w:t>Rysunek 8 : HFMD Źródło: Skin Lesions Classification Dataset [2]</w:t>
        </w:r>
        <w:r>
          <w:rPr>
            <w:webHidden/>
          </w:rPr>
          <w:fldChar w:fldCharType="begin"/>
        </w:r>
        <w:r>
          <w:rPr>
            <w:webHidden/>
          </w:rPr>
          <w:instrText xml:space="preserve">PAGEREF _Toc230629507 \h</w:instrText>
        </w:r>
        <w:r>
          <w:rPr>
            <w:webHidden/>
          </w:rPr>
          <w:fldChar w:fldCharType="separate"/>
        </w:r>
        <w:r>
          <w:rPr>
            <w:rStyle w:val="czeindeksu"/>
            <w:vanish w:val="false"/>
          </w:rPr>
          <w:tab/>
          <w:t>19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08">
        <w:r>
          <w:rPr>
            <w:rStyle w:val="czeindeksu"/>
          </w:rPr>
          <w:t>Rysunek 9 Znamiona melanocytarne Źródło: Skin Lesions Classification Dataset [2]</w:t>
        </w:r>
        <w:r>
          <w:rPr>
            <w:webHidden/>
          </w:rPr>
          <w:fldChar w:fldCharType="begin"/>
        </w:r>
        <w:r>
          <w:rPr>
            <w:webHidden/>
          </w:rPr>
          <w:instrText xml:space="preserve">PAGEREF _Toc230629508 \h</w:instrText>
        </w:r>
        <w:r>
          <w:rPr>
            <w:webHidden/>
          </w:rPr>
          <w:fldChar w:fldCharType="separate"/>
        </w:r>
        <w:r>
          <w:rPr>
            <w:rStyle w:val="czeindeksu"/>
            <w:vanish w:val="false"/>
          </w:rPr>
          <w:tab/>
          <w:t>20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09">
        <w:r>
          <w:rPr>
            <w:rStyle w:val="czeindeksu"/>
          </w:rPr>
          <w:t>Rysunek 10 łagodne zmiany keratozopodobne Źródło: Skin Lesions Classification Dataset [2]</w:t>
        </w:r>
        <w:r>
          <w:rPr>
            <w:webHidden/>
          </w:rPr>
          <w:fldChar w:fldCharType="begin"/>
        </w:r>
        <w:r>
          <w:rPr>
            <w:webHidden/>
          </w:rPr>
          <w:instrText xml:space="preserve">PAGEREF _Toc230629509 \h</w:instrText>
        </w:r>
        <w:r>
          <w:rPr>
            <w:webHidden/>
          </w:rPr>
          <w:fldChar w:fldCharType="separate"/>
        </w:r>
        <w:r>
          <w:rPr>
            <w:rStyle w:val="czeindeksu"/>
            <w:vanish w:val="false"/>
          </w:rPr>
          <w:tab/>
          <w:t>20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0">
        <w:r>
          <w:rPr>
            <w:rStyle w:val="czeindeksu"/>
            <w:lang w:val="en-US"/>
          </w:rPr>
          <w:t>Rysunek 11 Włókniak skóry Źródło: Skin Lesions Classification Dataset [2]</w:t>
        </w:r>
        <w:r>
          <w:rPr>
            <w:webHidden/>
          </w:rPr>
          <w:fldChar w:fldCharType="begin"/>
        </w:r>
        <w:r>
          <w:rPr>
            <w:webHidden/>
          </w:rPr>
          <w:instrText xml:space="preserve">PAGEREF _Toc230629510 \h</w:instrText>
        </w:r>
        <w:r>
          <w:rPr>
            <w:webHidden/>
          </w:rPr>
          <w:fldChar w:fldCharType="separate"/>
        </w:r>
        <w:r>
          <w:rPr>
            <w:rStyle w:val="czeindeksu"/>
            <w:vanish w:val="false"/>
          </w:rPr>
          <w:tab/>
          <w:t>21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1">
        <w:r>
          <w:rPr>
            <w:rStyle w:val="czeindeksu"/>
          </w:rPr>
          <w:t xml:space="preserve">Rysunek 12 Zmiany naczyniowe </w:t>
        </w:r>
        <w:r>
          <w:rPr>
            <w:rStyle w:val="czeindeksu"/>
            <w:lang w:val="en-US"/>
          </w:rPr>
          <w:t>Źródło: Skin Lesions Classification Dataset [2]</w:t>
        </w:r>
        <w:r>
          <w:rPr>
            <w:webHidden/>
          </w:rPr>
          <w:fldChar w:fldCharType="begin"/>
        </w:r>
        <w:r>
          <w:rPr>
            <w:webHidden/>
          </w:rPr>
          <w:instrText xml:space="preserve">PAGEREF _Toc230629511 \h</w:instrText>
        </w:r>
        <w:r>
          <w:rPr>
            <w:webHidden/>
          </w:rPr>
          <w:fldChar w:fldCharType="separate"/>
        </w:r>
        <w:r>
          <w:rPr>
            <w:rStyle w:val="czeindeksu"/>
            <w:vanish w:val="false"/>
          </w:rPr>
          <w:tab/>
          <w:t>22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2">
        <w:r>
          <w:rPr>
            <w:rStyle w:val="czeindeksu"/>
          </w:rPr>
          <w:t>Rysunek 13 CNN jak działa?  Źródło: http://python.plainenglish.io/decoding-cnns-a-beginners-guide-to-convolutional-neural-networks-and-their-applications-1a8806cbf536</w:t>
        </w:r>
        <w:r>
          <w:rPr>
            <w:webHidden/>
          </w:rPr>
          <w:fldChar w:fldCharType="begin"/>
        </w:r>
        <w:r>
          <w:rPr>
            <w:webHidden/>
          </w:rPr>
          <w:instrText xml:space="preserve">PAGEREF _Toc230629512 \h</w:instrText>
        </w:r>
        <w:r>
          <w:rPr>
            <w:webHidden/>
          </w:rPr>
          <w:fldChar w:fldCharType="separate"/>
        </w:r>
        <w:r>
          <w:rPr>
            <w:rStyle w:val="czeindeksu"/>
            <w:vanish w:val="false"/>
          </w:rPr>
          <w:tab/>
          <w:t>24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3">
        <w:r>
          <w:rPr>
            <w:rStyle w:val="czeindeksu"/>
          </w:rPr>
          <w:t>Rysunek 14 ResNet50  Źródło: https://blog.devgenius.io/resnet50-6b42934db431</w:t>
        </w:r>
        <w:r>
          <w:rPr>
            <w:webHidden/>
          </w:rPr>
          <w:fldChar w:fldCharType="begin"/>
        </w:r>
        <w:r>
          <w:rPr>
            <w:webHidden/>
          </w:rPr>
          <w:instrText xml:space="preserve">PAGEREF _Toc230629513 \h</w:instrText>
        </w:r>
        <w:r>
          <w:rPr>
            <w:webHidden/>
          </w:rPr>
          <w:fldChar w:fldCharType="separate"/>
        </w:r>
        <w:r>
          <w:rPr>
            <w:rStyle w:val="czeindeksu"/>
            <w:vanish w:val="false"/>
          </w:rPr>
          <w:tab/>
          <w:t>25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4">
        <w:r>
          <w:rPr>
            <w:rStyle w:val="czeindeksu"/>
          </w:rPr>
          <w:t>Rysunek 15 MobileNetV3  Źródło: https://pytorch.org/blog/torchvision-mobilenet-v3-implementation/</w:t>
        </w:r>
        <w:r>
          <w:rPr>
            <w:webHidden/>
          </w:rPr>
          <w:fldChar w:fldCharType="begin"/>
        </w:r>
        <w:r>
          <w:rPr>
            <w:webHidden/>
          </w:rPr>
          <w:instrText xml:space="preserve">PAGEREF _Toc230629514 \h</w:instrText>
        </w:r>
        <w:r>
          <w:rPr>
            <w:webHidden/>
          </w:rPr>
          <w:fldChar w:fldCharType="separate"/>
        </w:r>
        <w:r>
          <w:rPr>
            <w:rStyle w:val="czeindeksu"/>
            <w:vanish w:val="false"/>
          </w:rPr>
          <w:tab/>
          <w:t>26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5">
        <w:r>
          <w:rPr>
            <w:rStyle w:val="czeindeksu"/>
          </w:rPr>
          <w:t>Rysunek 16 EfficientNet architektura  Źródło: https://viso.ai/deep-learning/efficientnet/</w:t>
        </w:r>
        <w:r>
          <w:rPr>
            <w:webHidden/>
          </w:rPr>
          <w:fldChar w:fldCharType="begin"/>
        </w:r>
        <w:r>
          <w:rPr>
            <w:webHidden/>
          </w:rPr>
          <w:instrText xml:space="preserve">PAGEREF _Toc230629515 \h</w:instrText>
        </w:r>
        <w:r>
          <w:rPr>
            <w:webHidden/>
          </w:rPr>
          <w:fldChar w:fldCharType="separate"/>
        </w:r>
        <w:r>
          <w:rPr>
            <w:rStyle w:val="czeindeksu"/>
            <w:vanish w:val="false"/>
          </w:rPr>
          <w:tab/>
          <w:t>27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6">
        <w:r>
          <w:rPr>
            <w:rStyle w:val="czeindeksu"/>
          </w:rPr>
          <w:t>Rysunek 17 Schemat działania transformera wizyjnego Źródło: https://sh-tsang.medium.com/review-vision-transformer-vit-406568603de0</w:t>
        </w:r>
        <w:r>
          <w:rPr>
            <w:webHidden/>
          </w:rPr>
          <w:fldChar w:fldCharType="begin"/>
        </w:r>
        <w:r>
          <w:rPr>
            <w:webHidden/>
          </w:rPr>
          <w:instrText xml:space="preserve">PAGEREF _Toc230629516 \h</w:instrText>
        </w:r>
        <w:r>
          <w:rPr>
            <w:webHidden/>
          </w:rPr>
          <w:fldChar w:fldCharType="separate"/>
        </w:r>
        <w:r>
          <w:rPr>
            <w:rStyle w:val="czeindeksu"/>
            <w:vanish w:val="false"/>
          </w:rPr>
          <w:tab/>
          <w:t>28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7">
        <w:r>
          <w:rPr>
            <w:rStyle w:val="czeindeksu"/>
          </w:rPr>
          <w:t>Rysunek 18 CNN - architektura modelu</w:t>
        </w:r>
        <w:r>
          <w:rPr>
            <w:webHidden/>
          </w:rPr>
          <w:fldChar w:fldCharType="begin"/>
        </w:r>
        <w:r>
          <w:rPr>
            <w:webHidden/>
          </w:rPr>
          <w:instrText xml:space="preserve">PAGEREF _Toc230629517 \h</w:instrText>
        </w:r>
        <w:r>
          <w:rPr>
            <w:webHidden/>
          </w:rPr>
          <w:fldChar w:fldCharType="separate"/>
        </w:r>
        <w:r>
          <w:rPr>
            <w:rStyle w:val="czeindeksu"/>
            <w:vanish w:val="false"/>
          </w:rPr>
          <w:tab/>
          <w:t>35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8">
        <w:r>
          <w:rPr>
            <w:rStyle w:val="czeindeksu"/>
          </w:rPr>
          <w:t>Rysunek 19 Z lewej strony oryginalne zdjęcie pacjenta z Krowianką, po lewej GRAD-CAM modelu mobilNetV3, pokazujący, gdzie skupił największą uwagę podczas oceny.</w:t>
        </w:r>
        <w:r>
          <w:rPr>
            <w:webHidden/>
          </w:rPr>
          <w:fldChar w:fldCharType="begin"/>
        </w:r>
        <w:r>
          <w:rPr>
            <w:webHidden/>
          </w:rPr>
          <w:instrText xml:space="preserve">PAGEREF _Toc230629518 \h</w:instrText>
        </w:r>
        <w:r>
          <w:rPr>
            <w:webHidden/>
          </w:rPr>
          <w:fldChar w:fldCharType="separate"/>
        </w:r>
        <w:r>
          <w:rPr>
            <w:rStyle w:val="czeindeksu"/>
            <w:vanish w:val="false"/>
          </w:rPr>
          <w:tab/>
          <w:t>37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19">
        <w:r>
          <w:rPr>
            <w:rStyle w:val="czeindeksu"/>
          </w:rPr>
          <w:t>Rysunek 20 Model bazy danych</w:t>
        </w:r>
        <w:r>
          <w:rPr>
            <w:webHidden/>
          </w:rPr>
          <w:fldChar w:fldCharType="begin"/>
        </w:r>
        <w:r>
          <w:rPr>
            <w:webHidden/>
          </w:rPr>
          <w:instrText xml:space="preserve">PAGEREF _Toc230629519 \h</w:instrText>
        </w:r>
        <w:r>
          <w:rPr>
            <w:webHidden/>
          </w:rPr>
          <w:fldChar w:fldCharType="separate"/>
        </w:r>
        <w:r>
          <w:rPr>
            <w:rStyle w:val="czeindeksu"/>
            <w:vanish w:val="false"/>
          </w:rPr>
          <w:tab/>
          <w:t>41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0">
        <w:r>
          <w:rPr>
            <w:rStyle w:val="czeindeksu"/>
          </w:rPr>
          <w:t>Rysunek 21 Schemat przepływu danych</w:t>
        </w:r>
        <w:r>
          <w:rPr>
            <w:webHidden/>
          </w:rPr>
          <w:fldChar w:fldCharType="begin"/>
        </w:r>
        <w:r>
          <w:rPr>
            <w:webHidden/>
          </w:rPr>
          <w:instrText xml:space="preserve">PAGEREF _Toc230629520 \h</w:instrText>
        </w:r>
        <w:r>
          <w:rPr>
            <w:webHidden/>
          </w:rPr>
          <w:fldChar w:fldCharType="separate"/>
        </w:r>
        <w:r>
          <w:rPr>
            <w:rStyle w:val="czeindeksu"/>
            <w:vanish w:val="false"/>
          </w:rPr>
          <w:tab/>
          <w:t>44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1">
        <w:r>
          <w:rPr>
            <w:rStyle w:val="czeindeksu"/>
          </w:rPr>
          <w:t>Rysunek 22 Czas trwania treningu oraz ilość użytych GPU</w:t>
        </w:r>
        <w:r>
          <w:rPr>
            <w:webHidden/>
          </w:rPr>
          <w:fldChar w:fldCharType="begin"/>
        </w:r>
        <w:r>
          <w:rPr>
            <w:webHidden/>
          </w:rPr>
          <w:instrText xml:space="preserve">PAGEREF _Toc230629521 \h</w:instrText>
        </w:r>
        <w:r>
          <w:rPr>
            <w:webHidden/>
          </w:rPr>
          <w:fldChar w:fldCharType="separate"/>
        </w:r>
        <w:r>
          <w:rPr>
            <w:rStyle w:val="czeindeksu"/>
            <w:vanish w:val="false"/>
          </w:rPr>
          <w:tab/>
          <w:t>47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2">
        <w:r>
          <w:rPr>
            <w:rStyle w:val="czeindeksu"/>
          </w:rPr>
          <w:t>Rysunek 23 GradCam modelu mobilenetV3-Large podczas wykrywania choroby</w:t>
        </w:r>
        <w:r>
          <w:rPr>
            <w:webHidden/>
          </w:rPr>
          <w:fldChar w:fldCharType="begin"/>
        </w:r>
        <w:r>
          <w:rPr>
            <w:webHidden/>
          </w:rPr>
          <w:instrText xml:space="preserve">PAGEREF _Toc230629522 \h</w:instrText>
        </w:r>
        <w:r>
          <w:rPr>
            <w:webHidden/>
          </w:rPr>
          <w:fldChar w:fldCharType="separate"/>
        </w:r>
        <w:r>
          <w:rPr>
            <w:rStyle w:val="czeindeksu"/>
            <w:vanish w:val="false"/>
          </w:rPr>
          <w:tab/>
          <w:t>52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3">
        <w:r>
          <w:rPr>
            <w:rStyle w:val="czeindeksu"/>
          </w:rPr>
          <w:t>Rysunek 24 System głosowania</w:t>
        </w:r>
        <w:r>
          <w:rPr>
            <w:webHidden/>
          </w:rPr>
          <w:fldChar w:fldCharType="begin"/>
        </w:r>
        <w:r>
          <w:rPr>
            <w:webHidden/>
          </w:rPr>
          <w:instrText xml:space="preserve">PAGEREF _Toc230629523 \h</w:instrText>
        </w:r>
        <w:r>
          <w:rPr>
            <w:webHidden/>
          </w:rPr>
          <w:fldChar w:fldCharType="separate"/>
        </w:r>
        <w:r>
          <w:rPr>
            <w:rStyle w:val="czeindeksu"/>
            <w:vanish w:val="false"/>
          </w:rPr>
          <w:tab/>
          <w:t>54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4">
        <w:r>
          <w:rPr>
            <w:rStyle w:val="czeindeksu"/>
          </w:rPr>
          <w:t>Rysunek 25 Zakładka skaner z dwoma trybami „Wgraj” oraz „Aparat”.</w:t>
        </w:r>
        <w:r>
          <w:rPr>
            <w:webHidden/>
          </w:rPr>
          <w:fldChar w:fldCharType="begin"/>
        </w:r>
        <w:r>
          <w:rPr>
            <w:webHidden/>
          </w:rPr>
          <w:instrText xml:space="preserve">PAGEREF _Toc230629524 \h</w:instrText>
        </w:r>
        <w:r>
          <w:rPr>
            <w:webHidden/>
          </w:rPr>
          <w:fldChar w:fldCharType="separate"/>
        </w:r>
        <w:r>
          <w:rPr>
            <w:rStyle w:val="czeindeksu"/>
            <w:vanish w:val="false"/>
          </w:rPr>
          <w:tab/>
          <w:t>55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5">
        <w:r>
          <w:rPr>
            <w:rStyle w:val="czeindeksu"/>
          </w:rPr>
          <w:t>Rysunek 26 Wybranie i podgląd zdjęcia przed analizą.</w:t>
        </w:r>
        <w:r>
          <w:rPr>
            <w:webHidden/>
          </w:rPr>
          <w:fldChar w:fldCharType="begin"/>
        </w:r>
        <w:r>
          <w:rPr>
            <w:webHidden/>
          </w:rPr>
          <w:instrText xml:space="preserve">PAGEREF _Toc230629525 \h</w:instrText>
        </w:r>
        <w:r>
          <w:rPr>
            <w:webHidden/>
          </w:rPr>
          <w:fldChar w:fldCharType="separate"/>
        </w:r>
        <w:r>
          <w:rPr>
            <w:rStyle w:val="czeindeksu"/>
            <w:vanish w:val="false"/>
          </w:rPr>
          <w:tab/>
          <w:t>55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6">
        <w:r>
          <w:rPr>
            <w:rStyle w:val="czeindeksu"/>
          </w:rPr>
          <w:t>Rysunek 27 Wynik konsensusu modeli</w:t>
        </w:r>
        <w:r>
          <w:rPr>
            <w:webHidden/>
          </w:rPr>
          <w:fldChar w:fldCharType="begin"/>
        </w:r>
        <w:r>
          <w:rPr>
            <w:webHidden/>
          </w:rPr>
          <w:instrText xml:space="preserve">PAGEREF _Toc230629526 \h</w:instrText>
        </w:r>
        <w:r>
          <w:rPr>
            <w:webHidden/>
          </w:rPr>
          <w:fldChar w:fldCharType="separate"/>
        </w:r>
        <w:r>
          <w:rPr>
            <w:rStyle w:val="czeindeksu"/>
            <w:vanish w:val="false"/>
          </w:rPr>
          <w:tab/>
          <w:t>56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7">
        <w:r>
          <w:rPr>
            <w:rStyle w:val="czeindeksu"/>
          </w:rPr>
          <w:t>Rysunek 28 Wyświetlenie diagnozy oraz prawdopodobieństwa każdego modelu</w:t>
        </w:r>
        <w:r>
          <w:rPr>
            <w:webHidden/>
          </w:rPr>
          <w:fldChar w:fldCharType="begin"/>
        </w:r>
        <w:r>
          <w:rPr>
            <w:webHidden/>
          </w:rPr>
          <w:instrText xml:space="preserve">PAGEREF _Toc230629527 \h</w:instrText>
        </w:r>
        <w:r>
          <w:rPr>
            <w:webHidden/>
          </w:rPr>
          <w:fldChar w:fldCharType="separate"/>
        </w:r>
        <w:r>
          <w:rPr>
            <w:rStyle w:val="czeindeksu"/>
            <w:vanish w:val="false"/>
          </w:rPr>
          <w:tab/>
          <w:t>56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8">
        <w:r>
          <w:rPr>
            <w:rStyle w:val="czeindeksu"/>
          </w:rPr>
          <w:t>Rysunek 29 Diagnoza wybranego modelu oraz jego Grad-Cam</w:t>
        </w:r>
        <w:r>
          <w:rPr>
            <w:webHidden/>
          </w:rPr>
          <w:fldChar w:fldCharType="begin"/>
        </w:r>
        <w:r>
          <w:rPr>
            <w:webHidden/>
          </w:rPr>
          <w:instrText xml:space="preserve">PAGEREF _Toc230629528 \h</w:instrText>
        </w:r>
        <w:r>
          <w:rPr>
            <w:webHidden/>
          </w:rPr>
          <w:fldChar w:fldCharType="separate"/>
        </w:r>
        <w:r>
          <w:rPr>
            <w:rStyle w:val="czeindeksu"/>
            <w:vanish w:val="false"/>
          </w:rPr>
          <w:tab/>
          <w:t>57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29">
        <w:r>
          <w:rPr>
            <w:rStyle w:val="czeindeksu"/>
          </w:rPr>
          <w:t>Rysunek 30 Widok zakładki 'Historia'</w:t>
        </w:r>
        <w:r>
          <w:rPr>
            <w:webHidden/>
          </w:rPr>
          <w:fldChar w:fldCharType="begin"/>
        </w:r>
        <w:r>
          <w:rPr>
            <w:webHidden/>
          </w:rPr>
          <w:instrText xml:space="preserve">PAGEREF _Toc230629529 \h</w:instrText>
        </w:r>
        <w:r>
          <w:rPr>
            <w:webHidden/>
          </w:rPr>
          <w:fldChar w:fldCharType="separate"/>
        </w:r>
        <w:r>
          <w:rPr>
            <w:rStyle w:val="czeindeksu"/>
            <w:vanish w:val="false"/>
          </w:rPr>
          <w:tab/>
          <w:t>58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0">
        <w:r>
          <w:rPr>
            <w:rStyle w:val="czeindeksu"/>
          </w:rPr>
          <w:t>Rysunek 31 Podgląd historycznej analizy</w:t>
        </w:r>
        <w:r>
          <w:rPr>
            <w:webHidden/>
          </w:rPr>
          <w:fldChar w:fldCharType="begin"/>
        </w:r>
        <w:r>
          <w:rPr>
            <w:webHidden/>
          </w:rPr>
          <w:instrText xml:space="preserve">PAGEREF _Toc230629530 \h</w:instrText>
        </w:r>
        <w:r>
          <w:rPr>
            <w:webHidden/>
          </w:rPr>
          <w:fldChar w:fldCharType="separate"/>
        </w:r>
        <w:r>
          <w:rPr>
            <w:rStyle w:val="czeindeksu"/>
            <w:vanish w:val="false"/>
          </w:rPr>
          <w:tab/>
          <w:t>59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1">
        <w:r>
          <w:rPr>
            <w:rStyle w:val="czeindeksu"/>
          </w:rPr>
          <w:t>Rysunek 32 Podgląd Grad-Cam dla historycznego badania</w:t>
        </w:r>
        <w:r>
          <w:rPr>
            <w:webHidden/>
          </w:rPr>
          <w:fldChar w:fldCharType="begin"/>
        </w:r>
        <w:r>
          <w:rPr>
            <w:webHidden/>
          </w:rPr>
          <w:instrText xml:space="preserve">PAGEREF _Toc230629531 \h</w:instrText>
        </w:r>
        <w:r>
          <w:rPr>
            <w:webHidden/>
          </w:rPr>
          <w:fldChar w:fldCharType="separate"/>
        </w:r>
        <w:r>
          <w:rPr>
            <w:rStyle w:val="czeindeksu"/>
            <w:vanish w:val="false"/>
          </w:rPr>
          <w:tab/>
          <w:t>59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2">
        <w:r>
          <w:rPr>
            <w:rStyle w:val="czeindeksu"/>
          </w:rPr>
          <w:t>Rysunek 33 Przechwytywanie strumienia nadawanego z telefonu</w:t>
        </w:r>
        <w:r>
          <w:rPr>
            <w:webHidden/>
          </w:rPr>
          <w:fldChar w:fldCharType="begin"/>
        </w:r>
        <w:r>
          <w:rPr>
            <w:webHidden/>
          </w:rPr>
          <w:instrText xml:space="preserve">PAGEREF _Toc230629532 \h</w:instrText>
        </w:r>
        <w:r>
          <w:rPr>
            <w:webHidden/>
          </w:rPr>
          <w:fldChar w:fldCharType="separate"/>
        </w:r>
        <w:r>
          <w:rPr>
            <w:rStyle w:val="czeindeksu"/>
            <w:vanish w:val="false"/>
          </w:rPr>
          <w:tab/>
          <w:t>60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3">
        <w:r>
          <w:rPr>
            <w:rStyle w:val="czeindeksu"/>
          </w:rPr>
          <w:t>Rysunek 34 Strumień z telefonu</w:t>
        </w:r>
        <w:r>
          <w:rPr>
            <w:webHidden/>
          </w:rPr>
          <w:fldChar w:fldCharType="begin"/>
        </w:r>
        <w:r>
          <w:rPr>
            <w:webHidden/>
          </w:rPr>
          <w:instrText xml:space="preserve">PAGEREF _Toc230629533 \h</w:instrText>
        </w:r>
        <w:r>
          <w:rPr>
            <w:webHidden/>
          </w:rPr>
          <w:fldChar w:fldCharType="separate"/>
        </w:r>
        <w:r>
          <w:rPr>
            <w:rStyle w:val="czeindeksu"/>
            <w:vanish w:val="false"/>
          </w:rPr>
          <w:tab/>
          <w:t>61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4">
        <w:r>
          <w:rPr>
            <w:rStyle w:val="czeindeksu"/>
          </w:rPr>
          <w:t>Rysunek 35 : Podgląd zakładki "Mapy ciała"</w:t>
        </w:r>
        <w:r>
          <w:rPr>
            <w:webHidden/>
          </w:rPr>
          <w:fldChar w:fldCharType="begin"/>
        </w:r>
        <w:r>
          <w:rPr>
            <w:webHidden/>
          </w:rPr>
          <w:instrText xml:space="preserve">PAGEREF _Toc230629534 \h</w:instrText>
        </w:r>
        <w:r>
          <w:rPr>
            <w:webHidden/>
          </w:rPr>
          <w:fldChar w:fldCharType="separate"/>
        </w:r>
        <w:r>
          <w:rPr>
            <w:rStyle w:val="czeindeksu"/>
            <w:vanish w:val="false"/>
          </w:rPr>
          <w:tab/>
          <w:t>62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5">
        <w:r>
          <w:rPr>
            <w:rStyle w:val="czeindeksu"/>
          </w:rPr>
          <w:t>Rysunek 36 Widok ustawień</w:t>
        </w:r>
        <w:r>
          <w:rPr>
            <w:webHidden/>
          </w:rPr>
          <w:fldChar w:fldCharType="begin"/>
        </w:r>
        <w:r>
          <w:rPr>
            <w:webHidden/>
          </w:rPr>
          <w:instrText xml:space="preserve">PAGEREF _Toc230629535 \h</w:instrText>
        </w:r>
        <w:r>
          <w:rPr>
            <w:webHidden/>
          </w:rPr>
          <w:fldChar w:fldCharType="separate"/>
        </w:r>
        <w:r>
          <w:rPr>
            <w:rStyle w:val="czeindeksu"/>
            <w:vanish w:val="false"/>
          </w:rPr>
          <w:tab/>
          <w:t>63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6">
        <w:r>
          <w:rPr>
            <w:rStyle w:val="czeindeksu"/>
          </w:rPr>
          <w:t>Rysunek 37 Dokładność walidacyjna w kolejnych epokach (po lewej) oraz łączny czas treningu modeli (po prawej).</w:t>
        </w:r>
        <w:r>
          <w:rPr>
            <w:webHidden/>
          </w:rPr>
          <w:fldChar w:fldCharType="begin"/>
        </w:r>
        <w:r>
          <w:rPr>
            <w:webHidden/>
          </w:rPr>
          <w:instrText xml:space="preserve">PAGEREF _Toc230629536 \h</w:instrText>
        </w:r>
        <w:r>
          <w:rPr>
            <w:webHidden/>
          </w:rPr>
          <w:fldChar w:fldCharType="separate"/>
        </w:r>
        <w:r>
          <w:rPr>
            <w:rStyle w:val="czeindeksu"/>
            <w:vanish w:val="false"/>
          </w:rPr>
          <w:tab/>
          <w:t>65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7">
        <w:r>
          <w:rPr>
            <w:rStyle w:val="czeindeksu"/>
          </w:rPr>
          <w:t>Rysunek 38 Macierz pomyłek modelu Custom CNN.</w:t>
        </w:r>
        <w:r>
          <w:rPr>
            <w:webHidden/>
          </w:rPr>
          <w:fldChar w:fldCharType="begin"/>
        </w:r>
        <w:r>
          <w:rPr>
            <w:webHidden/>
          </w:rPr>
          <w:instrText xml:space="preserve">PAGEREF _Toc230629537 \h</w:instrText>
        </w:r>
        <w:r>
          <w:rPr>
            <w:webHidden/>
          </w:rPr>
          <w:fldChar w:fldCharType="separate"/>
        </w:r>
        <w:r>
          <w:rPr>
            <w:rStyle w:val="czeindeksu"/>
            <w:vanish w:val="false"/>
          </w:rPr>
          <w:tab/>
          <w:t>69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8">
        <w:r>
          <w:rPr>
            <w:rStyle w:val="czeindeksu"/>
          </w:rPr>
          <w:t>Rysunek 39 Macierz konfuzji modelu ResNet50</w:t>
        </w:r>
        <w:r>
          <w:rPr>
            <w:webHidden/>
          </w:rPr>
          <w:fldChar w:fldCharType="begin"/>
        </w:r>
        <w:r>
          <w:rPr>
            <w:webHidden/>
          </w:rPr>
          <w:instrText xml:space="preserve">PAGEREF _Toc230629538 \h</w:instrText>
        </w:r>
        <w:r>
          <w:rPr>
            <w:webHidden/>
          </w:rPr>
          <w:fldChar w:fldCharType="separate"/>
        </w:r>
        <w:r>
          <w:rPr>
            <w:rStyle w:val="czeindeksu"/>
            <w:vanish w:val="false"/>
          </w:rPr>
          <w:tab/>
          <w:t>70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39">
        <w:r>
          <w:rPr>
            <w:rStyle w:val="czeindeksu"/>
          </w:rPr>
          <w:t>Rysunek 40 Macierz konfuzji modelu MobileNetV3.</w:t>
        </w:r>
        <w:r>
          <w:rPr>
            <w:webHidden/>
          </w:rPr>
          <w:fldChar w:fldCharType="begin"/>
        </w:r>
        <w:r>
          <w:rPr>
            <w:webHidden/>
          </w:rPr>
          <w:instrText xml:space="preserve">PAGEREF _Toc230629539 \h</w:instrText>
        </w:r>
        <w:r>
          <w:rPr>
            <w:webHidden/>
          </w:rPr>
          <w:fldChar w:fldCharType="separate"/>
        </w:r>
        <w:r>
          <w:rPr>
            <w:rStyle w:val="czeindeksu"/>
            <w:vanish w:val="false"/>
          </w:rPr>
          <w:tab/>
          <w:t>71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40">
        <w:r>
          <w:rPr>
            <w:rStyle w:val="czeindeksu"/>
          </w:rPr>
          <w:t>Rysunek 41 Macierz konfuzji modelu ViT.</w:t>
        </w:r>
        <w:r>
          <w:rPr>
            <w:webHidden/>
          </w:rPr>
          <w:fldChar w:fldCharType="begin"/>
        </w:r>
        <w:r>
          <w:rPr>
            <w:webHidden/>
          </w:rPr>
          <w:instrText xml:space="preserve">PAGEREF _Toc230629540 \h</w:instrText>
        </w:r>
        <w:r>
          <w:rPr>
            <w:webHidden/>
          </w:rPr>
          <w:fldChar w:fldCharType="separate"/>
        </w:r>
        <w:r>
          <w:rPr>
            <w:rStyle w:val="czeindeksu"/>
            <w:vanish w:val="false"/>
          </w:rPr>
          <w:tab/>
          <w:t>72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41">
        <w:r>
          <w:rPr>
            <w:rStyle w:val="czeindeksu"/>
          </w:rPr>
          <w:t>Rysunek 42 Macierz konfuzji modelu EfficientNet.</w:t>
        </w:r>
        <w:r>
          <w:rPr>
            <w:webHidden/>
          </w:rPr>
          <w:fldChar w:fldCharType="begin"/>
        </w:r>
        <w:r>
          <w:rPr>
            <w:webHidden/>
          </w:rPr>
          <w:instrText xml:space="preserve">PAGEREF _Toc230629541 \h</w:instrText>
        </w:r>
        <w:r>
          <w:rPr>
            <w:webHidden/>
          </w:rPr>
          <w:fldChar w:fldCharType="separate"/>
        </w:r>
        <w:r>
          <w:rPr>
            <w:rStyle w:val="czeindeksu"/>
            <w:vanish w:val="false"/>
          </w:rPr>
          <w:tab/>
          <w:t>73</w:t>
        </w:r>
        <w:r>
          <w:rPr>
            <w:webHidden/>
          </w:rPr>
          <w:fldChar w:fldCharType="end"/>
        </w:r>
      </w:hyperlink>
      <w:r>
        <w:rPr>
          <w:rStyle w:val="czeindeksu"/>
          <w:vanish w:val="false"/>
        </w:rPr>
        <w:fldChar w:fldCharType="end"/>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Heading1"/>
        <w:numPr>
          <w:ilvl w:val="0"/>
          <w:numId w:val="2"/>
        </w:numPr>
        <w:ind w:hanging="851" w:start="851"/>
        <w:rPr/>
      </w:pPr>
      <w:bookmarkStart w:id="170" w:name="_Toc137420690"/>
      <w:bookmarkStart w:id="171" w:name="_Toc230629499"/>
      <w:r>
        <w:rPr/>
        <w:t>Spis tabel</w:t>
      </w:r>
      <w:bookmarkEnd w:id="170"/>
      <w:bookmarkEnd w:id="171"/>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r>
        <w:fldChar w:fldCharType="begin"/>
      </w:r>
      <w:r>
        <w:rPr>
          <w:rStyle w:val="czeindeksu"/>
        </w:rPr>
        <w:instrText xml:space="preserve"> TOC \c "Tabela" \h </w:instrText>
      </w:r>
      <w:r>
        <w:rPr>
          <w:rStyle w:val="czeindeksu"/>
        </w:rPr>
        <w:fldChar w:fldCharType="separate"/>
      </w:r>
      <w:hyperlink w:anchor="_Toc230629542">
        <w:r>
          <w:rPr>
            <w:rStyle w:val="czeindeksu"/>
          </w:rPr>
          <w:t>Tabela 1 Liczba próbek w zbiorze testowym dla poszczególnych klas</w:t>
        </w:r>
        <w:r>
          <w:rPr>
            <w:webHidden/>
          </w:rPr>
          <w:fldChar w:fldCharType="begin"/>
        </w:r>
        <w:r>
          <w:rPr>
            <w:webHidden/>
          </w:rPr>
          <w:instrText xml:space="preserve">PAGEREF _Toc230629542 \h</w:instrText>
        </w:r>
        <w:r>
          <w:rPr>
            <w:webHidden/>
          </w:rPr>
          <w:fldChar w:fldCharType="separate"/>
        </w:r>
        <w:r>
          <w:rPr>
            <w:rStyle w:val="czeindeksu"/>
            <w:vanish w:val="false"/>
          </w:rPr>
          <w:tab/>
          <w:t>32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43">
        <w:r>
          <w:rPr>
            <w:rStyle w:val="czeindeksu"/>
          </w:rPr>
          <w:t>Tabela 2 Klasy wraz z ilością zdjęć</w:t>
        </w:r>
        <w:r>
          <w:rPr>
            <w:webHidden/>
          </w:rPr>
          <w:fldChar w:fldCharType="begin"/>
        </w:r>
        <w:r>
          <w:rPr>
            <w:webHidden/>
          </w:rPr>
          <w:instrText xml:space="preserve">PAGEREF _Toc230629543 \h</w:instrText>
        </w:r>
        <w:r>
          <w:rPr>
            <w:webHidden/>
          </w:rPr>
          <w:fldChar w:fldCharType="separate"/>
        </w:r>
        <w:r>
          <w:rPr>
            <w:rStyle w:val="czeindeksu"/>
            <w:vanish w:val="false"/>
          </w:rPr>
          <w:tab/>
          <w:t>45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44">
        <w:r>
          <w:rPr>
            <w:rStyle w:val="czeindeksu"/>
          </w:rPr>
          <w:t>Tabela 3 Porównanie architektury i parametrów wybranych modeli sieci neuronowych po treningu.</w:t>
        </w:r>
        <w:r>
          <w:rPr>
            <w:webHidden/>
          </w:rPr>
          <w:fldChar w:fldCharType="begin"/>
        </w:r>
        <w:r>
          <w:rPr>
            <w:webHidden/>
          </w:rPr>
          <w:instrText xml:space="preserve">PAGEREF _Toc230629544 \h</w:instrText>
        </w:r>
        <w:r>
          <w:rPr>
            <w:webHidden/>
          </w:rPr>
          <w:fldChar w:fldCharType="separate"/>
        </w:r>
        <w:r>
          <w:rPr>
            <w:rStyle w:val="czeindeksu"/>
            <w:vanish w:val="false"/>
          </w:rPr>
          <w:tab/>
          <w:t>49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45">
        <w:r>
          <w:rPr>
            <w:rStyle w:val="czeindeksu"/>
          </w:rPr>
          <w:t>Tabela 4: Zestawienie wyników klasyfikacji i czasu treningu dla badanych modeli. Najlepszy wynik wyróżniono pogrubieniem.</w:t>
        </w:r>
        <w:r>
          <w:rPr>
            <w:webHidden/>
          </w:rPr>
          <w:fldChar w:fldCharType="begin"/>
        </w:r>
        <w:r>
          <w:rPr>
            <w:webHidden/>
          </w:rPr>
          <w:instrText xml:space="preserve">PAGEREF _Toc230629545 \h</w:instrText>
        </w:r>
        <w:r>
          <w:rPr>
            <w:webHidden/>
          </w:rPr>
          <w:fldChar w:fldCharType="separate"/>
        </w:r>
        <w:r>
          <w:rPr>
            <w:rStyle w:val="czeindeksu"/>
            <w:vanish w:val="false"/>
          </w:rPr>
          <w:tab/>
          <w:t>67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46">
        <w:r>
          <w:rPr>
            <w:rStyle w:val="czeindeksu"/>
          </w:rPr>
          <w:t>Tabela 5: Wyniki testu odporności na zakłócenia. Wartości dokładności na zbiorze testowym po zastosowaniu szumu i rozmycia gaussowskiego wraz ze zmianą względem wyniku bez zakłóceń.</w:t>
        </w:r>
        <w:r>
          <w:rPr>
            <w:webHidden/>
          </w:rPr>
          <w:fldChar w:fldCharType="begin"/>
        </w:r>
        <w:r>
          <w:rPr>
            <w:webHidden/>
          </w:rPr>
          <w:instrText xml:space="preserve">PAGEREF _Toc230629546 \h</w:instrText>
        </w:r>
        <w:r>
          <w:rPr>
            <w:webHidden/>
          </w:rPr>
          <w:fldChar w:fldCharType="separate"/>
        </w:r>
        <w:r>
          <w:rPr>
            <w:rStyle w:val="czeindeksu"/>
            <w:vanish w:val="false"/>
          </w:rPr>
          <w:tab/>
          <w:t>74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47">
        <w:r>
          <w:rPr>
            <w:rStyle w:val="czeindeksu"/>
          </w:rPr>
          <w:t>Tabela 6 Tabela średniego czasu analizy modeli (10 próbek) CPU 12th Gen Intel(R) Core(TM) i5-1250P</w:t>
        </w:r>
        <w:r>
          <w:rPr>
            <w:webHidden/>
          </w:rPr>
          <w:fldChar w:fldCharType="begin"/>
        </w:r>
        <w:r>
          <w:rPr>
            <w:webHidden/>
          </w:rPr>
          <w:instrText xml:space="preserve">PAGEREF _Toc230629547 \h</w:instrText>
        </w:r>
        <w:r>
          <w:rPr>
            <w:webHidden/>
          </w:rPr>
          <w:fldChar w:fldCharType="separate"/>
        </w:r>
        <w:r>
          <w:rPr>
            <w:rStyle w:val="czeindeksu"/>
            <w:vanish w:val="false"/>
          </w:rPr>
          <w:tab/>
          <w:t>76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48">
        <w:r>
          <w:rPr>
            <w:rStyle w:val="czeindeksu"/>
          </w:rPr>
          <w:t>Tabela 7 Tabela średniego czasu analizy modelów (10 próbek) GPU RTX 4060</w:t>
        </w:r>
        <w:r>
          <w:rPr>
            <w:webHidden/>
          </w:rPr>
          <w:fldChar w:fldCharType="begin"/>
        </w:r>
        <w:r>
          <w:rPr>
            <w:webHidden/>
          </w:rPr>
          <w:instrText xml:space="preserve">PAGEREF _Toc230629548 \h</w:instrText>
        </w:r>
        <w:r>
          <w:rPr>
            <w:webHidden/>
          </w:rPr>
          <w:fldChar w:fldCharType="separate"/>
        </w:r>
        <w:r>
          <w:rPr>
            <w:rStyle w:val="czeindeksu"/>
            <w:vanish w:val="false"/>
          </w:rPr>
          <w:tab/>
          <w:t>77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30629549">
        <w:r>
          <w:rPr>
            <w:rStyle w:val="czeindeksu"/>
          </w:rPr>
          <w:t>Tabela 8 Najlepsze kombinacje modeli dla poszczególnych grup zmian skórnych</w:t>
        </w:r>
        <w:r>
          <w:rPr>
            <w:webHidden/>
          </w:rPr>
          <w:fldChar w:fldCharType="begin"/>
        </w:r>
        <w:r>
          <w:rPr>
            <w:webHidden/>
          </w:rPr>
          <w:instrText xml:space="preserve">PAGEREF _Toc230629549 \h</w:instrText>
        </w:r>
        <w:r>
          <w:rPr>
            <w:webHidden/>
          </w:rPr>
          <w:fldChar w:fldCharType="separate"/>
        </w:r>
        <w:r>
          <w:rPr>
            <w:rStyle w:val="czeindeksu"/>
            <w:vanish w:val="false"/>
          </w:rPr>
          <w:tab/>
          <w:t>79</w:t>
        </w:r>
        <w:r>
          <w:rPr>
            <w:webHidden/>
          </w:rPr>
          <w:fldChar w:fldCharType="end"/>
        </w:r>
      </w:hyperlink>
      <w:r>
        <w:rPr>
          <w:rStyle w:val="czeindeksu"/>
          <w:vanish w:val="false"/>
        </w:rPr>
        <w:fldChar w:fldCharType="end"/>
      </w:r>
    </w:p>
    <w:p>
      <w:pPr>
        <w:pStyle w:val="TableofFigures"/>
        <w:tabs>
          <w:tab w:val="clear" w:pos="708"/>
          <w:tab w:val="right" w:pos="9062" w:leader="dot"/>
        </w:tabs>
        <w:spacing w:lineRule="auto" w:line="360"/>
        <w:rPr>
          <w:rFonts w:ascii="Times New Roman" w:hAnsi="Times New Roman"/>
        </w:rPr>
        <w:sectPr>
          <w:footerReference w:type="even" r:id="rId46"/>
          <w:footerReference w:type="default" r:id="rId47"/>
          <w:footerReference w:type="first" r:id="rId48"/>
          <w:type w:val="nextPage"/>
          <w:pgSz w:w="11906" w:h="16838"/>
          <w:pgMar w:left="1417" w:right="1417" w:gutter="0" w:header="0" w:top="1417" w:footer="708" w:bottom="1417"/>
          <w:pgNumType w:start="1" w:fmt="decimal"/>
          <w:formProt w:val="false"/>
          <w:titlePg/>
          <w:textDirection w:val="lrTb"/>
          <w:docGrid w:type="default" w:linePitch="360" w:charSpace="0"/>
        </w:sectPr>
      </w:pPr>
      <w:r>
        <w:rPr>
          <w:rFonts w:ascii="Times New Roman" w:hAnsi="Times New Roman"/>
        </w:rPr>
      </w:r>
    </w:p>
    <w:p>
      <w:pPr>
        <w:pStyle w:val="Normal"/>
        <w:spacing w:lineRule="auto" w:line="259" w:before="0" w:after="160"/>
        <w:ind w:hanging="0"/>
        <w:jc w:val="start"/>
        <w:rPr/>
      </w:pPr>
      <w:r>
        <w:rPr/>
      </w:r>
    </w:p>
    <w:sectPr>
      <w:footerReference w:type="default" r:id="rId49"/>
      <w:footerReference w:type="first" r:id="rId50"/>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ahoma">
    <w:charset w:val="ee" w:characterSet="windows-1250"/>
    <w:family w:val="swiss"/>
    <w:pitch w:val="variable"/>
  </w:font>
  <w:font w:name="Courier New">
    <w:charset w:val="ee" w:characterSet="windows-1250"/>
    <w:family w:val="roman"/>
    <w:pitch w:val="variable"/>
  </w:font>
  <w:font w:name="Liberation Sans">
    <w:altName w:val="Arial"/>
    <w:charset w:val="ee" w:characterSet="windows-1250"/>
    <w:family w:val="swiss"/>
    <w:pitch w:val="variable"/>
  </w:font>
  <w:font w:name="Calibri Light">
    <w:charset w:val="ee" w:characterSet="windows-1250"/>
    <w:family w:val="roman"/>
    <w:pitch w:val="variable"/>
  </w:font>
  <w:font w:name="Calibri">
    <w:charset w:val="ee" w:characterSet="windows-1250"/>
    <w:family w:val="swiss"/>
    <w:pitch w:val="variable"/>
  </w:font>
  <w:font w:name="Cambria Math">
    <w:charset w:val="ee" w:characterSet="windows-1250"/>
    <w:family w:val="roman"/>
    <w:pitch w:val="variable"/>
  </w:font>
  <w:font w:name="Google Sans Text">
    <w:charset w:val="ee" w:characterSet="windows-125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67</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88</w:t>
        </w:r>
        <w:r>
          <w:rPr/>
          <w:fldChar w:fldCharType="end"/>
        </w:r>
      </w:p>
    </w:sdtContent>
  </w:sdt>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0"/>
        </w:tabs>
        <w:ind w:start="502" w:hanging="360"/>
      </w:pPr>
      <w:rPr/>
    </w:lvl>
    <w:lvl w:ilvl="1">
      <w:start w:val="1"/>
      <w:numFmt w:val="decimal"/>
      <w:isLgl/>
      <w:lvlText w:val="%2."/>
      <w:lvlJc w:val="start"/>
      <w:pPr>
        <w:tabs>
          <w:tab w:val="num" w:pos="0"/>
        </w:tabs>
        <w:ind w:start="1459" w:hanging="390"/>
      </w:pPr>
      <w:rPr>
        <w:rFonts w:ascii="Times New Roman" w:hAnsi="Times New Roman" w:eastAsia="Calibri" w:cs="Arial" w:cstheme="minorBidi" w:eastAsiaTheme="minorHAnsi"/>
      </w:rPr>
    </w:lvl>
    <w:lvl w:ilvl="2">
      <w:start w:val="1"/>
      <w:numFmt w:val="decimal"/>
      <w:isLgl/>
      <w:lvlText w:val="%1.%2.%3"/>
      <w:lvlJc w:val="start"/>
      <w:pPr>
        <w:tabs>
          <w:tab w:val="num" w:pos="0"/>
        </w:tabs>
        <w:ind w:start="1789" w:hanging="720"/>
      </w:pPr>
      <w:rPr/>
    </w:lvl>
    <w:lvl w:ilvl="3">
      <w:start w:val="1"/>
      <w:numFmt w:val="decimal"/>
      <w:isLgl/>
      <w:lvlText w:val="%1.%2.%3.%4"/>
      <w:lvlJc w:val="start"/>
      <w:pPr>
        <w:tabs>
          <w:tab w:val="num" w:pos="0"/>
        </w:tabs>
        <w:ind w:start="1789" w:hanging="720"/>
      </w:pPr>
      <w:rPr/>
    </w:lvl>
    <w:lvl w:ilvl="4">
      <w:start w:val="1"/>
      <w:numFmt w:val="decimal"/>
      <w:isLgl/>
      <w:lvlText w:val="%1.%2.%3.%4.%5"/>
      <w:lvlJc w:val="start"/>
      <w:pPr>
        <w:tabs>
          <w:tab w:val="num" w:pos="0"/>
        </w:tabs>
        <w:ind w:start="2149" w:hanging="1080"/>
      </w:pPr>
      <w:rPr/>
    </w:lvl>
    <w:lvl w:ilvl="5">
      <w:start w:val="1"/>
      <w:numFmt w:val="decimal"/>
      <w:isLgl/>
      <w:lvlText w:val="%1.%2.%3.%4.%5.%6"/>
      <w:lvlJc w:val="start"/>
      <w:pPr>
        <w:tabs>
          <w:tab w:val="num" w:pos="0"/>
        </w:tabs>
        <w:ind w:start="2149" w:hanging="1080"/>
      </w:pPr>
      <w:rPr/>
    </w:lvl>
    <w:lvl w:ilvl="6">
      <w:start w:val="1"/>
      <w:numFmt w:val="decimal"/>
      <w:isLgl/>
      <w:lvlText w:val="%1.%2.%3.%4.%5.%6.%7"/>
      <w:lvlJc w:val="start"/>
      <w:pPr>
        <w:tabs>
          <w:tab w:val="num" w:pos="0"/>
        </w:tabs>
        <w:ind w:start="2509" w:hanging="1440"/>
      </w:pPr>
      <w:rPr/>
    </w:lvl>
    <w:lvl w:ilvl="7">
      <w:start w:val="1"/>
      <w:numFmt w:val="decimal"/>
      <w:isLgl/>
      <w:lvlText w:val="%1.%2.%3.%4.%5.%6.%7.%8"/>
      <w:lvlJc w:val="start"/>
      <w:pPr>
        <w:tabs>
          <w:tab w:val="num" w:pos="0"/>
        </w:tabs>
        <w:ind w:start="2509" w:hanging="1440"/>
      </w:pPr>
      <w:rPr/>
    </w:lvl>
    <w:lvl w:ilvl="8">
      <w:start w:val="1"/>
      <w:numFmt w:val="decimal"/>
      <w:isLgl/>
      <w:lvlText w:val="%1.%2.%3.%4.%5.%6.%7.%8.%9"/>
      <w:lvlJc w:val="start"/>
      <w:pPr>
        <w:tabs>
          <w:tab w:val="num" w:pos="0"/>
        </w:tabs>
        <w:ind w:start="2869" w:hanging="1800"/>
      </w:pPr>
      <w:rPr/>
    </w:lvl>
  </w:abstractNum>
  <w:abstractNum w:abstractNumId="3">
    <w:lvl w:ilvl="0">
      <w:start w:val="2"/>
      <w:numFmt w:val="decimal"/>
      <w:lvlText w:val="%1."/>
      <w:lvlJc w:val="start"/>
      <w:pPr>
        <w:tabs>
          <w:tab w:val="num" w:pos="0"/>
        </w:tabs>
        <w:ind w:start="540" w:hanging="540"/>
      </w:pPr>
      <w:rPr/>
    </w:lvl>
    <w:lvl w:ilvl="1">
      <w:start w:val="1"/>
      <w:numFmt w:val="decimal"/>
      <w:lvlText w:val="%1.%2."/>
      <w:lvlJc w:val="start"/>
      <w:pPr>
        <w:tabs>
          <w:tab w:val="num" w:pos="0"/>
        </w:tabs>
        <w:ind w:start="1571" w:hanging="720"/>
      </w:pPr>
      <w:rPr/>
    </w:lvl>
    <w:lvl w:ilvl="2">
      <w:start w:val="1"/>
      <w:numFmt w:val="decimal"/>
      <w:lvlText w:val="%1.%2.%3."/>
      <w:lvlJc w:val="start"/>
      <w:pPr>
        <w:tabs>
          <w:tab w:val="num" w:pos="0"/>
        </w:tabs>
        <w:ind w:start="1222" w:hanging="108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2160" w:hanging="216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4">
    <w:lvl w:ilvl="0">
      <w:start w:val="1"/>
      <w:numFmt w:val="decimal"/>
      <w:lvlText w:val="%1."/>
      <w:lvlJc w:val="start"/>
      <w:pPr>
        <w:tabs>
          <w:tab w:val="num" w:pos="0"/>
        </w:tabs>
        <w:ind w:start="1287" w:hanging="360"/>
      </w:pPr>
      <w:rPr/>
    </w:lvl>
    <w:lvl w:ilvl="1">
      <w:start w:val="1"/>
      <w:numFmt w:val="lowerLetter"/>
      <w:lvlText w:val="%2."/>
      <w:lvlJc w:val="start"/>
      <w:pPr>
        <w:tabs>
          <w:tab w:val="num" w:pos="0"/>
        </w:tabs>
        <w:ind w:start="2007" w:hanging="360"/>
      </w:pPr>
      <w:rPr/>
    </w:lvl>
    <w:lvl w:ilvl="2">
      <w:start w:val="1"/>
      <w:numFmt w:val="lowerRoman"/>
      <w:lvlText w:val="%3."/>
      <w:lvlJc w:val="end"/>
      <w:pPr>
        <w:tabs>
          <w:tab w:val="num" w:pos="0"/>
        </w:tabs>
        <w:ind w:start="2727" w:hanging="180"/>
      </w:pPr>
      <w:rPr/>
    </w:lvl>
    <w:lvl w:ilvl="3">
      <w:start w:val="1"/>
      <w:numFmt w:val="decimal"/>
      <w:lvlText w:val="%4."/>
      <w:lvlJc w:val="start"/>
      <w:pPr>
        <w:tabs>
          <w:tab w:val="num" w:pos="0"/>
        </w:tabs>
        <w:ind w:start="3447" w:hanging="360"/>
      </w:pPr>
      <w:rPr/>
    </w:lvl>
    <w:lvl w:ilvl="4">
      <w:start w:val="1"/>
      <w:numFmt w:val="lowerLetter"/>
      <w:lvlText w:val="%5."/>
      <w:lvlJc w:val="start"/>
      <w:pPr>
        <w:tabs>
          <w:tab w:val="num" w:pos="0"/>
        </w:tabs>
        <w:ind w:start="4167" w:hanging="360"/>
      </w:pPr>
      <w:rPr/>
    </w:lvl>
    <w:lvl w:ilvl="5">
      <w:start w:val="1"/>
      <w:numFmt w:val="lowerRoman"/>
      <w:lvlText w:val="%6."/>
      <w:lvlJc w:val="end"/>
      <w:pPr>
        <w:tabs>
          <w:tab w:val="num" w:pos="0"/>
        </w:tabs>
        <w:ind w:start="4887" w:hanging="180"/>
      </w:pPr>
      <w:rPr/>
    </w:lvl>
    <w:lvl w:ilvl="6">
      <w:start w:val="1"/>
      <w:numFmt w:val="decimal"/>
      <w:lvlText w:val="%7."/>
      <w:lvlJc w:val="start"/>
      <w:pPr>
        <w:tabs>
          <w:tab w:val="num" w:pos="0"/>
        </w:tabs>
        <w:ind w:start="5607" w:hanging="360"/>
      </w:pPr>
      <w:rPr/>
    </w:lvl>
    <w:lvl w:ilvl="7">
      <w:start w:val="1"/>
      <w:numFmt w:val="lowerLetter"/>
      <w:lvlText w:val="%8."/>
      <w:lvlJc w:val="start"/>
      <w:pPr>
        <w:tabs>
          <w:tab w:val="num" w:pos="0"/>
        </w:tabs>
        <w:ind w:start="6327" w:hanging="360"/>
      </w:pPr>
      <w:rPr/>
    </w:lvl>
    <w:lvl w:ilvl="8">
      <w:start w:val="1"/>
      <w:numFmt w:val="lowerRoman"/>
      <w:lvlText w:val="%9."/>
      <w:lvlJc w:val="end"/>
      <w:pPr>
        <w:tabs>
          <w:tab w:val="num" w:pos="0"/>
        </w:tabs>
        <w:ind w:start="7047" w:hanging="180"/>
      </w:pPr>
      <w:rPr/>
    </w:lvl>
  </w:abstractNum>
  <w:abstractNum w:abstractNumId="5">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72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2160" w:hanging="1800"/>
      </w:pPr>
      <w:rPr/>
    </w:lvl>
    <w:lvl w:ilvl="7">
      <w:start w:val="1"/>
      <w:numFmt w:val="decimal"/>
      <w:isLgl/>
      <w:lvlText w:val="%1.%2.%3.%4.%5.%6.%7.%8"/>
      <w:lvlJc w:val="start"/>
      <w:pPr>
        <w:tabs>
          <w:tab w:val="num" w:pos="0"/>
        </w:tabs>
        <w:ind w:start="2520" w:hanging="2160"/>
      </w:pPr>
      <w:rPr/>
    </w:lvl>
    <w:lvl w:ilvl="8">
      <w:start w:val="1"/>
      <w:numFmt w:val="decimal"/>
      <w:isLgl/>
      <w:lvlText w:val="%1.%2.%3.%4.%5.%6.%7.%8.%9"/>
      <w:lvlJc w:val="start"/>
      <w:pPr>
        <w:tabs>
          <w:tab w:val="num" w:pos="0"/>
        </w:tabs>
        <w:ind w:start="2520" w:hanging="2160"/>
      </w:pPr>
      <w:rPr/>
    </w:lvl>
  </w:abstractNum>
  <w:abstractNum w:abstractNumId="6">
    <w:lvl w:ilvl="0">
      <w:start w:val="1"/>
      <w:numFmt w:val="decimal"/>
      <w:lvlText w:val="%1."/>
      <w:lvlJc w:val="start"/>
      <w:pPr>
        <w:tabs>
          <w:tab w:val="num" w:pos="0"/>
        </w:tabs>
        <w:ind w:start="360" w:hanging="360"/>
      </w:pPr>
      <w:rPr>
        <w:sz w:val="36"/>
      </w:rPr>
    </w:lvl>
    <w:lvl w:ilvl="1">
      <w:start w:val="1"/>
      <w:numFmt w:val="decimal"/>
      <w:lvlText w:val="%1.%2."/>
      <w:lvlJc w:val="start"/>
      <w:pPr>
        <w:tabs>
          <w:tab w:val="num" w:pos="0"/>
        </w:tabs>
        <w:ind w:start="1069" w:hanging="360"/>
      </w:pPr>
      <w:rPr>
        <w:sz w:val="32"/>
        <w:szCs w:val="32"/>
      </w:rPr>
    </w:lvl>
    <w:lvl w:ilvl="2">
      <w:start w:val="1"/>
      <w:numFmt w:val="decimal"/>
      <w:lvlText w:val="%1.%2.%3."/>
      <w:lvlJc w:val="start"/>
      <w:pPr>
        <w:tabs>
          <w:tab w:val="num" w:pos="0"/>
        </w:tabs>
        <w:ind w:start="2138" w:hanging="720"/>
      </w:pPr>
      <w:rPr>
        <w:sz w:val="28"/>
        <w:szCs w:val="28"/>
      </w:rPr>
    </w:lvl>
    <w:lvl w:ilvl="3">
      <w:start w:val="1"/>
      <w:numFmt w:val="decimal"/>
      <w:lvlText w:val="%1.%2.%3.%4."/>
      <w:lvlJc w:val="start"/>
      <w:pPr>
        <w:tabs>
          <w:tab w:val="num" w:pos="0"/>
        </w:tabs>
        <w:ind w:start="2847" w:hanging="720"/>
      </w:pPr>
      <w:rPr/>
    </w:lvl>
    <w:lvl w:ilvl="4">
      <w:start w:val="1"/>
      <w:numFmt w:val="decimal"/>
      <w:lvlText w:val="%1.%2.%3.%4.%5."/>
      <w:lvlJc w:val="start"/>
      <w:pPr>
        <w:tabs>
          <w:tab w:val="num" w:pos="0"/>
        </w:tabs>
        <w:ind w:start="3916" w:hanging="1080"/>
      </w:pPr>
      <w:rPr/>
    </w:lvl>
    <w:lvl w:ilvl="5">
      <w:start w:val="1"/>
      <w:numFmt w:val="decimal"/>
      <w:lvlText w:val="%1.%2.%3.%4.%5.%6."/>
      <w:lvlJc w:val="start"/>
      <w:pPr>
        <w:tabs>
          <w:tab w:val="num" w:pos="0"/>
        </w:tabs>
        <w:ind w:start="4625" w:hanging="1080"/>
      </w:pPr>
      <w:rPr/>
    </w:lvl>
    <w:lvl w:ilvl="6">
      <w:start w:val="1"/>
      <w:numFmt w:val="decimal"/>
      <w:lvlText w:val="%1.%2.%3.%4.%5.%6.%7."/>
      <w:lvlJc w:val="start"/>
      <w:pPr>
        <w:tabs>
          <w:tab w:val="num" w:pos="0"/>
        </w:tabs>
        <w:ind w:start="5694" w:hanging="1440"/>
      </w:pPr>
      <w:rPr/>
    </w:lvl>
    <w:lvl w:ilvl="7">
      <w:start w:val="1"/>
      <w:numFmt w:val="decimal"/>
      <w:lvlText w:val="%1.%2.%3.%4.%5.%6.%7.%8."/>
      <w:lvlJc w:val="start"/>
      <w:pPr>
        <w:tabs>
          <w:tab w:val="num" w:pos="0"/>
        </w:tabs>
        <w:ind w:start="6403" w:hanging="1440"/>
      </w:pPr>
      <w:rPr/>
    </w:lvl>
    <w:lvl w:ilvl="8">
      <w:start w:val="1"/>
      <w:numFmt w:val="decimal"/>
      <w:lvlText w:val="%1.%2.%3.%4.%5.%6.%7.%8.%9."/>
      <w:lvlJc w:val="start"/>
      <w:pPr>
        <w:tabs>
          <w:tab w:val="num" w:pos="0"/>
        </w:tabs>
        <w:ind w:start="7472" w:hanging="1800"/>
      </w:pPr>
      <w:rPr/>
    </w:lvl>
  </w:abstractNum>
  <w:abstractNum w:abstractNumId="7">
    <w:lvl w:ilvl="0">
      <w:start w:val="1"/>
      <w:numFmt w:val="decimal"/>
      <w:lvlText w:val="%1"/>
      <w:lvlJc w:val="start"/>
      <w:pPr>
        <w:tabs>
          <w:tab w:val="num" w:pos="0"/>
        </w:tabs>
        <w:ind w:start="450" w:hanging="45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8">
    <w:lvl w:ilvl="0">
      <w:start w:val="3"/>
      <w:numFmt w:val="decimal"/>
      <w:lvlText w:val="%1"/>
      <w:lvlJc w:val="start"/>
      <w:pPr>
        <w:tabs>
          <w:tab w:val="num" w:pos="0"/>
        </w:tabs>
        <w:ind w:start="456" w:hanging="456"/>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9">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0">
    <w:lvl w:ilvl="0">
      <w:start w:val="1"/>
      <w:numFmt w:val="decimal"/>
      <w:lvlText w:val="%1"/>
      <w:lvlJc w:val="start"/>
      <w:pPr>
        <w:tabs>
          <w:tab w:val="num" w:pos="0"/>
        </w:tabs>
        <w:ind w:start="732" w:hanging="732"/>
      </w:pPr>
      <w:rPr/>
    </w:lvl>
    <w:lvl w:ilvl="1">
      <w:start w:val="1"/>
      <w:numFmt w:val="decimal"/>
      <w:lvlText w:val="%1.%2"/>
      <w:lvlJc w:val="start"/>
      <w:pPr>
        <w:tabs>
          <w:tab w:val="num" w:pos="0"/>
        </w:tabs>
        <w:ind w:start="732" w:hanging="732"/>
      </w:pPr>
      <w:rPr/>
    </w:lvl>
    <w:lvl w:ilvl="2">
      <w:start w:val="2"/>
      <w:numFmt w:val="decimal"/>
      <w:lvlText w:val="%1.%2.%3"/>
      <w:lvlJc w:val="start"/>
      <w:pPr>
        <w:tabs>
          <w:tab w:val="num" w:pos="0"/>
        </w:tabs>
        <w:ind w:start="732" w:hanging="732"/>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11">
    <w:lvl w:ilvl="0">
      <w:start w:val="1"/>
      <w:numFmt w:val="decimal"/>
      <w:lvlText w:val="%1"/>
      <w:lvlJc w:val="start"/>
      <w:pPr>
        <w:tabs>
          <w:tab w:val="num" w:pos="0"/>
        </w:tabs>
        <w:ind w:start="672" w:hanging="672"/>
      </w:pPr>
      <w:rPr/>
    </w:lvl>
    <w:lvl w:ilvl="1">
      <w:start w:val="2"/>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160" w:hanging="2160"/>
      </w:pPr>
      <w:rPr/>
    </w:lvl>
  </w:abstractNum>
  <w:abstractNum w:abstractNumId="12">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6">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4"/>
      <w:numFmt w:val="decimal"/>
      <w:lvlText w:val="%1"/>
      <w:lvlJc w:val="start"/>
      <w:pPr>
        <w:tabs>
          <w:tab w:val="num" w:pos="0"/>
        </w:tabs>
        <w:ind w:start="456" w:hanging="456"/>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130f"/>
    <w:pPr>
      <w:widowControl/>
      <w:suppressAutoHyphens w:val="false"/>
      <w:bidi w:val="0"/>
      <w:spacing w:lineRule="auto" w:line="36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Heading1">
    <w:name w:val="heading 1"/>
    <w:basedOn w:val="Normal"/>
    <w:next w:val="Normal"/>
    <w:link w:val="Nagwek1Znak"/>
    <w:uiPriority w:val="9"/>
    <w:qFormat/>
    <w:rsid w:val="00547614"/>
    <w:pPr>
      <w:keepNext w:val="true"/>
      <w:keepLines/>
      <w:numPr>
        <w:ilvl w:val="0"/>
        <w:numId w:val="2"/>
      </w:numPr>
      <w:tabs>
        <w:tab w:val="clear" w:pos="708"/>
        <w:tab w:val="left" w:pos="3600" w:leader="none"/>
      </w:tabs>
      <w:spacing w:lineRule="auto" w:line="300" w:before="1440" w:after="840"/>
      <w:ind w:hanging="851" w:start="851"/>
      <w:jc w:val="start"/>
      <w:outlineLvl w:val="0"/>
    </w:pPr>
    <w:rPr>
      <w:rFonts w:eastAsia="游ゴシック Light" w:cs="Times New Roman" w:cstheme="majorBidi" w:eastAsiaTheme="majorEastAsia"/>
      <w:b/>
      <w:sz w:val="48"/>
      <w:szCs w:val="32"/>
    </w:rPr>
  </w:style>
  <w:style w:type="paragraph" w:styleId="Heading2">
    <w:name w:val="heading 2"/>
    <w:basedOn w:val="Normal"/>
    <w:next w:val="Normal"/>
    <w:link w:val="Nagwek2Znak"/>
    <w:uiPriority w:val="9"/>
    <w:unhideWhenUsed/>
    <w:qFormat/>
    <w:rsid w:val="00615bed"/>
    <w:pPr>
      <w:keepNext w:val="true"/>
      <w:keepLines/>
      <w:numPr>
        <w:ilvl w:val="1"/>
        <w:numId w:val="3"/>
      </w:numPr>
      <w:spacing w:before="600" w:after="240"/>
      <w:jc w:val="start"/>
      <w:outlineLvl w:val="1"/>
    </w:pPr>
    <w:rPr>
      <w:rFonts w:eastAsia="游ゴシック Light" w:cs="Times New Roman" w:cstheme="majorBidi" w:eastAsiaTheme="majorEastAsia"/>
      <w:b/>
      <w:sz w:val="36"/>
      <w:szCs w:val="26"/>
    </w:rPr>
  </w:style>
  <w:style w:type="paragraph" w:styleId="Heading3">
    <w:name w:val="heading 3"/>
    <w:basedOn w:val="Normal"/>
    <w:next w:val="Normal"/>
    <w:link w:val="Nagwek3Znak"/>
    <w:uiPriority w:val="9"/>
    <w:unhideWhenUsed/>
    <w:qFormat/>
    <w:rsid w:val="00615bed"/>
    <w:pPr>
      <w:keepNext w:val="true"/>
      <w:keepLines/>
      <w:numPr>
        <w:ilvl w:val="2"/>
        <w:numId w:val="3"/>
      </w:numPr>
      <w:spacing w:before="360" w:after="0"/>
      <w:outlineLvl w:val="2"/>
    </w:pPr>
    <w:rPr>
      <w:rFonts w:eastAsia="游ゴシック Light" w:cs="Times New Roman" w:cstheme="majorBidi" w:eastAsiaTheme="majorEastAsia"/>
      <w:b/>
      <w:sz w:val="32"/>
      <w:szCs w:val="24"/>
    </w:rPr>
  </w:style>
  <w:style w:type="paragraph" w:styleId="Heading4">
    <w:name w:val="heading 4"/>
    <w:basedOn w:val="Normal"/>
    <w:next w:val="Normal"/>
    <w:link w:val="Nagwek4Znak"/>
    <w:uiPriority w:val="9"/>
    <w:unhideWhenUsed/>
    <w:qFormat/>
    <w:rsid w:val="00a0758f"/>
    <w:pPr>
      <w:keepNext w:val="true"/>
      <w:keepLines/>
      <w:spacing w:before="240" w:after="0"/>
      <w:ind w:hanging="0"/>
      <w:jc w:val="start"/>
      <w:outlineLvl w:val="3"/>
    </w:pPr>
    <w:rPr>
      <w:rFonts w:eastAsia="游ゴシック Light" w:cs="Times New Roman" w:cstheme="majorBidi" w:eastAsiaTheme="majorEastAsia"/>
      <w:b/>
      <w:iCs/>
      <w:sz w:val="28"/>
    </w:rPr>
  </w:style>
  <w:style w:type="paragraph" w:styleId="Heading5">
    <w:name w:val="heading 5"/>
    <w:basedOn w:val="Normal"/>
    <w:next w:val="Normal"/>
    <w:link w:val="Nagwek5Znak"/>
    <w:uiPriority w:val="9"/>
    <w:unhideWhenUsed/>
    <w:qFormat/>
    <w:rsid w:val="00a51bdd"/>
    <w:pPr>
      <w:keepNext w:val="true"/>
      <w:keepLines/>
      <w:spacing w:before="120" w:after="0"/>
      <w:ind w:hanging="0"/>
      <w:outlineLvl w:val="4"/>
    </w:pPr>
    <w:rPr>
      <w:rFonts w:eastAsia="游ゴシック Light" w:cs="Times New Roman" w:cstheme="majorBidi" w:eastAsiaTheme="majorEastAsia"/>
      <w:b/>
    </w:rPr>
  </w:style>
  <w:style w:type="character" w:styleId="DefaultParagraphFont" w:default="1">
    <w:name w:val="Default Paragraph Font"/>
    <w:uiPriority w:val="1"/>
    <w:unhideWhenUsed/>
    <w:qFormat/>
    <w:rPr/>
  </w:style>
  <w:style w:type="character" w:styleId="Nagwek1Znak" w:customStyle="1">
    <w:name w:val="Nagłówek 1 Znak"/>
    <w:basedOn w:val="DefaultParagraphFont"/>
    <w:uiPriority w:val="9"/>
    <w:qFormat/>
    <w:rsid w:val="00547614"/>
    <w:rPr>
      <w:rFonts w:ascii="Times New Roman" w:hAnsi="Times New Roman" w:eastAsia="游ゴシック Light" w:cs="Times New Roman" w:cstheme="majorBidi" w:eastAsiaTheme="majorEastAsia"/>
      <w:b/>
      <w:color w:themeColor="text1" w:val="000000"/>
      <w:sz w:val="48"/>
      <w:szCs w:val="32"/>
    </w:rPr>
  </w:style>
  <w:style w:type="character" w:styleId="Hyperlink">
    <w:name w:val="Hyperlink"/>
    <w:basedOn w:val="DefaultParagraphFont"/>
    <w:uiPriority w:val="99"/>
    <w:unhideWhenUsed/>
    <w:rsid w:val="000f097c"/>
    <w:rPr>
      <w:color w:val="0000FF"/>
      <w:u w:val="single"/>
    </w:rPr>
  </w:style>
  <w:style w:type="character" w:styleId="Emphasis">
    <w:name w:val="Emphasis"/>
    <w:basedOn w:val="DefaultParagraphFont"/>
    <w:uiPriority w:val="20"/>
    <w:qFormat/>
    <w:rsid w:val="000f097c"/>
    <w:rPr>
      <w:i/>
      <w:iCs/>
    </w:rPr>
  </w:style>
  <w:style w:type="character" w:styleId="Nagwek3Znak" w:customStyle="1">
    <w:name w:val="Nagłówek 3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2"/>
      <w:szCs w:val="24"/>
    </w:rPr>
  </w:style>
  <w:style w:type="character" w:styleId="Strong">
    <w:name w:val="Strong"/>
    <w:basedOn w:val="DefaultParagraphFont"/>
    <w:uiPriority w:val="22"/>
    <w:qFormat/>
    <w:rsid w:val="0065368e"/>
    <w:rPr>
      <w:b/>
      <w:bCs/>
    </w:rPr>
  </w:style>
  <w:style w:type="character" w:styleId="Nagwek4Znak" w:customStyle="1">
    <w:name w:val="Nagłówek 4 Znak"/>
    <w:basedOn w:val="DefaultParagraphFont"/>
    <w:uiPriority w:val="9"/>
    <w:qFormat/>
    <w:rsid w:val="00a0758f"/>
    <w:rPr>
      <w:rFonts w:ascii="Times New Roman" w:hAnsi="Times New Roman" w:eastAsia="游ゴシック Light" w:cs="Times New Roman" w:cstheme="majorBidi" w:eastAsiaTheme="majorEastAsia"/>
      <w:b/>
      <w:iCs/>
      <w:color w:themeColor="text1" w:val="000000"/>
      <w:sz w:val="28"/>
    </w:rPr>
  </w:style>
  <w:style w:type="character" w:styleId="Nagwek5Znak" w:customStyle="1">
    <w:name w:val="Nagłówek 5 Znak"/>
    <w:basedOn w:val="DefaultParagraphFont"/>
    <w:uiPriority w:val="9"/>
    <w:qFormat/>
    <w:rsid w:val="00a51bdd"/>
    <w:rPr>
      <w:rFonts w:ascii="Times New Roman" w:hAnsi="Times New Roman" w:eastAsia="游ゴシック Light" w:cs="Times New Roman" w:cstheme="majorBidi" w:eastAsiaTheme="majorEastAsia"/>
      <w:b/>
      <w:color w:themeColor="text1" w:val="000000"/>
      <w:sz w:val="24"/>
    </w:rPr>
  </w:style>
  <w:style w:type="character" w:styleId="Nagwek2Znak" w:customStyle="1">
    <w:name w:val="Nagłówek 2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6"/>
      <w:szCs w:val="26"/>
    </w:rPr>
  </w:style>
  <w:style w:type="character" w:styleId="TreZnak" w:customStyle="1">
    <w:name w:val="Treść Znak"/>
    <w:basedOn w:val="DefaultParagraphFont"/>
    <w:link w:val="Tre"/>
    <w:qFormat/>
    <w:rsid w:val="160a67ac"/>
    <w:rPr>
      <w:rFonts w:ascii="Times New Roman" w:hAnsi="Times New Roman" w:eastAsia="Calibri" w:cs="Times New Roman"/>
      <w:sz w:val="24"/>
      <w:szCs w:val="24"/>
      <w:lang w:val="pl-PL" w:eastAsia="en-US" w:bidi="ar-SA"/>
    </w:rPr>
  </w:style>
  <w:style w:type="character" w:styleId="WypunktowanieZnak" w:customStyle="1">
    <w:name w:val="Wypunktowanie Znak"/>
    <w:basedOn w:val="DefaultParagraphFont"/>
    <w:link w:val="Wypunktowanie"/>
    <w:qFormat/>
    <w:rsid w:val="160a67ac"/>
    <w:rPr>
      <w:rFonts w:ascii="Times New Roman" w:hAnsi="Times New Roman" w:eastAsia="Calibri" w:cs="Times New Roman"/>
      <w:color w:themeColor="text1" w:val="000000"/>
      <w:sz w:val="24"/>
    </w:rPr>
  </w:style>
  <w:style w:type="character" w:styleId="TekstkomentarzaZnak" w:customStyle="1">
    <w:name w:val="Tekst komentarza Znak"/>
    <w:basedOn w:val="DefaultParagraphFont"/>
    <w:link w:val="CommentText"/>
    <w:uiPriority w:val="99"/>
    <w:semiHidden/>
    <w:qFormat/>
    <w:rPr>
      <w:rFonts w:ascii="Times New Roman" w:hAnsi="Times New Roman"/>
      <w:color w:themeColor="text1" w:val="000000"/>
      <w:sz w:val="20"/>
      <w:szCs w:val="20"/>
    </w:rPr>
  </w:style>
  <w:style w:type="character" w:styleId="CommentReference">
    <w:name w:val="annotation reference"/>
    <w:basedOn w:val="DefaultParagraphFont"/>
    <w:uiPriority w:val="99"/>
    <w:semiHidden/>
    <w:unhideWhenUsed/>
    <w:qFormat/>
    <w:rPr>
      <w:sz w:val="16"/>
      <w:szCs w:val="16"/>
    </w:rPr>
  </w:style>
  <w:style w:type="character" w:styleId="TekstdymkaZnak" w:customStyle="1">
    <w:name w:val="Tekst dymka Znak"/>
    <w:basedOn w:val="DefaultParagraphFont"/>
    <w:link w:val="BalloonText"/>
    <w:uiPriority w:val="99"/>
    <w:semiHidden/>
    <w:qFormat/>
    <w:rsid w:val="00065159"/>
    <w:rPr>
      <w:rFonts w:ascii="Tahoma" w:hAnsi="Tahoma" w:cs="Tahoma"/>
      <w:color w:themeColor="text1" w:val="000000"/>
      <w:sz w:val="16"/>
      <w:szCs w:val="16"/>
    </w:rPr>
  </w:style>
  <w:style w:type="character" w:styleId="ObrazZnak" w:customStyle="1">
    <w:name w:val="Obraz Znak"/>
    <w:basedOn w:val="TreZnak"/>
    <w:link w:val="Obraz"/>
    <w:qFormat/>
    <w:rsid w:val="00a418f1"/>
    <w:rPr>
      <w:rFonts w:ascii="Times New Roman" w:hAnsi="Times New Roman" w:eastAsia="Calibri" w:cs="Times New Roman"/>
      <w:kern w:val="0"/>
      <w:sz w:val="24"/>
      <w:szCs w:val="24"/>
      <w:lang w:val="pl-PL" w:eastAsia="en-US" w:bidi="ar-SA"/>
      <w14:ligatures w14:val="none"/>
    </w:rPr>
  </w:style>
  <w:style w:type="character" w:styleId="LegendaZnak" w:customStyle="1">
    <w:name w:val="Legenda Znak"/>
    <w:basedOn w:val="DefaultParagraphFont"/>
    <w:uiPriority w:val="35"/>
    <w:qFormat/>
    <w:rsid w:val="00033f0b"/>
    <w:rPr>
      <w:rFonts w:ascii="Times New Roman" w:hAnsi="Times New Roman" w:eastAsia="Calibri" w:cs="Times New Roman"/>
      <w:kern w:val="0"/>
      <w:szCs w:val="24"/>
      <w14:ligatures w14:val="none"/>
    </w:rPr>
  </w:style>
  <w:style w:type="character" w:styleId="TematkomentarzaZnak" w:customStyle="1">
    <w:name w:val="Temat komentarza Znak"/>
    <w:basedOn w:val="TekstkomentarzaZnak"/>
    <w:link w:val="annotationsubject"/>
    <w:uiPriority w:val="99"/>
    <w:semiHidden/>
    <w:qFormat/>
    <w:rsid w:val="00a418f1"/>
    <w:rPr>
      <w:rFonts w:ascii="Times New Roman" w:hAnsi="Times New Roman"/>
      <w:b/>
      <w:bCs/>
      <w:color w:themeColor="text1" w:val="000000"/>
      <w:sz w:val="20"/>
      <w:szCs w:val="20"/>
    </w:rPr>
  </w:style>
  <w:style w:type="character" w:styleId="TabelaLegendaZnak" w:customStyle="1">
    <w:name w:val="Tabela Legenda Znak"/>
    <w:basedOn w:val="LegendaZnak"/>
    <w:link w:val="TabelaLegenda"/>
    <w:qFormat/>
    <w:rsid w:val="00761200"/>
    <w:rPr>
      <w:rFonts w:ascii="Times New Roman" w:hAnsi="Times New Roman" w:eastAsia="Calibri" w:cs="Times New Roman"/>
      <w:kern w:val="0"/>
      <w:szCs w:val="24"/>
      <w14:ligatures w14:val="none"/>
    </w:rPr>
  </w:style>
  <w:style w:type="character" w:styleId="NumerowanaListaZnak" w:customStyle="1">
    <w:name w:val="Numerowana Lista Znak"/>
    <w:basedOn w:val="WypunktowanieZnak"/>
    <w:link w:val="NumerowanaLista"/>
    <w:qFormat/>
    <w:rsid w:val="00b940b3"/>
    <w:rPr>
      <w:rFonts w:ascii="Times New Roman" w:hAnsi="Times New Roman" w:eastAsia="Calibri" w:cs="Times New Roman"/>
      <w:b/>
      <w:color w:themeColor="text1" w:val="000000"/>
      <w:kern w:val="0"/>
      <w:sz w:val="24"/>
      <w:szCs w:val="24"/>
      <w14:ligatures w14:val="none"/>
    </w:rPr>
  </w:style>
  <w:style w:type="character" w:styleId="RozdziaZnak" w:customStyle="1">
    <w:name w:val="Rozdział Znak"/>
    <w:link w:val="Rozdzia"/>
    <w:qFormat/>
    <w:rsid w:val="00db277b"/>
    <w:rPr>
      <w:rFonts w:ascii="Times New Roman" w:hAnsi="Times New Roman" w:eastAsia="Times New Roman" w:cs="Times New Roman"/>
      <w:b/>
      <w:kern w:val="0"/>
      <w:sz w:val="44"/>
      <w:szCs w:val="36"/>
      <w:lang w:eastAsia="zh-CN"/>
      <w14:ligatures w14:val="none"/>
    </w:rPr>
  </w:style>
  <w:style w:type="character" w:styleId="PodrodziaZnak" w:customStyle="1">
    <w:name w:val="Podrodział Znak"/>
    <w:link w:val="Podrodzia"/>
    <w:qFormat/>
    <w:rsid w:val="006b21f7"/>
    <w:rPr>
      <w:rFonts w:ascii="Times New Roman" w:hAnsi="Times New Roman" w:eastAsia="Calibri" w:cs="Times New Roman"/>
      <w:b/>
      <w:kern w:val="0"/>
      <w:sz w:val="32"/>
      <w:szCs w:val="36"/>
      <w14:ligatures w14:val="none"/>
    </w:rPr>
  </w:style>
  <w:style w:type="character" w:styleId="TekstkomentarzaZnak1" w:customStyle="1">
    <w:name w:val="Tekst komentarza Znak1"/>
    <w:basedOn w:val="DefaultParagraphFont"/>
    <w:uiPriority w:val="99"/>
    <w:semiHidden/>
    <w:qFormat/>
    <w:rsid w:val="006b21f7"/>
    <w:rPr>
      <w:lang w:eastAsia="zh-CN"/>
    </w:rPr>
  </w:style>
  <w:style w:type="character" w:styleId="HTML-wstpniesformatowanyZnak" w:customStyle="1">
    <w:name w:val="HTML - wstępnie sformatowany Znak"/>
    <w:basedOn w:val="DefaultParagraphFont"/>
    <w:link w:val="HTMLPreformatted"/>
    <w:uiPriority w:val="99"/>
    <w:qFormat/>
    <w:rsid w:val="00261959"/>
    <w:rPr>
      <w:rFonts w:ascii="Courier New" w:hAnsi="Courier New" w:eastAsia="Times New Roman" w:cs="Courier New"/>
      <w:kern w:val="0"/>
      <w:sz w:val="20"/>
      <w:szCs w:val="20"/>
      <w:lang w:eastAsia="ja-JP"/>
      <w14:ligatures w14:val="none"/>
    </w:rPr>
  </w:style>
  <w:style w:type="character" w:styleId="bold" w:customStyle="1">
    <w:name w:val="bold"/>
    <w:basedOn w:val="DefaultParagraphFont"/>
    <w:qFormat/>
    <w:rsid w:val="00073fa9"/>
    <w:rPr/>
  </w:style>
  <w:style w:type="character" w:styleId="NagwekZnak" w:customStyle="1">
    <w:name w:val="Nagłówek Znak"/>
    <w:basedOn w:val="DefaultParagraphFont"/>
    <w:uiPriority w:val="99"/>
    <w:qFormat/>
    <w:rsid w:val="008d7909"/>
    <w:rPr>
      <w:rFonts w:ascii="Times New Roman" w:hAnsi="Times New Roman"/>
      <w:color w:themeColor="text1" w:val="000000"/>
      <w:sz w:val="24"/>
    </w:rPr>
  </w:style>
  <w:style w:type="character" w:styleId="StopkaZnak" w:customStyle="1">
    <w:name w:val="Stopka Znak"/>
    <w:basedOn w:val="DefaultParagraphFont"/>
    <w:uiPriority w:val="99"/>
    <w:qFormat/>
    <w:rsid w:val="008d7909"/>
    <w:rPr>
      <w:rFonts w:ascii="Times New Roman" w:hAnsi="Times New Roman"/>
      <w:color w:themeColor="text1" w:val="000000"/>
      <w:sz w:val="24"/>
    </w:rPr>
  </w:style>
  <w:style w:type="character" w:styleId="PlaceholderText">
    <w:name w:val="Placeholder Text"/>
    <w:basedOn w:val="DefaultParagraphFont"/>
    <w:uiPriority w:val="99"/>
    <w:semiHidden/>
    <w:qFormat/>
    <w:rsid w:val="00205de9"/>
    <w:rPr>
      <w:color w:val="808080"/>
    </w:rPr>
  </w:style>
  <w:style w:type="character" w:styleId="TekstprzypisukocowegoZnak" w:customStyle="1">
    <w:name w:val="Tekst przypisu końcowego Znak"/>
    <w:basedOn w:val="DefaultParagraphFont"/>
    <w:uiPriority w:val="99"/>
    <w:semiHidden/>
    <w:qFormat/>
    <w:rsid w:val="00d164ca"/>
    <w:rPr>
      <w:rFonts w:ascii="Times New Roman" w:hAnsi="Times New Roman"/>
      <w:color w:themeColor="text1" w:val="000000"/>
      <w:sz w:val="20"/>
      <w:szCs w:val="20"/>
    </w:rPr>
  </w:style>
  <w:style w:type="character" w:styleId="Znakiprzypiswkocowych">
    <w:name w:val="Znaki przypisów końcowych"/>
    <w:basedOn w:val="DefaultParagraphFont"/>
    <w:uiPriority w:val="99"/>
    <w:semiHidden/>
    <w:unhideWhenUsed/>
    <w:qFormat/>
    <w:rsid w:val="00d164ca"/>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025aac"/>
    <w:rPr>
      <w:color w:val="605E5C"/>
      <w:shd w:fill="E1DFDD" w:val="clear"/>
    </w:rPr>
  </w:style>
  <w:style w:type="character" w:styleId="TekstpodstawowyZnak" w:customStyle="1">
    <w:name w:val="Tekst podstawowy Znak"/>
    <w:basedOn w:val="DefaultParagraphFont"/>
    <w:qFormat/>
    <w:rsid w:val="00d67bb7"/>
    <w:rPr>
      <w:rFonts w:ascii="Times New Roman" w:hAnsi="Times New Roman" w:eastAsia="Calibri" w:cs="Arial"/>
      <w:color w:themeColor="text1" w:val="000000"/>
      <w:sz w:val="24"/>
    </w:rPr>
  </w:style>
  <w:style w:type="character" w:styleId="czeindeksu">
    <w:name w:val="Łącze indeksu"/>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rsid w:val="00d67bb7"/>
    <w:pPr>
      <w:spacing w:lineRule="auto" w:line="276" w:before="0" w:after="140"/>
    </w:pPr>
    <w:rPr>
      <w:rFonts w:eastAsia="Calibri" w:cs="Arial"/>
    </w:rPr>
  </w:style>
  <w:style w:type="paragraph" w:styleId="List">
    <w:name w:val="List"/>
    <w:basedOn w:val="BodyText"/>
    <w:pPr/>
    <w:rPr>
      <w:rFonts w:cs="Arial"/>
    </w:rPr>
  </w:style>
  <w:style w:type="paragraph" w:styleId="Caption">
    <w:name w:val="caption"/>
    <w:basedOn w:val="Obraz"/>
    <w:link w:val="LegendaZnak"/>
    <w:uiPriority w:val="35"/>
    <w:qFormat/>
    <w:rsid w:val="00033f0b"/>
    <w:pPr>
      <w:spacing w:before="120" w:after="360"/>
    </w:pPr>
    <w:rPr>
      <w:sz w:val="22"/>
    </w:rPr>
  </w:style>
  <w:style w:type="paragraph" w:styleId="Indeks">
    <w:name w:val="Indeks"/>
    <w:basedOn w:val="Normal"/>
    <w:qFormat/>
    <w:pPr>
      <w:suppressLineNumbers/>
    </w:pPr>
    <w:rPr>
      <w:rFonts w:cs="Arial"/>
    </w:rPr>
  </w:style>
  <w:style w:type="paragraph" w:styleId="NormalWeb">
    <w:name w:val="Normal (Web)"/>
    <w:basedOn w:val="Normal"/>
    <w:uiPriority w:val="99"/>
    <w:unhideWhenUsed/>
    <w:qFormat/>
    <w:rsid w:val="009a5cd7"/>
    <w:pPr>
      <w:spacing w:lineRule="auto" w:line="240" w:beforeAutospacing="1" w:afterAutospacing="1"/>
    </w:pPr>
    <w:rPr>
      <w:rFonts w:eastAsia="Times New Roman" w:cs="Times New Roman"/>
      <w:kern w:val="0"/>
      <w:szCs w:val="24"/>
      <w:lang w:eastAsia="pl-PL"/>
      <w14:ligatures w14:val="none"/>
    </w:rPr>
  </w:style>
  <w:style w:type="paragraph" w:styleId="IndexHeading">
    <w:name w:val="index heading"/>
    <w:basedOn w:val="Nagwek"/>
    <w:pPr/>
    <w:rPr/>
  </w:style>
  <w:style w:type="paragraph" w:styleId="TOCHeading">
    <w:name w:val="TOC Heading"/>
    <w:basedOn w:val="Heading1"/>
    <w:next w:val="Normal"/>
    <w:uiPriority w:val="39"/>
    <w:unhideWhenUsed/>
    <w:qFormat/>
    <w:rsid w:val="00fa6915"/>
    <w:pPr>
      <w:numPr>
        <w:ilvl w:val="0"/>
        <w:numId w:val="0"/>
      </w:numPr>
      <w:tabs>
        <w:tab w:val="clear" w:pos="3600"/>
      </w:tabs>
      <w:spacing w:lineRule="auto" w:line="259" w:before="240" w:after="0"/>
      <w:ind w:hanging="851" w:start="851"/>
      <w:outlineLvl w:val="9"/>
    </w:pPr>
    <w:rPr>
      <w:rFonts w:ascii="Calibri Light" w:hAnsi="Calibri Light" w:asciiTheme="majorHAnsi" w:hAnsiTheme="majorHAnsi"/>
      <w:b w:val="false"/>
      <w:color w:themeColor="accent1" w:themeShade="bf" w:val="2F5496"/>
      <w:kern w:val="0"/>
      <w:sz w:val="32"/>
      <w:lang w:eastAsia="pl-PL"/>
      <w14:ligatures w14:val="none"/>
    </w:rPr>
  </w:style>
  <w:style w:type="paragraph" w:styleId="TOC1">
    <w:name w:val="toc 1"/>
    <w:basedOn w:val="Normal"/>
    <w:next w:val="Normal"/>
    <w:autoRedefine/>
    <w:uiPriority w:val="39"/>
    <w:unhideWhenUsed/>
    <w:rsid w:val="00371a87"/>
    <w:pPr>
      <w:spacing w:before="0" w:after="100"/>
    </w:pPr>
    <w:rPr>
      <w:b/>
    </w:rPr>
  </w:style>
  <w:style w:type="paragraph" w:styleId="TOC3">
    <w:name w:val="toc 3"/>
    <w:basedOn w:val="Normal"/>
    <w:next w:val="Normal"/>
    <w:autoRedefine/>
    <w:uiPriority w:val="39"/>
    <w:unhideWhenUsed/>
    <w:rsid w:val="00fa6915"/>
    <w:pPr>
      <w:spacing w:before="0" w:after="100"/>
      <w:ind w:start="480"/>
    </w:pPr>
    <w:rPr/>
  </w:style>
  <w:style w:type="paragraph" w:styleId="Tre" w:customStyle="1">
    <w:name w:val="Treść"/>
    <w:basedOn w:val="Normal"/>
    <w:link w:val="TreZnak"/>
    <w:qFormat/>
    <w:rsid w:val="160a67ac"/>
    <w:pPr>
      <w:ind w:firstLine="567"/>
    </w:pPr>
    <w:rPr>
      <w:rFonts w:eastAsia="Calibri" w:cs="Times New Roman"/>
    </w:rPr>
  </w:style>
  <w:style w:type="paragraph" w:styleId="Wypunktowanie" w:customStyle="1">
    <w:name w:val="Wypunktowanie"/>
    <w:basedOn w:val="Normal"/>
    <w:link w:val="WypunktowanieZnak"/>
    <w:qFormat/>
    <w:rsid w:val="160a67ac"/>
    <w:pPr>
      <w:numPr>
        <w:ilvl w:val="0"/>
        <w:numId w:val="1"/>
      </w:numPr>
      <w:ind w:hanging="357" w:start="714"/>
    </w:pPr>
    <w:rPr>
      <w:rFonts w:eastAsia="Calibri" w:cs="Times New Roman"/>
    </w:rPr>
  </w:style>
  <w:style w:type="paragraph" w:styleId="ListParagraph">
    <w:name w:val="List Paragraph"/>
    <w:basedOn w:val="Normal"/>
    <w:uiPriority w:val="34"/>
    <w:qFormat/>
    <w:pPr>
      <w:spacing w:before="0" w:after="0"/>
      <w:ind w:start="720"/>
      <w:contextualSpacing/>
    </w:pPr>
    <w:rPr/>
  </w:style>
  <w:style w:type="paragraph" w:styleId="CommentText">
    <w:name w:val="annotation text"/>
    <w:basedOn w:val="Normal"/>
    <w:link w:val="TekstkomentarzaZnak"/>
    <w:uiPriority w:val="99"/>
    <w:unhideWhenUsed/>
    <w:pPr>
      <w:spacing w:lineRule="auto" w:line="240"/>
    </w:pPr>
    <w:rPr>
      <w:sz w:val="20"/>
      <w:szCs w:val="20"/>
    </w:rPr>
  </w:style>
  <w:style w:type="paragraph" w:styleId="BalloonText">
    <w:name w:val="Balloon Text"/>
    <w:basedOn w:val="Normal"/>
    <w:link w:val="TekstdymkaZnak"/>
    <w:uiPriority w:val="99"/>
    <w:semiHidden/>
    <w:unhideWhenUsed/>
    <w:qFormat/>
    <w:rsid w:val="00065159"/>
    <w:pPr>
      <w:spacing w:lineRule="auto" w:line="240"/>
    </w:pPr>
    <w:rPr>
      <w:rFonts w:ascii="Tahoma" w:hAnsi="Tahoma" w:cs="Tahoma"/>
      <w:sz w:val="16"/>
      <w:szCs w:val="16"/>
    </w:rPr>
  </w:style>
  <w:style w:type="paragraph" w:styleId="TOC2">
    <w:name w:val="toc 2"/>
    <w:basedOn w:val="Normal"/>
    <w:next w:val="Normal"/>
    <w:autoRedefine/>
    <w:uiPriority w:val="39"/>
    <w:unhideWhenUsed/>
    <w:rsid w:val="00cb68e2"/>
    <w:pPr>
      <w:spacing w:before="0" w:after="100"/>
      <w:ind w:start="240"/>
    </w:pPr>
    <w:rPr/>
  </w:style>
  <w:style w:type="paragraph" w:styleId="Obraz" w:customStyle="1">
    <w:name w:val="Obraz"/>
    <w:basedOn w:val="Tre"/>
    <w:link w:val="ObrazZnak"/>
    <w:qFormat/>
    <w:rsid w:val="00a418f1"/>
    <w:pPr>
      <w:keepNext w:val="true"/>
      <w:spacing w:before="240" w:after="0"/>
      <w:ind w:hanging="0"/>
      <w:jc w:val="center"/>
    </w:pPr>
    <w:rPr>
      <w:color w:val="auto"/>
      <w:kern w:val="0"/>
      <w:szCs w:val="24"/>
      <w14:ligatures w14:val="none"/>
    </w:rPr>
  </w:style>
  <w:style w:type="paragraph" w:styleId="annotationsubject">
    <w:name w:val="annotation subject"/>
    <w:basedOn w:val="CommentText"/>
    <w:next w:val="CommentText"/>
    <w:link w:val="TematkomentarzaZnak"/>
    <w:uiPriority w:val="99"/>
    <w:semiHidden/>
    <w:unhideWhenUsed/>
    <w:qFormat/>
    <w:rsid w:val="00a418f1"/>
    <w:pPr/>
    <w:rPr>
      <w:b/>
      <w:bCs/>
    </w:rPr>
  </w:style>
  <w:style w:type="paragraph" w:styleId="TabelaLegenda" w:customStyle="1">
    <w:name w:val="Tabela Legenda"/>
    <w:basedOn w:val="Caption"/>
    <w:link w:val="TabelaLegendaZnak"/>
    <w:qFormat/>
    <w:rsid w:val="00761200"/>
    <w:pPr>
      <w:spacing w:before="120" w:after="120"/>
    </w:pPr>
    <w:rPr/>
  </w:style>
  <w:style w:type="paragraph" w:styleId="NumerowanaLista" w:customStyle="1">
    <w:name w:val="Numerowana Lista"/>
    <w:basedOn w:val="Wypunktowanie"/>
    <w:link w:val="NumerowanaListaZnak"/>
    <w:qFormat/>
    <w:rsid w:val="00b940b3"/>
    <w:pPr>
      <w:numPr>
        <w:ilvl w:val="0"/>
        <w:numId w:val="4"/>
      </w:numPr>
      <w:ind w:hanging="357" w:start="714"/>
    </w:pPr>
    <w:rPr>
      <w:b/>
      <w:color w:val="auto"/>
      <w:kern w:val="0"/>
      <w:szCs w:val="24"/>
      <w14:ligatures w14:val="none"/>
    </w:rPr>
  </w:style>
  <w:style w:type="paragraph" w:styleId="Rozdzia" w:customStyle="1">
    <w:name w:val="Rozdział"/>
    <w:basedOn w:val="Normal"/>
    <w:link w:val="RozdziaZnak"/>
    <w:autoRedefine/>
    <w:qFormat/>
    <w:rsid w:val="00db277b"/>
    <w:pPr>
      <w:numPr>
        <w:ilvl w:val="0"/>
        <w:numId w:val="5"/>
      </w:numPr>
      <w:suppressAutoHyphens w:val="true"/>
      <w:spacing w:before="1560" w:after="840"/>
      <w:ind w:hanging="720"/>
      <w:jc w:val="start"/>
    </w:pPr>
    <w:rPr>
      <w:rFonts w:eastAsia="Times New Roman" w:cs="Times New Roman"/>
      <w:b/>
      <w:color w:val="auto"/>
      <w:kern w:val="0"/>
      <w:sz w:val="44"/>
      <w:szCs w:val="36"/>
      <w:lang w:eastAsia="zh-CN"/>
      <w14:ligatures w14:val="none"/>
    </w:rPr>
  </w:style>
  <w:style w:type="paragraph" w:styleId="Podrodzia" w:customStyle="1">
    <w:name w:val="Podrodział"/>
    <w:basedOn w:val="Tre"/>
    <w:link w:val="PodrodziaZnak"/>
    <w:qFormat/>
    <w:rsid w:val="006b21f7"/>
    <w:pPr>
      <w:numPr>
        <w:ilvl w:val="1"/>
        <w:numId w:val="6"/>
      </w:numPr>
      <w:spacing w:before="600" w:after="120"/>
      <w:ind w:hanging="357" w:start="1066"/>
    </w:pPr>
    <w:rPr>
      <w:b/>
      <w:color w:val="auto"/>
      <w:kern w:val="0"/>
      <w:sz w:val="32"/>
      <w:szCs w:val="36"/>
      <w14:ligatures w14:val="none"/>
    </w:rPr>
  </w:style>
  <w:style w:type="paragraph" w:styleId="HTMLPreformatted">
    <w:name w:val="HTML Preformatted"/>
    <w:basedOn w:val="Normal"/>
    <w:link w:val="HTML-wstpniesformatowanyZnak"/>
    <w:uiPriority w:val="99"/>
    <w:unhideWhenUsed/>
    <w:qFormat/>
    <w:rsid w:val="0026195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start"/>
    </w:pPr>
    <w:rPr>
      <w:rFonts w:ascii="Courier New" w:hAnsi="Courier New" w:eastAsia="Times New Roman" w:cs="Courier New"/>
      <w:color w:val="auto"/>
      <w:kern w:val="0"/>
      <w:sz w:val="20"/>
      <w:szCs w:val="20"/>
      <w:lang w:eastAsia="ja-JP"/>
      <w14:ligatures w14:val="none"/>
    </w:rPr>
  </w:style>
  <w:style w:type="paragraph" w:styleId="Bibliography">
    <w:name w:val="Bibliography"/>
    <w:basedOn w:val="Normal"/>
    <w:next w:val="Normal"/>
    <w:uiPriority w:val="37"/>
    <w:unhideWhenUsed/>
    <w:qFormat/>
    <w:rsid w:val="005456ac"/>
    <w:pPr/>
    <w:rPr/>
  </w:style>
  <w:style w:type="paragraph" w:styleId="TableofFigures">
    <w:name w:val="table of figures"/>
    <w:basedOn w:val="Normal"/>
    <w:next w:val="Normal"/>
    <w:uiPriority w:val="99"/>
    <w:unhideWhenUsed/>
    <w:rsid w:val="00c72b03"/>
    <w:pPr>
      <w:spacing w:lineRule="auto" w:line="259"/>
      <w:ind w:hanging="0"/>
      <w:jc w:val="start"/>
    </w:pPr>
    <w:rPr>
      <w:rFonts w:ascii="Calibri" w:hAnsi="Calibri" w:eastAsia="Calibri" w:cs="Times New Roman"/>
      <w:color w:val="auto"/>
      <w:kern w:val="0"/>
      <w:sz w:val="22"/>
      <w14:ligatures w14:val="none"/>
    </w:rPr>
  </w:style>
  <w:style w:type="paragraph" w:styleId="Gwkaistopka">
    <w:name w:val="Główka i stopka"/>
    <w:basedOn w:val="Normal"/>
    <w:qFormat/>
    <w:pPr/>
    <w:rPr/>
  </w:style>
  <w:style w:type="paragraph" w:styleId="Header">
    <w:name w:val="header"/>
    <w:basedOn w:val="Normal"/>
    <w:link w:val="NagwekZnak"/>
    <w:uiPriority w:val="99"/>
    <w:unhideWhenUsed/>
    <w:rsid w:val="008d7909"/>
    <w:pPr>
      <w:tabs>
        <w:tab w:val="clear" w:pos="708"/>
        <w:tab w:val="center" w:pos="4536" w:leader="none"/>
        <w:tab w:val="right" w:pos="9072" w:leader="none"/>
      </w:tabs>
      <w:spacing w:lineRule="auto" w:line="240"/>
    </w:pPr>
    <w:rPr/>
  </w:style>
  <w:style w:type="paragraph" w:styleId="Footer">
    <w:name w:val="footer"/>
    <w:basedOn w:val="Normal"/>
    <w:link w:val="StopkaZnak"/>
    <w:uiPriority w:val="99"/>
    <w:unhideWhenUsed/>
    <w:rsid w:val="008d7909"/>
    <w:pPr>
      <w:tabs>
        <w:tab w:val="clear" w:pos="708"/>
        <w:tab w:val="center" w:pos="4536" w:leader="none"/>
        <w:tab w:val="right" w:pos="9072" w:leader="none"/>
      </w:tabs>
      <w:spacing w:lineRule="auto" w:line="240"/>
    </w:pPr>
    <w:rPr/>
  </w:style>
  <w:style w:type="paragraph" w:styleId="Revision">
    <w:name w:val="Revision"/>
    <w:uiPriority w:val="99"/>
    <w:semiHidden/>
    <w:qFormat/>
    <w:rsid w:val="00463ff7"/>
    <w:pPr>
      <w:widowControl/>
      <w:bidi w:val="0"/>
      <w:spacing w:lineRule="auto" w:line="240" w:before="0" w:after="0"/>
      <w:jc w:val="start"/>
    </w:pPr>
    <w:rPr>
      <w:rFonts w:ascii="Times New Roman" w:hAnsi="Times New Roman" w:eastAsia="Calibri" w:cs="Arial"/>
      <w:color w:themeColor="text1" w:val="000000"/>
      <w:kern w:val="2"/>
      <w:sz w:val="24"/>
      <w:szCs w:val="22"/>
      <w:lang w:val="pl-PL" w:eastAsia="en-US" w:bidi="ar-SA"/>
    </w:rPr>
  </w:style>
  <w:style w:type="paragraph" w:styleId="EndnoteText">
    <w:name w:val="endnote text"/>
    <w:basedOn w:val="Normal"/>
    <w:link w:val="TekstprzypisukocowegoZnak"/>
    <w:uiPriority w:val="99"/>
    <w:semiHidden/>
    <w:unhideWhenUsed/>
    <w:rsid w:val="00d164ca"/>
    <w:pPr>
      <w:spacing w:lineRule="auto" w:line="240"/>
    </w:pPr>
    <w:rPr>
      <w:sz w:val="20"/>
      <w:szCs w:val="20"/>
    </w:rPr>
  </w:style>
  <w:style w:type="paragraph" w:styleId="NoSpacing">
    <w:name w:val="No Spacing"/>
    <w:uiPriority w:val="1"/>
    <w:qFormat/>
    <w:rsid w:val="00b2433c"/>
    <w:pPr>
      <w:widowControl/>
      <w:bidi w:val="0"/>
      <w:spacing w:lineRule="auto" w:line="24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Zawartotabeliuser" w:customStyle="1">
    <w:name w:val="Zawartość tabeli (user)"/>
    <w:basedOn w:val="Normal"/>
    <w:qFormat/>
    <w:rsid w:val="00655543"/>
    <w:pPr>
      <w:widowControl w:val="false"/>
      <w:suppressLineNumbers/>
    </w:pPr>
    <w:rPr>
      <w:rFonts w:eastAsia="Calibri" w:cs="Arial"/>
    </w:rPr>
  </w:style>
  <w:style w:type="paragraph" w:styleId="Zawartotabeli" w:customStyle="1">
    <w:name w:val="Zawartość tabeli"/>
    <w:basedOn w:val="Normal"/>
    <w:qFormat/>
    <w:rsid w:val="00f44ad7"/>
    <w:pPr>
      <w:widowControl w:val="false"/>
      <w:suppressLineNumbers/>
    </w:pPr>
    <w:rPr>
      <w:rFonts w:eastAsia="Calibri" w:cs="Arial"/>
    </w:rPr>
  </w:style>
  <w:style w:type="paragraph" w:styleId="Tabela" w:customStyle="1">
    <w:name w:val="Tabela"/>
    <w:basedOn w:val="Caption"/>
    <w:qFormat/>
    <w:rsid w:val="00d62e77"/>
    <w:pPr/>
    <w:rPr/>
  </w:style>
  <w:style w:type="paragraph" w:styleId="Zawartoramki">
    <w:name w:val="Zawartość ramki"/>
    <w:basedOn w:val="Normal"/>
    <w:qFormat/>
    <w:pPr/>
    <w:rPr/>
  </w:style>
  <w:style w:type="numbering" w:styleId="Bezlisty" w:default="1">
    <w:name w:val="Bez listy"/>
    <w:uiPriority w:val="99"/>
    <w:semiHidden/>
    <w:unhideWhenUsed/>
    <w:qFormat/>
  </w:style>
  <w:style w:type="numbering" w:styleId="Biecalista1" w:customStyle="1">
    <w:name w:val="Bieżąca lista1"/>
    <w:uiPriority w:val="99"/>
    <w:qFormat/>
    <w:rsid w:val="00561a30"/>
  </w:style>
  <w:style w:type="numbering" w:styleId="Biecalista2" w:customStyle="1">
    <w:name w:val="Bieżąca lista2"/>
    <w:uiPriority w:val="99"/>
    <w:qFormat/>
    <w:rsid w:val="002d6bde"/>
  </w:style>
  <w:style w:type="numbering" w:styleId="Biecalista3" w:customStyle="1">
    <w:name w:val="Bieżąca lista3"/>
    <w:uiPriority w:val="99"/>
    <w:qFormat/>
    <w:rsid w:val="006778c4"/>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b56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sv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jpe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jpe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footer" Target="footer1.xml"/><Relationship Id="rId47" Type="http://schemas.openxmlformats.org/officeDocument/2006/relationships/footer" Target="footer2.xml"/><Relationship Id="rId48" Type="http://schemas.openxmlformats.org/officeDocument/2006/relationships/footer" Target="footer3.xml"/><Relationship Id="rId49" Type="http://schemas.openxmlformats.org/officeDocument/2006/relationships/footer" Target="footer4.xml"/><Relationship Id="rId50" Type="http://schemas.openxmlformats.org/officeDocument/2006/relationships/footer" Target="footer5.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glossaryDocument" Target="glossary/document.xml"/><Relationship Id="rId56" Type="http://schemas.openxmlformats.org/officeDocument/2006/relationships/customXml" Target="../customXml/item1.xml"/><Relationship Id="rId57" Type="http://schemas.openxmlformats.org/officeDocument/2006/relationships/customXml" Target="../customXml/item2.xml"/><Relationship Id="rId58" Type="http://schemas.openxmlformats.org/officeDocument/2006/relationships/customXml" Target="../customXml/item3.xml"/><Relationship Id="rId59"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 w:name="Google Sans Text">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A53E3"/>
    <w:rsid w:val="000E7C57"/>
    <w:rsid w:val="00115C42"/>
    <w:rsid w:val="00156FEF"/>
    <w:rsid w:val="001C7F91"/>
    <w:rsid w:val="001D5500"/>
    <w:rsid w:val="001F5CD8"/>
    <w:rsid w:val="00292FAA"/>
    <w:rsid w:val="002B50FC"/>
    <w:rsid w:val="00335A6A"/>
    <w:rsid w:val="003A14E7"/>
    <w:rsid w:val="003E632D"/>
    <w:rsid w:val="00452D6B"/>
    <w:rsid w:val="00463696"/>
    <w:rsid w:val="0055348C"/>
    <w:rsid w:val="005661B5"/>
    <w:rsid w:val="005F16E5"/>
    <w:rsid w:val="006365FA"/>
    <w:rsid w:val="00655024"/>
    <w:rsid w:val="006A7118"/>
    <w:rsid w:val="006B63E8"/>
    <w:rsid w:val="006D3579"/>
    <w:rsid w:val="006F6846"/>
    <w:rsid w:val="0071635D"/>
    <w:rsid w:val="0071664C"/>
    <w:rsid w:val="007254EC"/>
    <w:rsid w:val="007D36E7"/>
    <w:rsid w:val="008520BD"/>
    <w:rsid w:val="00861D97"/>
    <w:rsid w:val="00877AD9"/>
    <w:rsid w:val="008B2F85"/>
    <w:rsid w:val="008E1D7A"/>
    <w:rsid w:val="008E7A7F"/>
    <w:rsid w:val="009374D0"/>
    <w:rsid w:val="00955271"/>
    <w:rsid w:val="009974F4"/>
    <w:rsid w:val="009D6003"/>
    <w:rsid w:val="00A30BEF"/>
    <w:rsid w:val="00A76CFA"/>
    <w:rsid w:val="00AF11AE"/>
    <w:rsid w:val="00B9076F"/>
    <w:rsid w:val="00BA7885"/>
    <w:rsid w:val="00BD522D"/>
    <w:rsid w:val="00C34C4C"/>
    <w:rsid w:val="00C44D41"/>
    <w:rsid w:val="00C450F0"/>
    <w:rsid w:val="00CB3EDC"/>
    <w:rsid w:val="00CF2B74"/>
    <w:rsid w:val="00D57D47"/>
    <w:rsid w:val="00D70768"/>
    <w:rsid w:val="00DD2A55"/>
    <w:rsid w:val="00E11551"/>
    <w:rsid w:val="00EE2BF8"/>
    <w:rsid w:val="00F23403"/>
    <w:rsid w:val="00F53E57"/>
    <w:rsid w:val="00F678C3"/>
    <w:rsid w:val="00F732A7"/>
    <w:rsid w:val="00FB7FAF"/>
    <w:rsid w:val="00FC2763"/>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3</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4</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14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1</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19</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16</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17</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18</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21</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9</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15</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20</b:RefOrder>
  </b:Source>
  <b:Source>
    <b:Tag>ahm23</b:Tag>
    <b:SourceType>DocumentFromInternetSite</b:SourceType>
    <b:Guid>{F96B1902-19B0-45DE-A23D-FCB51F4534DA}</b:Guid>
    <b:Title>Skin Lesions Classification Dataset</b:Title>
    <b:Year>2023</b:Year>
    <b:Author>
      <b:Author>
        <b:NameList>
          <b:Person>
            <b:Last>ahmedxc4</b:Last>
          </b:Person>
        </b:NameList>
      </b:Author>
    </b:Author>
    <b:YearAccessed>2026</b:YearAccessed>
    <b:MonthAccessed>03</b:MonthAccessed>
    <b:DayAccessed>12</b:DayAccessed>
    <b:URL>https://www.kaggle.com/datasets/ahmedxc4/skin-ds</b:URL>
    <b:RefOrder>2</b:RefOrder>
  </b:Source>
  <b:Source>
    <b:Tag>Xia23</b:Tag>
    <b:SourceType>ArticleInAPeriodical</b:SourceType>
    <b:Guid>{5624B02A-DAB3-4B21-861A-B6B8E84B02BC}</b:Guid>
    <b:Year>2023</b:Year>
    <b:Author>
      <b:Author>
        <b:NameList>
          <b:Person>
            <b:Last>Xiao</b:Last>
            <b:First>Y.</b:First>
          </b:Person>
          <b:Person>
            <b:Last>Liao</b:Last>
            <b:First>M.</b:First>
          </b:Person>
          <b:Person>
            <b:Last>Wang</b:Last>
            <b:First>J.</b:First>
          </b:Person>
          <b:Person>
            <b:Last>Cao</b:Last>
            <b:First>S.</b:First>
          </b:Person>
        </b:NameList>
      </b:Author>
    </b:Author>
    <b:PeriodicalTitle>Frontiers in Oncology</b:PeriodicalTitle>
    <b:Pages>1150422</b:Pages>
    <b:Volume>13</b:Volume>
    <b:DOI> 10.3389/fonc.2023.1150422</b:DOI>
    <b:Title>From actinic keratosis to cutaneous squamous cell carcinoma: the key pathogenesis and treatments</b:Title>
    <b:RefOrder>5</b:RefOrder>
  </b:Source>
  <b:Source>
    <b:Tag>Yad25</b:Tag>
    <b:SourceType>ArticleInAPeriodical</b:SourceType>
    <b:Guid>{DAD1A495-1469-4229-857E-80F287C6A94C}</b:Guid>
    <b:Author>
      <b:Author>
        <b:NameList>
          <b:Person>
            <b:Last>Yadav</b:Last>
            <b:First>R.</b:First>
          </b:Person>
          <b:Person>
            <b:Last>Chaudhary</b:Last>
            <b:First>A.</b:First>
            <b:Middle>A.</b:Middle>
          </b:Person>
          <b:Person>
            <b:Last>Srivastava</b:Last>
            <b:First>U.</b:First>
          </b:Person>
          <b:Person>
            <b:Last>Gupta</b:Last>
            <b:First>S.</b:First>
          </b:Person>
          <b:Person>
            <b:Last>Rustagi</b:Last>
            <b:First>S.</b:First>
          </b:Person>
          <b:Person>
            <b:Last>Rudayni</b:Last>
            <b:First>H.</b:First>
            <b:Middle>A.</b:Middle>
          </b:Person>
          <b:Person>
            <b:Last>Kashyap</b:Last>
            <b:First>V.</b:First>
            <b:Middle>K.</b:Middle>
          </b:Person>
          <b:Person>
            <b:Last>Kumar</b:Last>
            <b:First>S.</b:First>
          </b:Person>
        </b:NameList>
      </b:Author>
    </b:Author>
    <b:PeriodicalTitle>Viruses</b:PeriodicalTitle>
    <b:Year>2025</b:Year>
    <b:Pages>753</b:Pages>
    <b:Volume>17</b:Volume>
    <b:DOI>10.3390/v17060753</b:DOI>
    <b:Title>Mpox 2022 to 2025 Update: A Comprehensive Review on Its Complications, Transmission, Diagnosis, and Treatment</b:Title>
    <b:RefOrder>6</b:RefOrder>
  </b:Source>
  <b:Source>
    <b:Tag>Sal25</b:Tag>
    <b:SourceType>BookSection</b:SourceType>
    <b:Guid>{15CB950F-2EF0-41AD-83A2-051C6D2844DB}</b:Guid>
    <b:Author>
      <b:Author>
        <b:NameList>
          <b:Person>
            <b:Last>Saleh</b:Last>
            <b:First>H.</b:First>
            <b:Middle>M.</b:Middle>
          </b:Person>
          <b:Person>
            <b:Last>Ayoade</b:Last>
            <b:First>F.</b:First>
          </b:Person>
          <b:Person>
            <b:Last>Kumar</b:Last>
            <b:First>S.</b:First>
          </b:Person>
        </b:NameList>
      </b:Author>
    </b:Author>
    <b:Title>Varicella-Zoster Virus (Chickenpox)</b:Title>
    <b:Year>2025</b:Year>
    <b:City>Treasure Island (FL)</b:City>
    <b:Publisher>StatPearls Publishing</b:Publisher>
    <b:URL>https://www.ncbi.nlm.nih.gov/books/NBK448191/</b:URL>
    <b:RefOrder>7</b:RefOrder>
  </b:Source>
  <b:Source>
    <b:Tag>Kon25</b:Tag>
    <b:SourceType>InternetSite</b:SourceType>
    <b:Guid>{69EC372E-1D69-4D2A-AC4B-7C75E6B82CA5}</b:Guid>
    <b:Author>
      <b:Author>
        <b:NameList>
          <b:Person>
            <b:Last>Kondamudi</b:Last>
            <b:First>Noah</b:First>
            <b:Middle>P.</b:Middle>
          </b:Person>
          <b:Person>
            <b:Last>Tobin</b:Last>
            <b:First>Ellis</b:First>
            <b:Middle>H.</b:Middle>
          </b:Person>
          <b:Person>
            <b:Last>Waymack.</b:Last>
            <b:First>James</b:First>
            <b:Middle>R.</b:Middle>
          </b:Person>
        </b:NameList>
      </b:Author>
    </b:Author>
    <b:Title>Measles</b:Title>
    <b:Year>2025</b:Year>
    <b:ProductionCompany>StatPearls Publishing</b:ProductionCompany>
    <b:YearAccessed>02.05.2026</b:YearAccessed>
    <b:URL>https://www.ncbi.nlm.nih.gov/books/NBK448068/</b:URL>
    <b:RefOrder>8</b:RefOrder>
  </b:Source>
  <b:Source>
    <b:Tag>Gue23</b:Tag>
    <b:SourceType>InternetSite</b:SourceType>
    <b:Guid>{581B711F-52F4-4FAD-9031-FBBBEF4270D0}</b:Guid>
    <b:Author>
      <b:Author>
        <b:NameList>
          <b:Person>
            <b:Last>Guerra</b:Last>
            <b:First>Amanda</b:First>
            <b:Middle>M.</b:Middle>
          </b:Person>
          <b:Person>
            <b:Last>Orille</b:Last>
            <b:First>Emily</b:First>
          </b:Person>
          <b:Person>
            <b:Last>Waseem.</b:Last>
            <b:First>Muhammad</b:First>
          </b:Person>
        </b:NameList>
      </b:Author>
    </b:Author>
    <b:Title>Hand, Foot, and Mouth Disease</b:Title>
    <b:ProductionCompany>StatPearls Publishing</b:ProductionCompany>
    <b:Year>2023</b:Year>
    <b:URL>https://www.ncbi.nlm.nih.gov/books/NBK431082/</b:URL>
    <b:RefOrder>10</b:RefOrder>
  </b:Source>
  <b:Source>
    <b:Tag>Car16</b:Tag>
    <b:SourceType>ArticleInAPeriodical</b:SourceType>
    <b:Guid>{57843586-D737-4023-8396-8729546822AB}</b:Guid>
    <b:Author>
      <b:Author>
        <b:NameList>
          <b:Person>
            <b:Last>Carrera C</b:Last>
            <b:First>Marghoob</b:First>
            <b:Middle>AA</b:Middle>
          </b:Person>
        </b:NameList>
      </b:Author>
    </b:Author>
    <b:Title>Discriminating Nevi from Melanomas: Clues and Pitfalls</b:Title>
    <b:Year>2016</b:Year>
    <b:PeriodicalTitle>Dermatol Clin</b:PeriodicalTitle>
    <b:Volume>34</b:Volume>
    <b:DOI>10.1016/j.det.2016.05.003</b:DOI>
    <b:RefOrder>11</b:RefOrder>
  </b:Source>
  <b:Source>
    <b:Tag>Sco23</b:Tag>
    <b:SourceType>ArticleInAPeriodical</b:SourceType>
    <b:Guid>{40DF5250-B5D1-44FE-86CC-4561E38573F6}</b:Guid>
    <b:Author>
      <b:Author>
        <b:NameList>
          <b:Person>
            <b:Last>Scott R</b:Last>
            <b:First>Oakley</b:First>
            <b:Middle>A</b:Middle>
          </b:Person>
        </b:NameList>
      </b:Author>
    </b:Author>
    <b:Title>Benign Keratosis: A Useful Term?</b:Title>
    <b:PeriodicalTitle>Dermatol Pract Concept</b:PeriodicalTitle>
    <b:Year>2023</b:Year>
    <b:Volume>13</b:Volume>
    <b:DOI>10.5826/dpc.1302a115</b:DOI>
    <b:RefOrder>12</b:RefOrder>
  </b:Source>
  <b:Source>
    <b:Tag>Mye24</b:Tag>
    <b:SourceType>InternetSite</b:SourceType>
    <b:Guid>{0065BC9C-284B-4556-82D1-406E9CD451D4}</b:Guid>
    <b:Author>
      <b:Author>
        <b:NameList>
          <b:Person>
            <b:Last>Myers</b:Last>
            <b:First>David</b:First>
            <b:Middle>J.</b:Middle>
          </b:Person>
          <b:Person>
            <b:Last>Fillman.</b:Last>
            <b:First>Eric</b:First>
            <b:Middle>P.</b:Middle>
          </b:Person>
        </b:NameList>
      </b:Author>
    </b:Author>
    <b:Title>Dermatofibroma</b:Title>
    <b:Year>2024</b:Year>
    <b:ProductionCompany>StatPearls Publishing</b:ProductionCompany>
    <b:URL>https://www.ncbi.nlm.nih.gov/books/NBK470538/</b:URL>
    <b:RefOrder>13</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customXml/itemProps2.xml><?xml version="1.0" encoding="utf-8"?>
<ds:datastoreItem xmlns:ds="http://schemas.openxmlformats.org/officeDocument/2006/customXml" ds:itemID="{D881708F-B6AF-43E0-AA17-F045CD6DF127}">
  <ds:schemaRefs>
    <ds:schemaRef ds:uri="http://schemas.openxmlformats.org/officeDocument/2006/bibliography"/>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39FC01-F627-46C6-B2D6-2B90DC45D5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Application>LibreOffice/25.8.6.2$Windows_X86_64 LibreOffice_project/b4b39682cd9868fa725bc664aff94278d315bd04</Application>
  <AppVersion>15.0000</AppVersion>
  <Pages>88</Pages>
  <Words>13252</Words>
  <Characters>90787</Characters>
  <CharactersWithSpaces>103074</CharactersWithSpaces>
  <Paragraphs>991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2026-05-25T17:26:00Z</dcterms:created>
  <dc:creator>Lukasz Wieclaw</dc:creator>
  <dc:description/>
  <dc:language>pl-PL</dc:language>
  <cp:lastModifiedBy/>
  <cp:lastPrinted>2026-05-08T17:02:00Z</cp:lastPrinted>
  <dcterms:modified xsi:type="dcterms:W3CDTF">2026-06-10T12:18:28Z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