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20.svg" ContentType="image/svg"/>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keepLines/>
              <w:widowControl/>
              <w:spacing w:before="0" w:after="0"/>
              <w:jc w:val="center"/>
              <w:rPr>
                <w:rFonts w:eastAsia="Times New Roman"/>
                <w:sz w:val="32"/>
                <w:szCs w:val="32"/>
                <w:lang w:eastAsia="pl-PL"/>
              </w:rPr>
            </w:pPr>
            <w:r>
              <w:rPr>
                <w:rFonts w:cs="Arial"/>
                <w:kern w:val="0"/>
                <w:lang w:val="pl-PL" w:bidi="ar-SA"/>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start w:val="nil"/>
              <w:bottom w:val="nil"/>
              <w:end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sz w:val="28"/>
          <w:szCs w:val="28"/>
          <w:lang w:eastAsia="pl-PL"/>
        </w:rPr>
      </w:pPr>
      <w:r>
        <w:rPr>
          <w:rFonts w:eastAsia="Times New Roman"/>
          <w:sz w:val="32"/>
          <w:szCs w:val="32"/>
          <w:lang w:eastAsia="pl-PL"/>
        </w:rPr>
        <w:t xml:space="preserve">SPECJALNOŚĆ: </w:t>
      </w:r>
      <w:r>
        <w:rPr>
          <w:rFonts w:eastAsia="Times New Roman"/>
          <w:b/>
          <w:bCs/>
          <w:sz w:val="32"/>
          <w:szCs w:val="32"/>
          <w:lang w:eastAsia="pl-PL"/>
        </w:rPr>
        <w:t>SZTUCZNA INTELIGENCJA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prof. dr hab. Vasyl Martsenyuk</w:t>
      </w:r>
    </w:p>
    <w:p>
      <w:pPr>
        <w:pStyle w:val="Normal"/>
        <w:keepLines/>
        <w:spacing w:lineRule="auto" w:line="240"/>
        <w:ind w:hanging="4963" w:star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r>
            <w:fldChar w:fldCharType="begin"/>
          </w:r>
          <w:r>
            <w:rPr>
              <w:rStyle w:val="czeindeksu"/>
              <w:webHidden/>
            </w:rPr>
            <w:instrText xml:space="preserve"> TOC \z \o "1-3" \u \h</w:instrText>
          </w:r>
          <w:r>
            <w:rPr>
              <w:rStyle w:val="czeindeksu"/>
              <w:webHidden/>
            </w:rPr>
            <w:fldChar w:fldCharType="separate"/>
          </w:r>
          <w:hyperlink w:anchor="_Toc228645075">
            <w:r>
              <w:rPr>
                <w:rStyle w:val="czeindeksu"/>
                <w:webHidden/>
              </w:rPr>
              <w:t>Wykaz skrótów i oznaczeń</w:t>
            </w:r>
            <w:r>
              <w:rPr>
                <w:webHidden/>
              </w:rPr>
              <w:fldChar w:fldCharType="begin"/>
            </w:r>
            <w:r>
              <w:rPr>
                <w:webHidden/>
              </w:rPr>
              <w:instrText xml:space="preserve">PAGEREF _Toc228645075 \h</w:instrText>
            </w:r>
            <w:r>
              <w:rPr>
                <w:webHidden/>
              </w:rPr>
              <w:fldChar w:fldCharType="separate"/>
            </w:r>
            <w:r>
              <w:rPr>
                <w:rStyle w:val="czeindeksu"/>
                <w:vanish w:val="false"/>
              </w:rPr>
              <w:tab/>
              <w:t>6</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645076">
            <w:r>
              <w:rPr>
                <w:rStyle w:val="czeindeksu"/>
                <w:webHidden/>
              </w:rPr>
              <w:t>Wstęp</w:t>
            </w:r>
            <w:r>
              <w:rPr>
                <w:webHidden/>
              </w:rPr>
              <w:fldChar w:fldCharType="begin"/>
            </w:r>
            <w:r>
              <w:rPr>
                <w:webHidden/>
              </w:rPr>
              <w:instrText xml:space="preserve">PAGEREF _Toc228645076 \h</w:instrText>
            </w:r>
            <w:r>
              <w:rPr>
                <w:webHidden/>
              </w:rPr>
              <w:fldChar w:fldCharType="separate"/>
            </w:r>
            <w:r>
              <w:rPr>
                <w:rStyle w:val="czeindeksu"/>
                <w:vanish w:val="false"/>
              </w:rPr>
              <w:tab/>
              <w:t>8</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645077">
            <w:r>
              <w:rPr>
                <w:rStyle w:val="czeindeksu"/>
                <w:webHidden/>
              </w:rPr>
              <w:t>Cel</w:t>
            </w:r>
            <w:r>
              <w:rPr>
                <w:webHidden/>
              </w:rPr>
              <w:fldChar w:fldCharType="begin"/>
            </w:r>
            <w:r>
              <w:rPr>
                <w:webHidden/>
              </w:rPr>
              <w:instrText xml:space="preserve">PAGEREF _Toc228645077 \h</w:instrText>
            </w:r>
            <w:r>
              <w:rPr>
                <w:webHidden/>
              </w:rPr>
              <w:fldChar w:fldCharType="separate"/>
            </w:r>
            <w:r>
              <w:rPr>
                <w:rStyle w:val="czeindeksu"/>
                <w:vanish w:val="false"/>
              </w:rPr>
              <w:tab/>
              <w:t>9</w:t>
            </w:r>
            <w:r>
              <w:rPr>
                <w:webHidden/>
              </w:rPr>
              <w:fldChar w:fldCharType="end"/>
            </w:r>
          </w:hyperlink>
        </w:p>
        <w:p>
          <w:pPr>
            <w:pStyle w:val="TOC1"/>
            <w:tabs>
              <w:tab w:val="clear" w:pos="708"/>
              <w:tab w:val="right" w:pos="9062" w:leader="dot"/>
            </w:tabs>
            <w:rPr>
              <w:rFonts w:ascii="Calibri" w:hAnsi="Calibri" w:eastAsia="游明朝" w:asciiTheme="minorHAnsi" w:eastAsiaTheme="minorEastAsia" w:hAnsiTheme="minorHAnsi"/>
              <w:b w:val="false"/>
              <w:color w:val="auto"/>
              <w:szCs w:val="24"/>
              <w:lang w:eastAsia="pl-PL"/>
            </w:rPr>
          </w:pPr>
          <w:hyperlink w:anchor="_Toc228645078">
            <w:r>
              <w:rPr>
                <w:rStyle w:val="czeindeksu"/>
                <w:webHidden/>
              </w:rPr>
              <w:t>Zakres pracy</w:t>
            </w:r>
            <w:r>
              <w:rPr>
                <w:webHidden/>
              </w:rPr>
              <w:fldChar w:fldCharType="begin"/>
            </w:r>
            <w:r>
              <w:rPr>
                <w:webHidden/>
              </w:rPr>
              <w:instrText xml:space="preserve">PAGEREF _Toc228645078 \h</w:instrText>
            </w:r>
            <w:r>
              <w:rPr>
                <w:webHidden/>
              </w:rPr>
              <w:fldChar w:fldCharType="separate"/>
            </w:r>
            <w:r>
              <w:rPr>
                <w:rStyle w:val="czeindeksu"/>
                <w:vanish w:val="false"/>
              </w:rPr>
              <w:tab/>
              <w:t>10</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079">
            <w:r>
              <w:rPr>
                <w:rStyle w:val="czeindeksu"/>
                <w:webHidden/>
              </w:rPr>
              <w:t>1.</w:t>
            </w:r>
            <w:r>
              <w:rPr>
                <w:rStyle w:val="czeindeksu"/>
                <w:rFonts w:eastAsia="游明朝" w:ascii="Calibri" w:hAnsi="Calibri" w:asciiTheme="minorHAnsi" w:eastAsiaTheme="minorEastAsia" w:hAnsiTheme="minorHAnsi"/>
                <w:b w:val="false"/>
                <w:color w:val="auto"/>
                <w:szCs w:val="24"/>
                <w:lang w:eastAsia="pl-PL"/>
              </w:rPr>
              <w:tab/>
            </w:r>
            <w:r>
              <w:rPr>
                <w:rStyle w:val="czeindeksu"/>
              </w:rPr>
              <w:t>Dermatologia i automatyczna diagnostyka skórna - przegląd literaturowy</w:t>
            </w:r>
            <w:r>
              <w:rPr>
                <w:webHidden/>
              </w:rPr>
              <w:fldChar w:fldCharType="begin"/>
            </w:r>
            <w:r>
              <w:rPr>
                <w:webHidden/>
              </w:rPr>
              <w:instrText xml:space="preserve">PAGEREF _Toc228645079 \h</w:instrText>
            </w:r>
            <w:r>
              <w:rPr>
                <w:webHidden/>
              </w:rPr>
              <w:fldChar w:fldCharType="separate"/>
            </w:r>
            <w:r>
              <w:rPr>
                <w:rStyle w:val="czeindeksu"/>
                <w:vanish w:val="false"/>
              </w:rPr>
              <w:tab/>
              <w:t>11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080">
            <w:r>
              <w:rPr>
                <w:rStyle w:val="czeindeksu"/>
                <w:webHidden/>
              </w:rPr>
              <w:t>1.1</w:t>
            </w:r>
            <w:r>
              <w:rPr>
                <w:rStyle w:val="czeindeksu"/>
                <w:rFonts w:eastAsia="游明朝" w:ascii="Calibri" w:hAnsi="Calibri" w:asciiTheme="minorHAnsi" w:eastAsiaTheme="minorEastAsia" w:hAnsiTheme="minorHAnsi"/>
                <w:color w:val="auto"/>
                <w:szCs w:val="24"/>
                <w:lang w:eastAsia="pl-PL"/>
              </w:rPr>
              <w:tab/>
            </w:r>
            <w:r>
              <w:rPr>
                <w:rStyle w:val="czeindeksu"/>
              </w:rPr>
              <w:t>Skóra jako narząd i jej choroby</w:t>
            </w:r>
            <w:r>
              <w:rPr>
                <w:webHidden/>
              </w:rPr>
              <w:fldChar w:fldCharType="begin"/>
            </w:r>
            <w:r>
              <w:rPr>
                <w:webHidden/>
              </w:rPr>
              <w:instrText xml:space="preserve">PAGEREF _Toc228645080 \h</w:instrText>
            </w:r>
            <w:r>
              <w:rPr>
                <w:webHidden/>
              </w:rPr>
              <w:fldChar w:fldCharType="separate"/>
            </w:r>
            <w:r>
              <w:rPr>
                <w:rStyle w:val="czeindeksu"/>
                <w:vanish w:val="false"/>
              </w:rPr>
              <w:tab/>
              <w:t>11</w:t>
            </w:r>
            <w:r>
              <w:rPr>
                <w:webHidden/>
              </w:rPr>
              <w:fldChar w:fldCharType="end"/>
            </w:r>
          </w:hyperlink>
        </w:p>
        <w:p>
          <w:pPr>
            <w:pStyle w:val="TOC3"/>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81">
            <w:r>
              <w:rPr>
                <w:rStyle w:val="czeindeksu"/>
                <w:webHidden/>
              </w:rPr>
              <w:t>1.1.1 K</w:t>
            </w:r>
            <w:r>
              <w:rPr>
                <w:rStyle w:val="czeindeksu"/>
                <w:bCs/>
              </w:rPr>
              <w:t>lasyfikacja nowotworów skóry w zbiorze danych</w:t>
            </w:r>
            <w:r>
              <w:rPr>
                <w:webHidden/>
              </w:rPr>
              <w:fldChar w:fldCharType="begin"/>
            </w:r>
            <w:r>
              <w:rPr>
                <w:webHidden/>
              </w:rPr>
              <w:instrText xml:space="preserve">PAGEREF _Toc228645081 \h</w:instrText>
            </w:r>
            <w:r>
              <w:rPr>
                <w:webHidden/>
              </w:rPr>
              <w:fldChar w:fldCharType="separate"/>
            </w:r>
            <w:r>
              <w:rPr>
                <w:rStyle w:val="czeindeksu"/>
                <w:vanish w:val="false"/>
              </w:rPr>
              <w:tab/>
              <w:t>12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2">
            <w:r>
              <w:rPr>
                <w:rStyle w:val="czeindeksu"/>
                <w:webHidden/>
              </w:rPr>
              <w:t>1.1.2</w:t>
            </w:r>
            <w:r>
              <w:rPr>
                <w:rStyle w:val="czeindeksu"/>
                <w:rFonts w:eastAsia="游明朝" w:ascii="Calibri" w:hAnsi="Calibri" w:asciiTheme="minorHAnsi" w:eastAsiaTheme="minorEastAsia" w:hAnsiTheme="minorHAnsi"/>
                <w:color w:val="auto"/>
                <w:szCs w:val="24"/>
                <w:lang w:eastAsia="pl-PL"/>
              </w:rPr>
              <w:tab/>
            </w:r>
            <w:r>
              <w:rPr>
                <w:rStyle w:val="czeindeksu"/>
                <w:bCs/>
              </w:rPr>
              <w:t>Wirusowe choroby zakaźne z manifestacją skórną</w:t>
            </w:r>
            <w:r>
              <w:rPr>
                <w:webHidden/>
              </w:rPr>
              <w:fldChar w:fldCharType="begin"/>
            </w:r>
            <w:r>
              <w:rPr>
                <w:webHidden/>
              </w:rPr>
              <w:instrText xml:space="preserve">PAGEREF _Toc228645082 \h</w:instrText>
            </w:r>
            <w:r>
              <w:rPr>
                <w:webHidden/>
              </w:rPr>
              <w:fldChar w:fldCharType="separate"/>
            </w:r>
            <w:r>
              <w:rPr>
                <w:rStyle w:val="czeindeksu"/>
                <w:vanish w:val="false"/>
              </w:rPr>
              <w:tab/>
              <w:t>16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3">
            <w:r>
              <w:rPr>
                <w:rStyle w:val="czeindeksu"/>
                <w:webHidden/>
              </w:rPr>
              <w:t>1.1.3</w:t>
            </w:r>
            <w:r>
              <w:rPr>
                <w:rStyle w:val="czeindeksu"/>
                <w:rFonts w:eastAsia="游明朝" w:ascii="Calibri" w:hAnsi="Calibri" w:asciiTheme="minorHAnsi" w:eastAsiaTheme="minorEastAsia" w:hAnsiTheme="minorHAnsi"/>
                <w:color w:val="auto"/>
                <w:szCs w:val="24"/>
                <w:lang w:eastAsia="pl-PL"/>
              </w:rPr>
              <w:tab/>
            </w:r>
            <w:r>
              <w:rPr>
                <w:rStyle w:val="czeindeksu"/>
                <w:bCs/>
              </w:rPr>
              <w:t>Zmiany łagodne i inne klasy diagnostyczne</w:t>
            </w:r>
            <w:r>
              <w:rPr>
                <w:webHidden/>
              </w:rPr>
              <w:fldChar w:fldCharType="begin"/>
            </w:r>
            <w:r>
              <w:rPr>
                <w:webHidden/>
              </w:rPr>
              <w:instrText xml:space="preserve">PAGEREF _Toc228645083 \h</w:instrText>
            </w:r>
            <w:r>
              <w:rPr>
                <w:webHidden/>
              </w:rPr>
              <w:fldChar w:fldCharType="separate"/>
            </w:r>
            <w:r>
              <w:rPr>
                <w:rStyle w:val="czeindeksu"/>
                <w:vanish w:val="false"/>
              </w:rPr>
              <w:tab/>
              <w:t>19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084">
            <w:r>
              <w:rPr>
                <w:rStyle w:val="czeindeksu"/>
                <w:webHidden/>
              </w:rPr>
              <w:t>1.2</w:t>
            </w:r>
            <w:r>
              <w:rPr>
                <w:rStyle w:val="czeindeksu"/>
                <w:rFonts w:eastAsia="游明朝" w:ascii="Calibri" w:hAnsi="Calibri" w:asciiTheme="minorHAnsi" w:eastAsiaTheme="minorEastAsia" w:hAnsiTheme="minorHAnsi"/>
                <w:color w:val="auto"/>
                <w:szCs w:val="24"/>
                <w:lang w:eastAsia="pl-PL"/>
              </w:rPr>
              <w:tab/>
            </w:r>
            <w:r>
              <w:rPr>
                <w:rStyle w:val="czeindeksu"/>
                <w:bCs/>
              </w:rPr>
              <w:t>Rola sztucznej inteligencji we wspomaganiu diagnostyki dermatologicznej</w:t>
            </w:r>
            <w:r>
              <w:rPr>
                <w:webHidden/>
              </w:rPr>
              <w:fldChar w:fldCharType="begin"/>
            </w:r>
            <w:r>
              <w:rPr>
                <w:webHidden/>
              </w:rPr>
              <w:instrText xml:space="preserve">PAGEREF _Toc228645084 \h</w:instrText>
            </w:r>
            <w:r>
              <w:rPr>
                <w:webHidden/>
              </w:rPr>
              <w:fldChar w:fldCharType="separate"/>
            </w:r>
            <w:r>
              <w:rPr>
                <w:rStyle w:val="czeindeksu"/>
                <w:vanish w:val="false"/>
              </w:rPr>
              <w:tab/>
              <w:t>22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5">
            <w:r>
              <w:rPr>
                <w:rStyle w:val="czeindeksu"/>
                <w:webHidden/>
              </w:rPr>
              <w:t>1.2.1</w:t>
            </w:r>
            <w:r>
              <w:rPr>
                <w:rStyle w:val="czeindeksu"/>
                <w:rFonts w:eastAsia="游明朝" w:ascii="Calibri" w:hAnsi="Calibri" w:asciiTheme="minorHAnsi" w:eastAsiaTheme="minorEastAsia" w:hAnsiTheme="minorHAnsi"/>
                <w:color w:val="auto"/>
                <w:szCs w:val="24"/>
                <w:lang w:eastAsia="pl-PL"/>
              </w:rPr>
              <w:tab/>
            </w:r>
            <w:r>
              <w:rPr>
                <w:rStyle w:val="czeindeksu"/>
              </w:rPr>
              <w:t>Konwolucyjne sieci neuronowe - podstawy teoretyczne</w:t>
            </w:r>
            <w:r>
              <w:rPr>
                <w:webHidden/>
              </w:rPr>
              <w:fldChar w:fldCharType="begin"/>
            </w:r>
            <w:r>
              <w:rPr>
                <w:webHidden/>
              </w:rPr>
              <w:instrText xml:space="preserve">PAGEREF _Toc228645085 \h</w:instrText>
            </w:r>
            <w:r>
              <w:rPr>
                <w:webHidden/>
              </w:rPr>
              <w:fldChar w:fldCharType="separate"/>
            </w:r>
            <w:r>
              <w:rPr>
                <w:rStyle w:val="czeindeksu"/>
                <w:vanish w:val="false"/>
              </w:rPr>
              <w:tab/>
              <w:t>22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6">
            <w:r>
              <w:rPr>
                <w:rStyle w:val="czeindeksu"/>
                <w:webHidden/>
              </w:rPr>
              <w:t>1.2.2</w:t>
            </w:r>
            <w:r>
              <w:rPr>
                <w:rStyle w:val="czeindeksu"/>
                <w:rFonts w:eastAsia="游明朝" w:ascii="Calibri" w:hAnsi="Calibri" w:asciiTheme="minorHAnsi" w:eastAsiaTheme="minorEastAsia" w:hAnsiTheme="minorHAnsi"/>
                <w:color w:val="auto"/>
                <w:szCs w:val="24"/>
                <w:lang w:eastAsia="pl-PL"/>
              </w:rPr>
              <w:tab/>
            </w:r>
            <w:r>
              <w:rPr>
                <w:rStyle w:val="czeindeksu"/>
              </w:rPr>
              <w:t>ResNet-50 i połączenia rezydualne</w:t>
            </w:r>
            <w:r>
              <w:rPr>
                <w:webHidden/>
              </w:rPr>
              <w:fldChar w:fldCharType="begin"/>
            </w:r>
            <w:r>
              <w:rPr>
                <w:webHidden/>
              </w:rPr>
              <w:instrText xml:space="preserve">PAGEREF _Toc228645086 \h</w:instrText>
            </w:r>
            <w:r>
              <w:rPr>
                <w:webHidden/>
              </w:rPr>
              <w:fldChar w:fldCharType="separate"/>
            </w:r>
            <w:r>
              <w:rPr>
                <w:rStyle w:val="czeindeksu"/>
                <w:vanish w:val="false"/>
              </w:rPr>
              <w:tab/>
              <w:t>23</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7">
            <w:r>
              <w:rPr>
                <w:rStyle w:val="czeindeksu"/>
                <w:webHidden/>
              </w:rPr>
              <w:t>1.2.3</w:t>
            </w:r>
            <w:r>
              <w:rPr>
                <w:rStyle w:val="czeindeksu"/>
                <w:rFonts w:eastAsia="游明朝" w:ascii="Calibri" w:hAnsi="Calibri" w:asciiTheme="minorHAnsi" w:eastAsiaTheme="minorEastAsia" w:hAnsiTheme="minorHAnsi"/>
                <w:color w:val="auto"/>
                <w:szCs w:val="24"/>
                <w:lang w:eastAsia="pl-PL"/>
              </w:rPr>
              <w:tab/>
            </w:r>
            <w:r>
              <w:rPr>
                <w:rStyle w:val="czeindeksu"/>
              </w:rPr>
              <w:t>MobileNetV3 – architektura mobilna</w:t>
            </w:r>
            <w:r>
              <w:rPr>
                <w:webHidden/>
              </w:rPr>
              <w:fldChar w:fldCharType="begin"/>
            </w:r>
            <w:r>
              <w:rPr>
                <w:webHidden/>
              </w:rPr>
              <w:instrText xml:space="preserve">PAGEREF _Toc228645087 \h</w:instrText>
            </w:r>
            <w:r>
              <w:rPr>
                <w:webHidden/>
              </w:rPr>
              <w:fldChar w:fldCharType="separate"/>
            </w:r>
            <w:r>
              <w:rPr>
                <w:rStyle w:val="czeindeksu"/>
                <w:vanish w:val="false"/>
              </w:rPr>
              <w:tab/>
              <w:t>24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8">
            <w:r>
              <w:rPr>
                <w:rStyle w:val="czeindeksu"/>
                <w:webHidden/>
              </w:rPr>
              <w:t>1.2.4</w:t>
            </w:r>
            <w:r>
              <w:rPr>
                <w:rStyle w:val="czeindeksu"/>
                <w:rFonts w:eastAsia="游明朝" w:ascii="Calibri" w:hAnsi="Calibri" w:asciiTheme="minorHAnsi" w:eastAsiaTheme="minorEastAsia" w:hAnsiTheme="minorHAnsi"/>
                <w:color w:val="auto"/>
                <w:szCs w:val="24"/>
                <w:lang w:eastAsia="pl-PL"/>
              </w:rPr>
              <w:tab/>
            </w:r>
            <w:r>
              <w:rPr>
                <w:rStyle w:val="czeindeksu"/>
              </w:rPr>
              <w:t>EfficientNet-B0 – złożone skalowanie</w:t>
            </w:r>
            <w:r>
              <w:rPr>
                <w:webHidden/>
              </w:rPr>
              <w:fldChar w:fldCharType="begin"/>
            </w:r>
            <w:r>
              <w:rPr>
                <w:webHidden/>
              </w:rPr>
              <w:instrText xml:space="preserve">PAGEREF _Toc228645088 \h</w:instrText>
            </w:r>
            <w:r>
              <w:rPr>
                <w:webHidden/>
              </w:rPr>
              <w:fldChar w:fldCharType="separate"/>
            </w:r>
            <w:r>
              <w:rPr>
                <w:rStyle w:val="czeindeksu"/>
                <w:vanish w:val="false"/>
              </w:rPr>
              <w:tab/>
              <w:t>25</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89">
            <w:r>
              <w:rPr>
                <w:rStyle w:val="czeindeksu"/>
                <w:webHidden/>
              </w:rPr>
              <w:t>1.2.5</w:t>
            </w:r>
            <w:r>
              <w:rPr>
                <w:rStyle w:val="czeindeksu"/>
                <w:rFonts w:eastAsia="游明朝" w:ascii="Calibri" w:hAnsi="Calibri" w:asciiTheme="minorHAnsi" w:eastAsiaTheme="minorEastAsia" w:hAnsiTheme="minorHAnsi"/>
                <w:color w:val="auto"/>
                <w:szCs w:val="24"/>
                <w:lang w:eastAsia="pl-PL"/>
              </w:rPr>
              <w:tab/>
            </w:r>
            <w:r>
              <w:rPr>
                <w:rStyle w:val="czeindeksu"/>
              </w:rPr>
              <w:t>Transformer wizyjny - podstawy teoretyczne</w:t>
            </w:r>
            <w:r>
              <w:rPr>
                <w:webHidden/>
              </w:rPr>
              <w:fldChar w:fldCharType="begin"/>
            </w:r>
            <w:r>
              <w:rPr>
                <w:webHidden/>
              </w:rPr>
              <w:instrText xml:space="preserve">PAGEREF _Toc228645089 \h</w:instrText>
            </w:r>
            <w:r>
              <w:rPr>
                <w:webHidden/>
              </w:rPr>
              <w:fldChar w:fldCharType="separate"/>
            </w:r>
            <w:r>
              <w:rPr>
                <w:rStyle w:val="czeindeksu"/>
                <w:vanish w:val="false"/>
              </w:rPr>
              <w:tab/>
              <w:t>26</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090">
            <w:r>
              <w:rPr>
                <w:rStyle w:val="czeindeksu"/>
                <w:webHidden/>
                <w:lang w:val="en-US"/>
              </w:rPr>
              <w:t>1.2.6</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 – mechanizm samoatencji</w:t>
            </w:r>
            <w:r>
              <w:rPr>
                <w:webHidden/>
              </w:rPr>
              <w:fldChar w:fldCharType="begin"/>
            </w:r>
            <w:r>
              <w:rPr>
                <w:webHidden/>
              </w:rPr>
              <w:instrText xml:space="preserve">PAGEREF _Toc228645090 \h</w:instrText>
            </w:r>
            <w:r>
              <w:rPr>
                <w:webHidden/>
              </w:rPr>
              <w:fldChar w:fldCharType="separate"/>
            </w:r>
            <w:r>
              <w:rPr>
                <w:rStyle w:val="czeindeksu"/>
                <w:vanish w:val="false"/>
              </w:rPr>
              <w:tab/>
              <w:t>27</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091">
            <w:r>
              <w:rPr>
                <w:rStyle w:val="czeindeksu"/>
                <w:webHidden/>
              </w:rPr>
              <w:t>2.</w:t>
            </w:r>
            <w:r>
              <w:rPr>
                <w:rStyle w:val="czeindeksu"/>
                <w:rFonts w:eastAsia="游明朝" w:ascii="Calibri" w:hAnsi="Calibri" w:asciiTheme="minorHAnsi" w:eastAsiaTheme="minorEastAsia" w:hAnsiTheme="minorHAnsi"/>
                <w:b w:val="false"/>
                <w:color w:val="auto"/>
                <w:szCs w:val="24"/>
                <w:lang w:eastAsia="pl-PL"/>
              </w:rPr>
              <w:tab/>
            </w:r>
            <w:r>
              <w:rPr>
                <w:rStyle w:val="czeindeksu"/>
              </w:rPr>
              <w:t>Projekt</w:t>
            </w:r>
            <w:r>
              <w:rPr>
                <w:webHidden/>
              </w:rPr>
              <w:fldChar w:fldCharType="begin"/>
            </w:r>
            <w:r>
              <w:rPr>
                <w:webHidden/>
              </w:rPr>
              <w:instrText xml:space="preserve">PAGEREF _Toc228645091 \h</w:instrText>
            </w:r>
            <w:r>
              <w:rPr>
                <w:webHidden/>
              </w:rPr>
              <w:fldChar w:fldCharType="separate"/>
            </w:r>
            <w:r>
              <w:rPr>
                <w:rStyle w:val="czeindeksu"/>
                <w:vanish w:val="false"/>
              </w:rPr>
              <w:tab/>
              <w:t>29</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2">
            <w:r>
              <w:rPr>
                <w:rStyle w:val="czeindeksu"/>
                <w:webHidden/>
              </w:rPr>
              <w:t>2.1 Charakterystyka środowiska i stosu technologicznego</w:t>
            </w:r>
            <w:r>
              <w:rPr>
                <w:webHidden/>
              </w:rPr>
              <w:fldChar w:fldCharType="begin"/>
            </w:r>
            <w:r>
              <w:rPr>
                <w:webHidden/>
              </w:rPr>
              <w:instrText xml:space="preserve">PAGEREF _Toc228645092 \h</w:instrText>
            </w:r>
            <w:r>
              <w:rPr>
                <w:webHidden/>
              </w:rPr>
              <w:fldChar w:fldCharType="separate"/>
            </w:r>
            <w:r>
              <w:rPr>
                <w:rStyle w:val="czeindeksu"/>
                <w:vanish w:val="false"/>
              </w:rPr>
              <w:tab/>
              <w:t>29</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3">
            <w:r>
              <w:rPr>
                <w:rStyle w:val="czeindeksu"/>
                <w:webHidden/>
              </w:rPr>
              <w:t>2.2 Przygotowanie danych</w:t>
            </w:r>
            <w:r>
              <w:rPr>
                <w:webHidden/>
              </w:rPr>
              <w:fldChar w:fldCharType="begin"/>
            </w:r>
            <w:r>
              <w:rPr>
                <w:webHidden/>
              </w:rPr>
              <w:instrText xml:space="preserve">PAGEREF _Toc228645093 \h</w:instrText>
            </w:r>
            <w:r>
              <w:rPr>
                <w:webHidden/>
              </w:rPr>
              <w:fldChar w:fldCharType="separate"/>
            </w:r>
            <w:r>
              <w:rPr>
                <w:rStyle w:val="czeindeksu"/>
                <w:vanish w:val="false"/>
              </w:rPr>
              <w:tab/>
              <w:t>30</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4">
            <w:r>
              <w:rPr>
                <w:rStyle w:val="czeindeksu"/>
                <w:webHidden/>
              </w:rPr>
              <w:t>2.3 Podział danych oraz techniki przetwarzania wstępnego</w:t>
            </w:r>
            <w:r>
              <w:rPr>
                <w:webHidden/>
              </w:rPr>
              <w:fldChar w:fldCharType="begin"/>
            </w:r>
            <w:r>
              <w:rPr>
                <w:webHidden/>
              </w:rPr>
              <w:instrText xml:space="preserve">PAGEREF _Toc228645094 \h</w:instrText>
            </w:r>
            <w:r>
              <w:rPr>
                <w:webHidden/>
              </w:rPr>
              <w:fldChar w:fldCharType="separate"/>
            </w:r>
            <w:r>
              <w:rPr>
                <w:rStyle w:val="czeindeksu"/>
                <w:vanish w:val="false"/>
              </w:rPr>
              <w:tab/>
              <w:t>31</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5">
            <w:r>
              <w:rPr>
                <w:rStyle w:val="czeindeksu"/>
                <w:webHidden/>
              </w:rPr>
              <w:t>2.4 Parametry treningu</w:t>
            </w:r>
            <w:r>
              <w:rPr>
                <w:webHidden/>
              </w:rPr>
              <w:fldChar w:fldCharType="begin"/>
            </w:r>
            <w:r>
              <w:rPr>
                <w:webHidden/>
              </w:rPr>
              <w:instrText xml:space="preserve">PAGEREF _Toc228645095 \h</w:instrText>
            </w:r>
            <w:r>
              <w:rPr>
                <w:webHidden/>
              </w:rPr>
              <w:fldChar w:fldCharType="separate"/>
            </w:r>
            <w:r>
              <w:rPr>
                <w:rStyle w:val="czeindeksu"/>
                <w:vanish w:val="false"/>
              </w:rPr>
              <w:tab/>
              <w:t>33</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6">
            <w:r>
              <w:rPr>
                <w:rStyle w:val="czeindeksu"/>
                <w:webHidden/>
              </w:rPr>
              <w:t>2.5 Architektura własnego modelu CNN</w:t>
            </w:r>
            <w:r>
              <w:rPr>
                <w:webHidden/>
              </w:rPr>
              <w:fldChar w:fldCharType="begin"/>
            </w:r>
            <w:r>
              <w:rPr>
                <w:webHidden/>
              </w:rPr>
              <w:instrText xml:space="preserve">PAGEREF _Toc228645096 \h</w:instrText>
            </w:r>
            <w:r>
              <w:rPr>
                <w:webHidden/>
              </w:rPr>
              <w:fldChar w:fldCharType="separate"/>
            </w:r>
            <w:r>
              <w:rPr>
                <w:rStyle w:val="czeindeksu"/>
                <w:vanish w:val="false"/>
              </w:rPr>
              <w:tab/>
              <w:t>33</w:t>
            </w:r>
            <w:r>
              <w:rPr>
                <w:webHidden/>
              </w:rPr>
              <w:fldChar w:fldCharType="end"/>
            </w:r>
          </w:hyperlink>
        </w:p>
        <w:p>
          <w:pPr>
            <w:pStyle w:val="TOC2"/>
            <w:tabs>
              <w:tab w:val="clear" w:pos="708"/>
              <w:tab w:val="right" w:pos="9062" w:leader="dot"/>
            </w:tabs>
            <w:rPr>
              <w:rFonts w:ascii="Calibri" w:hAnsi="Calibri" w:eastAsia="游明朝" w:asciiTheme="minorHAnsi" w:eastAsiaTheme="minorEastAsia" w:hAnsiTheme="minorHAnsi"/>
              <w:color w:val="auto"/>
              <w:szCs w:val="24"/>
              <w:lang w:eastAsia="pl-PL"/>
            </w:rPr>
          </w:pPr>
          <w:hyperlink w:anchor="_Toc228645097">
            <w:r>
              <w:rPr>
                <w:rStyle w:val="czeindeksu"/>
                <w:webHidden/>
              </w:rPr>
              <w:t>2.6 Wizualizacja decyzji modelu za pomocą GRAD-CAM</w:t>
            </w:r>
            <w:r>
              <w:rPr>
                <w:webHidden/>
              </w:rPr>
              <w:fldChar w:fldCharType="begin"/>
            </w:r>
            <w:r>
              <w:rPr>
                <w:webHidden/>
              </w:rPr>
              <w:instrText xml:space="preserve">PAGEREF _Toc228645097 \h</w:instrText>
            </w:r>
            <w:r>
              <w:rPr>
                <w:webHidden/>
              </w:rPr>
              <w:fldChar w:fldCharType="separate"/>
            </w:r>
            <w:r>
              <w:rPr>
                <w:rStyle w:val="czeindeksu"/>
                <w:vanish w:val="false"/>
              </w:rPr>
              <w:tab/>
              <w:t>35</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098">
            <w:r>
              <w:rPr>
                <w:rStyle w:val="czeindeksu"/>
                <w:webHidden/>
              </w:rPr>
              <w:t>3.</w:t>
            </w:r>
            <w:r>
              <w:rPr>
                <w:rStyle w:val="czeindeksu"/>
                <w:rFonts w:eastAsia="游明朝" w:ascii="Calibri" w:hAnsi="Calibri" w:asciiTheme="minorHAnsi" w:eastAsiaTheme="minorEastAsia" w:hAnsiTheme="minorHAnsi"/>
                <w:b w:val="false"/>
                <w:color w:val="auto"/>
                <w:szCs w:val="24"/>
                <w:lang w:eastAsia="pl-PL"/>
              </w:rPr>
              <w:tab/>
            </w:r>
            <w:r>
              <w:rPr>
                <w:rStyle w:val="czeindeksu"/>
              </w:rPr>
              <w:t>Implementacja</w:t>
            </w:r>
            <w:r>
              <w:rPr>
                <w:webHidden/>
              </w:rPr>
              <w:fldChar w:fldCharType="begin"/>
            </w:r>
            <w:r>
              <w:rPr>
                <w:webHidden/>
              </w:rPr>
              <w:instrText xml:space="preserve">PAGEREF _Toc228645098 \h</w:instrText>
            </w:r>
            <w:r>
              <w:rPr>
                <w:webHidden/>
              </w:rPr>
              <w:fldChar w:fldCharType="separate"/>
            </w:r>
            <w:r>
              <w:rPr>
                <w:rStyle w:val="czeindeksu"/>
                <w:vanish w:val="false"/>
              </w:rPr>
              <w:tab/>
              <w:t>38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099">
            <w:r>
              <w:rPr>
                <w:rStyle w:val="czeindeksu"/>
                <w:webHidden/>
              </w:rPr>
              <w:t>3.1</w:t>
            </w:r>
            <w:r>
              <w:rPr>
                <w:rStyle w:val="czeindeksu"/>
                <w:rFonts w:eastAsia="游明朝" w:ascii="Calibri" w:hAnsi="Calibri" w:asciiTheme="minorHAnsi" w:eastAsiaTheme="minorEastAsia" w:hAnsiTheme="minorHAnsi"/>
                <w:color w:val="auto"/>
                <w:szCs w:val="24"/>
                <w:lang w:eastAsia="pl-PL"/>
              </w:rPr>
              <w:tab/>
            </w:r>
            <w:r>
              <w:rPr>
                <w:rStyle w:val="czeindeksu"/>
              </w:rPr>
              <w:t>Struktura projektu i modułowość</w:t>
            </w:r>
            <w:r>
              <w:rPr>
                <w:webHidden/>
              </w:rPr>
              <w:fldChar w:fldCharType="begin"/>
            </w:r>
            <w:r>
              <w:rPr>
                <w:webHidden/>
              </w:rPr>
              <w:instrText xml:space="preserve">PAGEREF _Toc228645099 \h</w:instrText>
            </w:r>
            <w:r>
              <w:rPr>
                <w:webHidden/>
              </w:rPr>
              <w:fldChar w:fldCharType="separate"/>
            </w:r>
            <w:r>
              <w:rPr>
                <w:rStyle w:val="czeindeksu"/>
                <w:vanish w:val="false"/>
              </w:rPr>
              <w:tab/>
              <w:t>38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0">
            <w:r>
              <w:rPr>
                <w:rStyle w:val="czeindeksu"/>
                <w:webHidden/>
              </w:rPr>
              <w:t>3.1.1</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w:t>
            </w:r>
            <w:r>
              <w:rPr>
                <w:webHidden/>
              </w:rPr>
              <w:fldChar w:fldCharType="begin"/>
            </w:r>
            <w:r>
              <w:rPr>
                <w:webHidden/>
              </w:rPr>
              <w:instrText xml:space="preserve">PAGEREF _Toc228645100 \h</w:instrText>
            </w:r>
            <w:r>
              <w:rPr>
                <w:webHidden/>
              </w:rPr>
              <w:fldChar w:fldCharType="separate"/>
            </w:r>
            <w:r>
              <w:rPr>
                <w:rStyle w:val="czeindeksu"/>
                <w:vanish w:val="false"/>
              </w:rPr>
              <w:tab/>
              <w:t>39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1">
            <w:r>
              <w:rPr>
                <w:rStyle w:val="czeindeksu"/>
                <w:webHidden/>
              </w:rPr>
              <w:t>3.1.2</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serwerowej</w:t>
            </w:r>
            <w:r>
              <w:rPr>
                <w:webHidden/>
              </w:rPr>
              <w:fldChar w:fldCharType="begin"/>
            </w:r>
            <w:r>
              <w:rPr>
                <w:webHidden/>
              </w:rPr>
              <w:instrText xml:space="preserve">PAGEREF _Toc228645101 \h</w:instrText>
            </w:r>
            <w:r>
              <w:rPr>
                <w:webHidden/>
              </w:rPr>
              <w:fldChar w:fldCharType="separate"/>
            </w:r>
            <w:r>
              <w:rPr>
                <w:rStyle w:val="czeindeksu"/>
                <w:vanish w:val="false"/>
              </w:rPr>
              <w:tab/>
              <w:t>39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2">
            <w:r>
              <w:rPr>
                <w:rStyle w:val="czeindeksu"/>
                <w:webHidden/>
              </w:rPr>
              <w:t>3.1.3</w:t>
            </w:r>
            <w:r>
              <w:rPr>
                <w:rStyle w:val="czeindeksu"/>
                <w:rFonts w:eastAsia="游明朝" w:ascii="Calibri" w:hAnsi="Calibri" w:asciiTheme="minorHAnsi" w:eastAsiaTheme="minorEastAsia" w:hAnsiTheme="minorHAnsi"/>
                <w:color w:val="auto"/>
                <w:szCs w:val="24"/>
                <w:lang w:eastAsia="pl-PL"/>
              </w:rPr>
              <w:tab/>
            </w:r>
            <w:r>
              <w:rPr>
                <w:rStyle w:val="czeindeksu"/>
              </w:rPr>
              <w:t>Architektura warstwy klienta</w:t>
            </w:r>
            <w:r>
              <w:rPr>
                <w:webHidden/>
              </w:rPr>
              <w:fldChar w:fldCharType="begin"/>
            </w:r>
            <w:r>
              <w:rPr>
                <w:webHidden/>
              </w:rPr>
              <w:instrText xml:space="preserve">PAGEREF _Toc228645102 \h</w:instrText>
            </w:r>
            <w:r>
              <w:rPr>
                <w:webHidden/>
              </w:rPr>
              <w:fldChar w:fldCharType="separate"/>
            </w:r>
            <w:r>
              <w:rPr>
                <w:rStyle w:val="czeindeksu"/>
                <w:vanish w:val="false"/>
              </w:rPr>
              <w:tab/>
              <w:t>40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3">
            <w:r>
              <w:rPr>
                <w:rStyle w:val="czeindeksu"/>
                <w:webHidden/>
              </w:rPr>
              <w:t>3.1.4</w:t>
            </w:r>
            <w:r>
              <w:rPr>
                <w:rStyle w:val="czeindeksu"/>
                <w:rFonts w:eastAsia="游明朝" w:ascii="Calibri" w:hAnsi="Calibri" w:asciiTheme="minorHAnsi" w:eastAsiaTheme="minorEastAsia" w:hAnsiTheme="minorHAnsi"/>
                <w:color w:val="auto"/>
                <w:szCs w:val="24"/>
                <w:lang w:eastAsia="pl-PL"/>
              </w:rPr>
              <w:tab/>
            </w:r>
            <w:r>
              <w:rPr>
                <w:rStyle w:val="czeindeksu"/>
              </w:rPr>
              <w:t>Warstwa persystencji</w:t>
            </w:r>
            <w:r>
              <w:rPr>
                <w:webHidden/>
              </w:rPr>
              <w:fldChar w:fldCharType="begin"/>
            </w:r>
            <w:r>
              <w:rPr>
                <w:webHidden/>
              </w:rPr>
              <w:instrText xml:space="preserve">PAGEREF _Toc228645103 \h</w:instrText>
            </w:r>
            <w:r>
              <w:rPr>
                <w:webHidden/>
              </w:rPr>
              <w:fldChar w:fldCharType="separate"/>
            </w:r>
            <w:r>
              <w:rPr>
                <w:rStyle w:val="czeindeksu"/>
                <w:vanish w:val="false"/>
              </w:rPr>
              <w:tab/>
              <w:t>40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4">
            <w:r>
              <w:rPr>
                <w:rStyle w:val="czeindeksu"/>
                <w:webHidden/>
              </w:rPr>
              <w:t>3.1.5</w:t>
            </w:r>
            <w:r>
              <w:rPr>
                <w:rStyle w:val="czeindeksu"/>
                <w:rFonts w:eastAsia="游明朝" w:ascii="Calibri" w:hAnsi="Calibri" w:asciiTheme="minorHAnsi" w:eastAsiaTheme="minorEastAsia" w:hAnsiTheme="minorHAnsi"/>
                <w:color w:val="auto"/>
                <w:szCs w:val="24"/>
                <w:lang w:eastAsia="pl-PL"/>
              </w:rPr>
              <w:tab/>
            </w:r>
            <w:r>
              <w:rPr>
                <w:rStyle w:val="czeindeksu"/>
              </w:rPr>
              <w:t>Użyte biblioteki</w:t>
            </w:r>
            <w:r>
              <w:rPr>
                <w:webHidden/>
              </w:rPr>
              <w:fldChar w:fldCharType="begin"/>
            </w:r>
            <w:r>
              <w:rPr>
                <w:webHidden/>
              </w:rPr>
              <w:instrText xml:space="preserve">PAGEREF _Toc228645104 \h</w:instrText>
            </w:r>
            <w:r>
              <w:rPr>
                <w:webHidden/>
              </w:rPr>
              <w:fldChar w:fldCharType="separate"/>
            </w:r>
            <w:r>
              <w:rPr>
                <w:rStyle w:val="czeindeksu"/>
                <w:vanish w:val="false"/>
              </w:rPr>
              <w:tab/>
              <w:t>41</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05">
            <w:r>
              <w:rPr>
                <w:rStyle w:val="czeindeksu"/>
                <w:webHidden/>
              </w:rPr>
              <w:t>3.2</w:t>
            </w:r>
            <w:r>
              <w:rPr>
                <w:rStyle w:val="czeindeksu"/>
                <w:rFonts w:eastAsia="游明朝" w:ascii="Calibri" w:hAnsi="Calibri" w:asciiTheme="minorHAnsi" w:eastAsiaTheme="minorEastAsia" w:hAnsiTheme="minorHAnsi"/>
                <w:color w:val="auto"/>
                <w:szCs w:val="24"/>
                <w:lang w:eastAsia="pl-PL"/>
              </w:rPr>
              <w:tab/>
            </w:r>
            <w:r>
              <w:rPr>
                <w:rStyle w:val="czeindeksu"/>
              </w:rPr>
              <w:t>Architektura systemu i przepływ danych</w:t>
            </w:r>
            <w:r>
              <w:rPr>
                <w:webHidden/>
              </w:rPr>
              <w:fldChar w:fldCharType="begin"/>
            </w:r>
            <w:r>
              <w:rPr>
                <w:webHidden/>
              </w:rPr>
              <w:instrText xml:space="preserve">PAGEREF _Toc228645105 \h</w:instrText>
            </w:r>
            <w:r>
              <w:rPr>
                <w:webHidden/>
              </w:rPr>
              <w:fldChar w:fldCharType="separate"/>
            </w:r>
            <w:r>
              <w:rPr>
                <w:rStyle w:val="czeindeksu"/>
                <w:vanish w:val="false"/>
              </w:rPr>
              <w:tab/>
              <w:t>43</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06">
            <w:r>
              <w:rPr>
                <w:rStyle w:val="czeindeksu"/>
                <w:webHidden/>
              </w:rPr>
              <w:t>3.3</w:t>
            </w:r>
            <w:r>
              <w:rPr>
                <w:rStyle w:val="czeindeksu"/>
                <w:rFonts w:eastAsia="游明朝" w:ascii="Calibri" w:hAnsi="Calibri" w:asciiTheme="minorHAnsi" w:eastAsiaTheme="minorEastAsia" w:hAnsiTheme="minorHAnsi"/>
                <w:color w:val="auto"/>
                <w:szCs w:val="24"/>
                <w:lang w:eastAsia="pl-PL"/>
              </w:rPr>
              <w:tab/>
            </w:r>
            <w:r>
              <w:rPr>
                <w:rStyle w:val="czeindeksu"/>
              </w:rPr>
              <w:t>Zbiór danych i przygotowanie materiału badawczego</w:t>
            </w:r>
            <w:r>
              <w:rPr>
                <w:webHidden/>
              </w:rPr>
              <w:fldChar w:fldCharType="begin"/>
            </w:r>
            <w:r>
              <w:rPr>
                <w:webHidden/>
              </w:rPr>
              <w:instrText xml:space="preserve">PAGEREF _Toc228645106 \h</w:instrText>
            </w:r>
            <w:r>
              <w:rPr>
                <w:webHidden/>
              </w:rPr>
              <w:fldChar w:fldCharType="separate"/>
            </w:r>
            <w:r>
              <w:rPr>
                <w:rStyle w:val="czeindeksu"/>
                <w:vanish w:val="false"/>
              </w:rPr>
              <w:tab/>
              <w:t>44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07">
            <w:r>
              <w:rPr>
                <w:rStyle w:val="czeindeksu"/>
                <w:webHidden/>
              </w:rPr>
              <w:t>3.4</w:t>
            </w:r>
            <w:r>
              <w:rPr>
                <w:rStyle w:val="czeindeksu"/>
                <w:rFonts w:eastAsia="游明朝" w:ascii="Calibri" w:hAnsi="Calibri" w:asciiTheme="minorHAnsi" w:eastAsiaTheme="minorEastAsia" w:hAnsiTheme="minorHAnsi"/>
                <w:color w:val="auto"/>
                <w:szCs w:val="24"/>
                <w:lang w:eastAsia="pl-PL"/>
              </w:rPr>
              <w:tab/>
            </w:r>
            <w:r>
              <w:rPr>
                <w:rStyle w:val="czeindeksu"/>
              </w:rPr>
              <w:t>Środowisko treningowe i konfiguracja eksperymentów</w:t>
            </w:r>
            <w:r>
              <w:rPr>
                <w:webHidden/>
              </w:rPr>
              <w:fldChar w:fldCharType="begin"/>
            </w:r>
            <w:r>
              <w:rPr>
                <w:webHidden/>
              </w:rPr>
              <w:instrText xml:space="preserve">PAGEREF _Toc228645107 \h</w:instrText>
            </w:r>
            <w:r>
              <w:rPr>
                <w:webHidden/>
              </w:rPr>
              <w:fldChar w:fldCharType="separate"/>
            </w:r>
            <w:r>
              <w:rPr>
                <w:rStyle w:val="czeindeksu"/>
                <w:vanish w:val="false"/>
              </w:rPr>
              <w:tab/>
              <w:t>46</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08">
            <w:r>
              <w:rPr>
                <w:rStyle w:val="czeindeksu"/>
                <w:webHidden/>
              </w:rPr>
              <w:t>3.5</w:t>
            </w:r>
            <w:r>
              <w:rPr>
                <w:rStyle w:val="czeindeksu"/>
                <w:rFonts w:eastAsia="游明朝" w:ascii="Calibri" w:hAnsi="Calibri" w:asciiTheme="minorHAnsi" w:eastAsiaTheme="minorEastAsia" w:hAnsiTheme="minorHAnsi"/>
                <w:color w:val="auto"/>
                <w:szCs w:val="24"/>
                <w:lang w:eastAsia="pl-PL"/>
              </w:rPr>
              <w:tab/>
            </w:r>
            <w:r>
              <w:rPr>
                <w:rStyle w:val="czeindeksu"/>
              </w:rPr>
              <w:t>Implementacja i adaptacja architektur sieciowych</w:t>
            </w:r>
            <w:r>
              <w:rPr>
                <w:webHidden/>
              </w:rPr>
              <w:fldChar w:fldCharType="begin"/>
            </w:r>
            <w:r>
              <w:rPr>
                <w:webHidden/>
              </w:rPr>
              <w:instrText xml:space="preserve">PAGEREF _Toc228645108 \h</w:instrText>
            </w:r>
            <w:r>
              <w:rPr>
                <w:webHidden/>
              </w:rPr>
              <w:fldChar w:fldCharType="separate"/>
            </w:r>
            <w:r>
              <w:rPr>
                <w:rStyle w:val="czeindeksu"/>
                <w:vanish w:val="false"/>
              </w:rPr>
              <w:tab/>
              <w:t>47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09">
            <w:r>
              <w:rPr>
                <w:rStyle w:val="czeindeksu"/>
                <w:webHidden/>
              </w:rPr>
              <w:t>3.5.1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_Toc228645109 \h</w:instrText>
            </w:r>
            <w:r>
              <w:rPr>
                <w:webHidden/>
              </w:rPr>
              <w:fldChar w:fldCharType="separate"/>
            </w:r>
            <w:r>
              <w:rPr>
                <w:rStyle w:val="czeindeksu"/>
                <w:vanish w:val="false"/>
              </w:rPr>
              <w:tab/>
              <w:t>47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0">
            <w:r>
              <w:rPr>
                <w:rStyle w:val="czeindeksu"/>
                <w:webHidden/>
              </w:rPr>
              <w:t>3.5.2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_Toc228645110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1">
            <w:r>
              <w:rPr>
                <w:rStyle w:val="czeindeksu"/>
                <w:webHidden/>
              </w:rPr>
              <w:t>3.5.3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_Toc228645111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2">
            <w:r>
              <w:rPr>
                <w:rStyle w:val="czeindeksu"/>
                <w:webHidden/>
              </w:rPr>
              <w:t>3.5.4</w:t>
            </w:r>
            <w:r>
              <w:rPr>
                <w:rStyle w:val="czeindeksu"/>
                <w:rFonts w:eastAsia="游明朝" w:ascii="Calibri" w:hAnsi="Calibri" w:asciiTheme="minorHAnsi" w:eastAsiaTheme="minorEastAsia" w:hAnsiTheme="minorHAnsi"/>
                <w:color w:val="auto"/>
                <w:szCs w:val="24"/>
                <w:lang w:eastAsia="pl-PL"/>
              </w:rPr>
              <w:tab/>
            </w:r>
            <w:r>
              <w:rPr>
                <w:rStyle w:val="czeindeksu"/>
              </w:rPr>
              <w:t>EfficientNet-B0</w:t>
            </w:r>
            <w:r>
              <w:rPr>
                <w:webHidden/>
              </w:rPr>
              <w:fldChar w:fldCharType="begin"/>
            </w:r>
            <w:r>
              <w:rPr>
                <w:webHidden/>
              </w:rPr>
              <w:instrText xml:space="preserve">PAGEREF _Toc228645112 \h</w:instrText>
            </w:r>
            <w:r>
              <w:rPr>
                <w:webHidden/>
              </w:rPr>
              <w:fldChar w:fldCharType="separate"/>
            </w:r>
            <w:r>
              <w:rPr>
                <w:rStyle w:val="czeindeksu"/>
                <w:vanish w:val="false"/>
              </w:rPr>
              <w:tab/>
              <w:t>48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3">
            <w:r>
              <w:rPr>
                <w:rStyle w:val="czeindeksu"/>
                <w:webHidden/>
                <w:lang w:val="en-US"/>
              </w:rPr>
              <w:t>3.5.5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_Toc228645113 \h</w:instrText>
            </w:r>
            <w:r>
              <w:rPr>
                <w:webHidden/>
              </w:rPr>
              <w:fldChar w:fldCharType="separate"/>
            </w:r>
            <w:r>
              <w:rPr>
                <w:rStyle w:val="czeindeksu"/>
                <w:vanish w:val="false"/>
              </w:rPr>
              <w:tab/>
              <w:t>48</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14">
            <w:r>
              <w:rPr>
                <w:rStyle w:val="czeindeksu"/>
                <w:webHidden/>
              </w:rPr>
              <w:t>3.6</w:t>
            </w:r>
            <w:r>
              <w:rPr>
                <w:rStyle w:val="czeindeksu"/>
                <w:rFonts w:eastAsia="游明朝" w:ascii="Calibri" w:hAnsi="Calibri" w:asciiTheme="minorHAnsi" w:eastAsiaTheme="minorEastAsia" w:hAnsiTheme="minorHAnsi"/>
                <w:color w:val="auto"/>
                <w:szCs w:val="24"/>
                <w:lang w:eastAsia="pl-PL"/>
              </w:rPr>
              <w:tab/>
            </w:r>
            <w:r>
              <w:rPr>
                <w:rStyle w:val="czeindeksu"/>
              </w:rPr>
              <w:t>Implementacja testu odporności modeli na lekkie zniekształcenia zdjęć</w:t>
            </w:r>
            <w:r>
              <w:rPr>
                <w:webHidden/>
              </w:rPr>
              <w:fldChar w:fldCharType="begin"/>
            </w:r>
            <w:r>
              <w:rPr>
                <w:webHidden/>
              </w:rPr>
              <w:instrText xml:space="preserve">PAGEREF _Toc228645114 \h</w:instrText>
            </w:r>
            <w:r>
              <w:rPr>
                <w:webHidden/>
              </w:rPr>
              <w:fldChar w:fldCharType="separate"/>
            </w:r>
            <w:r>
              <w:rPr>
                <w:rStyle w:val="czeindeksu"/>
                <w:vanish w:val="false"/>
              </w:rPr>
              <w:tab/>
              <w:t>49</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15">
            <w:r>
              <w:rPr>
                <w:rStyle w:val="czeindeksu"/>
                <w:webHidden/>
              </w:rPr>
              <w:t>3.7</w:t>
            </w:r>
            <w:r>
              <w:rPr>
                <w:rStyle w:val="czeindeksu"/>
                <w:rFonts w:eastAsia="游明朝" w:ascii="Calibri" w:hAnsi="Calibri" w:asciiTheme="minorHAnsi" w:eastAsiaTheme="minorEastAsia" w:hAnsiTheme="minorHAnsi"/>
                <w:color w:val="auto"/>
                <w:szCs w:val="24"/>
                <w:lang w:eastAsia="pl-PL"/>
              </w:rPr>
              <w:tab/>
            </w:r>
            <w:r>
              <w:rPr>
                <w:rStyle w:val="czeindeksu"/>
              </w:rPr>
              <w:t>Implementacja mechanizmu Grad-CAM i generowa-nia map aktywacji</w:t>
            </w:r>
            <w:r>
              <w:rPr>
                <w:webHidden/>
              </w:rPr>
              <w:fldChar w:fldCharType="begin"/>
            </w:r>
            <w:r>
              <w:rPr>
                <w:webHidden/>
              </w:rPr>
              <w:instrText xml:space="preserve">PAGEREF _Toc228645115 \h</w:instrText>
            </w:r>
            <w:r>
              <w:rPr>
                <w:webHidden/>
              </w:rPr>
              <w:fldChar w:fldCharType="separate"/>
            </w:r>
            <w:r>
              <w:rPr>
                <w:rStyle w:val="czeindeksu"/>
                <w:vanish w:val="false"/>
              </w:rPr>
              <w:tab/>
              <w:t>50</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16">
            <w:r>
              <w:rPr>
                <w:rStyle w:val="czeindeksu"/>
                <w:webHidden/>
              </w:rPr>
              <w:t>3.8</w:t>
            </w:r>
            <w:r>
              <w:rPr>
                <w:rStyle w:val="czeindeksu"/>
                <w:rFonts w:eastAsia="游明朝" w:ascii="Calibri" w:hAnsi="Calibri" w:asciiTheme="minorHAnsi" w:eastAsiaTheme="minorEastAsia" w:hAnsiTheme="minorHAnsi"/>
                <w:color w:val="auto"/>
                <w:szCs w:val="24"/>
                <w:lang w:eastAsia="pl-PL"/>
              </w:rPr>
              <w:tab/>
            </w:r>
            <w:r>
              <w:rPr>
                <w:rStyle w:val="czeindeksu"/>
              </w:rPr>
              <w:t>Implementacja systemu ensemble i mechanizmu głosowania</w:t>
            </w:r>
            <w:r>
              <w:rPr>
                <w:webHidden/>
              </w:rPr>
              <w:fldChar w:fldCharType="begin"/>
            </w:r>
            <w:r>
              <w:rPr>
                <w:webHidden/>
              </w:rPr>
              <w:instrText xml:space="preserve">PAGEREF _Toc228645116 \h</w:instrText>
            </w:r>
            <w:r>
              <w:rPr>
                <w:webHidden/>
              </w:rPr>
              <w:fldChar w:fldCharType="separate"/>
            </w:r>
            <w:r>
              <w:rPr>
                <w:rStyle w:val="czeindeksu"/>
                <w:vanish w:val="false"/>
              </w:rPr>
              <w:tab/>
              <w:t>52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17">
            <w:r>
              <w:rPr>
                <w:rStyle w:val="czeindeksu"/>
                <w:webHidden/>
              </w:rPr>
              <w:t>3.9</w:t>
            </w:r>
            <w:r>
              <w:rPr>
                <w:rStyle w:val="czeindeksu"/>
                <w:rFonts w:eastAsia="游明朝" w:ascii="Calibri" w:hAnsi="Calibri" w:asciiTheme="minorHAnsi" w:eastAsiaTheme="minorEastAsia" w:hAnsiTheme="minorHAnsi"/>
                <w:color w:val="auto"/>
                <w:szCs w:val="24"/>
                <w:lang w:eastAsia="pl-PL"/>
              </w:rPr>
              <w:tab/>
            </w:r>
            <w:r>
              <w:rPr>
                <w:rStyle w:val="czeindeksu"/>
              </w:rPr>
              <w:t>Interfejs użytkownika</w:t>
            </w:r>
            <w:r>
              <w:rPr>
                <w:webHidden/>
              </w:rPr>
              <w:fldChar w:fldCharType="begin"/>
            </w:r>
            <w:r>
              <w:rPr>
                <w:webHidden/>
              </w:rPr>
              <w:instrText xml:space="preserve">PAGEREF _Toc228645117 \h</w:instrText>
            </w:r>
            <w:r>
              <w:rPr>
                <w:webHidden/>
              </w:rPr>
              <w:fldChar w:fldCharType="separate"/>
            </w:r>
            <w:r>
              <w:rPr>
                <w:rStyle w:val="czeindeksu"/>
                <w:vanish w:val="false"/>
              </w:rPr>
              <w:tab/>
              <w:t>54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8">
            <w:r>
              <w:rPr>
                <w:rStyle w:val="czeindeksu"/>
                <w:webHidden/>
              </w:rPr>
              <w:t>3.9.1</w:t>
            </w:r>
            <w:r>
              <w:rPr>
                <w:rStyle w:val="czeindeksu"/>
                <w:rFonts w:eastAsia="游明朝" w:ascii="Calibri" w:hAnsi="Calibri" w:asciiTheme="minorHAnsi" w:eastAsiaTheme="minorEastAsia" w:hAnsiTheme="minorHAnsi"/>
                <w:color w:val="auto"/>
                <w:szCs w:val="24"/>
                <w:lang w:eastAsia="pl-PL"/>
              </w:rPr>
              <w:tab/>
            </w:r>
            <w:r>
              <w:rPr>
                <w:rStyle w:val="czeindeksu"/>
              </w:rPr>
              <w:t>Zakładka skaner</w:t>
            </w:r>
            <w:r>
              <w:rPr>
                <w:webHidden/>
              </w:rPr>
              <w:fldChar w:fldCharType="begin"/>
            </w:r>
            <w:r>
              <w:rPr>
                <w:webHidden/>
              </w:rPr>
              <w:instrText xml:space="preserve">PAGEREF _Toc228645118 \h</w:instrText>
            </w:r>
            <w:r>
              <w:rPr>
                <w:webHidden/>
              </w:rPr>
              <w:fldChar w:fldCharType="separate"/>
            </w:r>
            <w:r>
              <w:rPr>
                <w:rStyle w:val="czeindeksu"/>
                <w:vanish w:val="false"/>
              </w:rPr>
              <w:tab/>
              <w:t>54</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19">
            <w:r>
              <w:rPr>
                <w:rStyle w:val="czeindeksu"/>
                <w:webHidden/>
              </w:rPr>
              <w:t>3.9.2</w:t>
            </w:r>
            <w:r>
              <w:rPr>
                <w:rStyle w:val="czeindeksu"/>
                <w:rFonts w:eastAsia="游明朝" w:ascii="Calibri" w:hAnsi="Calibri" w:asciiTheme="minorHAnsi" w:eastAsiaTheme="minorEastAsia" w:hAnsiTheme="minorHAnsi"/>
                <w:color w:val="auto"/>
                <w:szCs w:val="24"/>
                <w:lang w:eastAsia="pl-PL"/>
              </w:rPr>
              <w:tab/>
            </w:r>
            <w:r>
              <w:rPr>
                <w:rStyle w:val="czeindeksu"/>
              </w:rPr>
              <w:t>Zakładka historia</w:t>
            </w:r>
            <w:r>
              <w:rPr>
                <w:webHidden/>
              </w:rPr>
              <w:fldChar w:fldCharType="begin"/>
            </w:r>
            <w:r>
              <w:rPr>
                <w:webHidden/>
              </w:rPr>
              <w:instrText xml:space="preserve">PAGEREF _Toc228645119 \h</w:instrText>
            </w:r>
            <w:r>
              <w:rPr>
                <w:webHidden/>
              </w:rPr>
              <w:fldChar w:fldCharType="separate"/>
            </w:r>
            <w:r>
              <w:rPr>
                <w:rStyle w:val="czeindeksu"/>
                <w:vanish w:val="false"/>
              </w:rPr>
              <w:tab/>
              <w:t>57</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20">
            <w:r>
              <w:rPr>
                <w:rStyle w:val="czeindeksu"/>
                <w:webHidden/>
              </w:rPr>
              <w:t>3.9.3</w:t>
            </w:r>
            <w:r>
              <w:rPr>
                <w:rStyle w:val="czeindeksu"/>
                <w:rFonts w:eastAsia="游明朝" w:ascii="Calibri" w:hAnsi="Calibri" w:asciiTheme="minorHAnsi" w:eastAsiaTheme="minorEastAsia" w:hAnsiTheme="minorHAnsi"/>
                <w:color w:val="auto"/>
                <w:szCs w:val="24"/>
                <w:lang w:eastAsia="pl-PL"/>
              </w:rPr>
              <w:tab/>
            </w:r>
            <w:r>
              <w:rPr>
                <w:rStyle w:val="czeindeksu"/>
              </w:rPr>
              <w:t>Zakładka „Kamera na żywo”</w:t>
            </w:r>
            <w:r>
              <w:rPr>
                <w:webHidden/>
              </w:rPr>
              <w:fldChar w:fldCharType="begin"/>
            </w:r>
            <w:r>
              <w:rPr>
                <w:webHidden/>
              </w:rPr>
              <w:instrText xml:space="preserve">PAGEREF _Toc228645120 \h</w:instrText>
            </w:r>
            <w:r>
              <w:rPr>
                <w:webHidden/>
              </w:rPr>
              <w:fldChar w:fldCharType="separate"/>
            </w:r>
            <w:r>
              <w:rPr>
                <w:rStyle w:val="czeindeksu"/>
                <w:vanish w:val="false"/>
              </w:rPr>
              <w:tab/>
              <w:t>59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21">
            <w:r>
              <w:rPr>
                <w:rStyle w:val="czeindeksu"/>
                <w:webHidden/>
              </w:rPr>
              <w:t>3.9.4</w:t>
            </w:r>
            <w:r>
              <w:rPr>
                <w:rStyle w:val="czeindeksu"/>
                <w:rFonts w:eastAsia="游明朝" w:ascii="Calibri" w:hAnsi="Calibri" w:asciiTheme="minorHAnsi" w:eastAsiaTheme="minorEastAsia" w:hAnsiTheme="minorHAnsi"/>
                <w:color w:val="auto"/>
                <w:szCs w:val="24"/>
                <w:lang w:eastAsia="pl-PL"/>
              </w:rPr>
              <w:tab/>
            </w:r>
            <w:r>
              <w:rPr>
                <w:rStyle w:val="czeindeksu"/>
              </w:rPr>
              <w:t>Zakładka „Mapa ciała”</w:t>
            </w:r>
            <w:r>
              <w:rPr>
                <w:webHidden/>
              </w:rPr>
              <w:fldChar w:fldCharType="begin"/>
            </w:r>
            <w:r>
              <w:rPr>
                <w:webHidden/>
              </w:rPr>
              <w:instrText xml:space="preserve">PAGEREF _Toc228645121 \h</w:instrText>
            </w:r>
            <w:r>
              <w:rPr>
                <w:webHidden/>
              </w:rPr>
              <w:fldChar w:fldCharType="separate"/>
            </w:r>
            <w:r>
              <w:rPr>
                <w:rStyle w:val="czeindeksu"/>
                <w:vanish w:val="false"/>
              </w:rPr>
              <w:tab/>
              <w:t>62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22">
            <w:r>
              <w:rPr>
                <w:rStyle w:val="czeindeksu"/>
                <w:webHidden/>
              </w:rPr>
              <w:t>3.9.5</w:t>
            </w:r>
            <w:r>
              <w:rPr>
                <w:rStyle w:val="czeindeksu"/>
                <w:rFonts w:eastAsia="游明朝" w:ascii="Calibri" w:hAnsi="Calibri" w:asciiTheme="minorHAnsi" w:eastAsiaTheme="minorEastAsia" w:hAnsiTheme="minorHAnsi"/>
                <w:color w:val="auto"/>
                <w:szCs w:val="24"/>
                <w:lang w:eastAsia="pl-PL"/>
              </w:rPr>
              <w:tab/>
            </w:r>
            <w:r>
              <w:rPr>
                <w:rStyle w:val="czeindeksu"/>
              </w:rPr>
              <w:t>Zakładka „Informacje”</w:t>
            </w:r>
            <w:r>
              <w:rPr>
                <w:webHidden/>
              </w:rPr>
              <w:fldChar w:fldCharType="begin"/>
            </w:r>
            <w:r>
              <w:rPr>
                <w:webHidden/>
              </w:rPr>
              <w:instrText xml:space="preserve">PAGEREF _Toc228645122 \h</w:instrText>
            </w:r>
            <w:r>
              <w:rPr>
                <w:webHidden/>
              </w:rPr>
              <w:fldChar w:fldCharType="separate"/>
            </w:r>
            <w:r>
              <w:rPr>
                <w:rStyle w:val="czeindeksu"/>
                <w:vanish w:val="false"/>
              </w:rPr>
              <w:tab/>
              <w:t>62</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23">
            <w:r>
              <w:rPr>
                <w:rStyle w:val="czeindeksu"/>
                <w:webHidden/>
              </w:rPr>
              <w:t>3.9.6</w:t>
            </w:r>
            <w:r>
              <w:rPr>
                <w:rStyle w:val="czeindeksu"/>
                <w:rFonts w:eastAsia="游明朝" w:ascii="Calibri" w:hAnsi="Calibri" w:asciiTheme="minorHAnsi" w:eastAsiaTheme="minorEastAsia" w:hAnsiTheme="minorHAnsi"/>
                <w:color w:val="auto"/>
                <w:szCs w:val="24"/>
                <w:lang w:eastAsia="pl-PL"/>
              </w:rPr>
              <w:tab/>
            </w:r>
            <w:r>
              <w:rPr>
                <w:rStyle w:val="czeindeksu"/>
              </w:rPr>
              <w:t>Ustawienia</w:t>
            </w:r>
            <w:r>
              <w:rPr>
                <w:webHidden/>
              </w:rPr>
              <w:fldChar w:fldCharType="begin"/>
            </w:r>
            <w:r>
              <w:rPr>
                <w:webHidden/>
              </w:rPr>
              <w:instrText xml:space="preserve">PAGEREF _Toc228645123 \h</w:instrText>
            </w:r>
            <w:r>
              <w:rPr>
                <w:webHidden/>
              </w:rPr>
              <w:fldChar w:fldCharType="separate"/>
            </w:r>
            <w:r>
              <w:rPr>
                <w:rStyle w:val="czeindeksu"/>
                <w:vanish w:val="false"/>
              </w:rPr>
              <w:tab/>
              <w:t>63</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124">
            <w:r>
              <w:rPr>
                <w:rStyle w:val="czeindeksu"/>
                <w:webHidden/>
              </w:rPr>
              <w:t>4.</w:t>
            </w:r>
            <w:r>
              <w:rPr>
                <w:rStyle w:val="czeindeksu"/>
                <w:rFonts w:eastAsia="游明朝" w:ascii="Calibri" w:hAnsi="Calibri" w:asciiTheme="minorHAnsi" w:eastAsiaTheme="minorEastAsia" w:hAnsiTheme="minorHAnsi"/>
                <w:b w:val="false"/>
                <w:color w:val="auto"/>
                <w:szCs w:val="24"/>
                <w:lang w:eastAsia="pl-PL"/>
              </w:rPr>
              <w:tab/>
            </w:r>
            <w:r>
              <w:rPr>
                <w:rStyle w:val="czeindeksu"/>
              </w:rPr>
              <w:t>Wyniki eksperymentów i analiza porównawcza</w:t>
            </w:r>
            <w:r>
              <w:rPr>
                <w:webHidden/>
              </w:rPr>
              <w:fldChar w:fldCharType="begin"/>
            </w:r>
            <w:r>
              <w:rPr>
                <w:webHidden/>
              </w:rPr>
              <w:instrText xml:space="preserve">PAGEREF _Toc228645124 \h</w:instrText>
            </w:r>
            <w:r>
              <w:rPr>
                <w:webHidden/>
              </w:rPr>
              <w:fldChar w:fldCharType="separate"/>
            </w:r>
            <w:r>
              <w:rPr>
                <w:rStyle w:val="czeindeksu"/>
                <w:vanish w:val="false"/>
              </w:rPr>
              <w:tab/>
              <w:t>64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25">
            <w:r>
              <w:rPr>
                <w:rStyle w:val="czeindeksu"/>
                <w:webHidden/>
              </w:rPr>
              <w:t>4.1</w:t>
            </w:r>
            <w:r>
              <w:rPr>
                <w:rStyle w:val="czeindeksu"/>
                <w:rFonts w:eastAsia="游明朝" w:ascii="Calibri" w:hAnsi="Calibri" w:asciiTheme="minorHAnsi" w:eastAsiaTheme="minorEastAsia" w:hAnsiTheme="minorHAnsi"/>
                <w:color w:val="auto"/>
                <w:szCs w:val="24"/>
                <w:lang w:eastAsia="pl-PL"/>
              </w:rPr>
              <w:tab/>
            </w:r>
            <w:r>
              <w:rPr>
                <w:rStyle w:val="czeindeksu"/>
              </w:rPr>
              <w:t>Metodyka oceny modeli</w:t>
            </w:r>
            <w:r>
              <w:rPr>
                <w:webHidden/>
              </w:rPr>
              <w:fldChar w:fldCharType="begin"/>
            </w:r>
            <w:r>
              <w:rPr>
                <w:webHidden/>
              </w:rPr>
              <w:instrText xml:space="preserve">PAGEREF _Toc228645125 \h</w:instrText>
            </w:r>
            <w:r>
              <w:rPr>
                <w:webHidden/>
              </w:rPr>
              <w:fldChar w:fldCharType="separate"/>
            </w:r>
            <w:r>
              <w:rPr>
                <w:rStyle w:val="czeindeksu"/>
                <w:vanish w:val="false"/>
              </w:rPr>
              <w:tab/>
              <w:t>64</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26">
            <w:r>
              <w:rPr>
                <w:rStyle w:val="czeindeksu"/>
                <w:webHidden/>
              </w:rPr>
              <w:t>4.2</w:t>
            </w:r>
            <w:r>
              <w:rPr>
                <w:rStyle w:val="czeindeksu"/>
                <w:rFonts w:eastAsia="游明朝" w:ascii="Calibri" w:hAnsi="Calibri" w:asciiTheme="minorHAnsi" w:eastAsiaTheme="minorEastAsia" w:hAnsiTheme="minorHAnsi"/>
                <w:color w:val="auto"/>
                <w:szCs w:val="24"/>
                <w:lang w:eastAsia="pl-PL"/>
              </w:rPr>
              <w:tab/>
            </w:r>
            <w:r>
              <w:rPr>
                <w:rStyle w:val="czeindeksu"/>
              </w:rPr>
              <w:t>Wyniki treningu i krzywe uczenia</w:t>
            </w:r>
            <w:r>
              <w:rPr>
                <w:webHidden/>
              </w:rPr>
              <w:fldChar w:fldCharType="begin"/>
            </w:r>
            <w:r>
              <w:rPr>
                <w:webHidden/>
              </w:rPr>
              <w:instrText xml:space="preserve">PAGEREF _Toc228645126 \h</w:instrText>
            </w:r>
            <w:r>
              <w:rPr>
                <w:webHidden/>
              </w:rPr>
              <w:fldChar w:fldCharType="separate"/>
            </w:r>
            <w:r>
              <w:rPr>
                <w:rStyle w:val="czeindeksu"/>
                <w:vanish w:val="false"/>
              </w:rPr>
              <w:tab/>
              <w:t>65</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27">
            <w:r>
              <w:rPr>
                <w:rStyle w:val="czeindeksu"/>
                <w:webHidden/>
              </w:rPr>
              <w:t>4.3</w:t>
            </w:r>
            <w:r>
              <w:rPr>
                <w:rStyle w:val="czeindeksu"/>
                <w:rFonts w:eastAsia="游明朝" w:ascii="Calibri" w:hAnsi="Calibri" w:asciiTheme="minorHAnsi" w:eastAsiaTheme="minorEastAsia" w:hAnsiTheme="minorHAnsi"/>
                <w:color w:val="auto"/>
                <w:szCs w:val="24"/>
                <w:lang w:eastAsia="pl-PL"/>
              </w:rPr>
              <w:tab/>
            </w:r>
            <w:r>
              <w:rPr>
                <w:rStyle w:val="czeindeksu"/>
              </w:rPr>
              <w:t>Porównanie skuteczności klasyfikacji</w:t>
            </w:r>
            <w:r>
              <w:rPr>
                <w:webHidden/>
              </w:rPr>
              <w:fldChar w:fldCharType="begin"/>
            </w:r>
            <w:r>
              <w:rPr>
                <w:webHidden/>
              </w:rPr>
              <w:instrText xml:space="preserve">PAGEREF _Toc228645127 \h</w:instrText>
            </w:r>
            <w:r>
              <w:rPr>
                <w:webHidden/>
              </w:rPr>
              <w:fldChar w:fldCharType="separate"/>
            </w:r>
            <w:r>
              <w:rPr>
                <w:rStyle w:val="czeindeksu"/>
                <w:vanish w:val="false"/>
              </w:rPr>
              <w:tab/>
              <w:t>67</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28">
            <w:r>
              <w:rPr>
                <w:rStyle w:val="czeindeksu"/>
                <w:webHidden/>
              </w:rPr>
              <w:t>4.4</w:t>
            </w:r>
            <w:r>
              <w:rPr>
                <w:rStyle w:val="czeindeksu"/>
                <w:rFonts w:eastAsia="游明朝" w:ascii="Calibri" w:hAnsi="Calibri" w:asciiTheme="minorHAnsi" w:eastAsiaTheme="minorEastAsia" w:hAnsiTheme="minorHAnsi"/>
                <w:color w:val="auto"/>
                <w:szCs w:val="24"/>
                <w:lang w:eastAsia="pl-PL"/>
              </w:rPr>
              <w:tab/>
            </w:r>
            <w:r>
              <w:rPr>
                <w:rStyle w:val="czeindeksu"/>
              </w:rPr>
              <w:t>Macierze pomyłek</w:t>
            </w:r>
            <w:r>
              <w:rPr>
                <w:webHidden/>
              </w:rPr>
              <w:fldChar w:fldCharType="begin"/>
            </w:r>
            <w:r>
              <w:rPr>
                <w:webHidden/>
              </w:rPr>
              <w:instrText xml:space="preserve">PAGEREF _Toc228645128 \h</w:instrText>
            </w:r>
            <w:r>
              <w:rPr>
                <w:webHidden/>
              </w:rPr>
              <w:fldChar w:fldCharType="separate"/>
            </w:r>
            <w:r>
              <w:rPr>
                <w:rStyle w:val="czeindeksu"/>
                <w:vanish w:val="false"/>
              </w:rPr>
              <w:tab/>
              <w:t>68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29">
            <w:r>
              <w:rPr>
                <w:rStyle w:val="czeindeksu"/>
                <w:webHidden/>
              </w:rPr>
              <w:t>4.4.1</w:t>
            </w:r>
            <w:r>
              <w:rPr>
                <w:rStyle w:val="czeindeksu"/>
                <w:rFonts w:eastAsia="游明朝" w:ascii="Calibri" w:hAnsi="Calibri" w:asciiTheme="minorHAnsi" w:eastAsiaTheme="minorEastAsia" w:hAnsiTheme="minorHAnsi"/>
                <w:color w:val="auto"/>
                <w:szCs w:val="24"/>
                <w:lang w:eastAsia="pl-PL"/>
              </w:rPr>
              <w:tab/>
            </w:r>
            <w:r>
              <w:rPr>
                <w:rStyle w:val="czeindeksu"/>
              </w:rPr>
              <w:t>Custom CNN</w:t>
            </w:r>
            <w:r>
              <w:rPr>
                <w:webHidden/>
              </w:rPr>
              <w:fldChar w:fldCharType="begin"/>
            </w:r>
            <w:r>
              <w:rPr>
                <w:webHidden/>
              </w:rPr>
              <w:instrText xml:space="preserve">PAGEREF _Toc228645129 \h</w:instrText>
            </w:r>
            <w:r>
              <w:rPr>
                <w:webHidden/>
              </w:rPr>
              <w:fldChar w:fldCharType="separate"/>
            </w:r>
            <w:r>
              <w:rPr>
                <w:rStyle w:val="czeindeksu"/>
                <w:vanish w:val="false"/>
              </w:rPr>
              <w:tab/>
              <w:t>68</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30">
            <w:r>
              <w:rPr>
                <w:rStyle w:val="czeindeksu"/>
                <w:webHidden/>
              </w:rPr>
              <w:t>4.4.2</w:t>
            </w:r>
            <w:r>
              <w:rPr>
                <w:rStyle w:val="czeindeksu"/>
                <w:rFonts w:eastAsia="游明朝" w:ascii="Calibri" w:hAnsi="Calibri" w:asciiTheme="minorHAnsi" w:eastAsiaTheme="minorEastAsia" w:hAnsiTheme="minorHAnsi"/>
                <w:color w:val="auto"/>
                <w:szCs w:val="24"/>
                <w:lang w:eastAsia="pl-PL"/>
              </w:rPr>
              <w:tab/>
            </w:r>
            <w:r>
              <w:rPr>
                <w:rStyle w:val="czeindeksu"/>
              </w:rPr>
              <w:t>ResNet50</w:t>
            </w:r>
            <w:r>
              <w:rPr>
                <w:webHidden/>
              </w:rPr>
              <w:fldChar w:fldCharType="begin"/>
            </w:r>
            <w:r>
              <w:rPr>
                <w:webHidden/>
              </w:rPr>
              <w:instrText xml:space="preserve">PAGEREF _Toc228645130 \h</w:instrText>
            </w:r>
            <w:r>
              <w:rPr>
                <w:webHidden/>
              </w:rPr>
              <w:fldChar w:fldCharType="separate"/>
            </w:r>
            <w:r>
              <w:rPr>
                <w:rStyle w:val="czeindeksu"/>
                <w:vanish w:val="false"/>
              </w:rPr>
              <w:tab/>
              <w:t>69</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31">
            <w:r>
              <w:rPr>
                <w:rStyle w:val="czeindeksu"/>
                <w:webHidden/>
              </w:rPr>
              <w:t>4.4.3</w:t>
            </w:r>
            <w:r>
              <w:rPr>
                <w:rStyle w:val="czeindeksu"/>
                <w:rFonts w:eastAsia="游明朝" w:ascii="Calibri" w:hAnsi="Calibri" w:asciiTheme="minorHAnsi" w:eastAsiaTheme="minorEastAsia" w:hAnsiTheme="minorHAnsi"/>
                <w:color w:val="auto"/>
                <w:szCs w:val="24"/>
                <w:lang w:eastAsia="pl-PL"/>
              </w:rPr>
              <w:tab/>
            </w:r>
            <w:r>
              <w:rPr>
                <w:rStyle w:val="czeindeksu"/>
              </w:rPr>
              <w:t>MobileNetV3-Large</w:t>
            </w:r>
            <w:r>
              <w:rPr>
                <w:webHidden/>
              </w:rPr>
              <w:fldChar w:fldCharType="begin"/>
            </w:r>
            <w:r>
              <w:rPr>
                <w:webHidden/>
              </w:rPr>
              <w:instrText xml:space="preserve">PAGEREF _Toc228645131 \h</w:instrText>
            </w:r>
            <w:r>
              <w:rPr>
                <w:webHidden/>
              </w:rPr>
              <w:fldChar w:fldCharType="separate"/>
            </w:r>
            <w:r>
              <w:rPr>
                <w:rStyle w:val="czeindeksu"/>
                <w:vanish w:val="false"/>
              </w:rPr>
              <w:tab/>
              <w:t>70</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32">
            <w:r>
              <w:rPr>
                <w:rStyle w:val="czeindeksu"/>
                <w:webHidden/>
                <w:lang w:val="en-US"/>
              </w:rPr>
              <w:t>4.4.4</w:t>
            </w:r>
            <w:r>
              <w:rPr>
                <w:rStyle w:val="czeindeksu"/>
                <w:rFonts w:eastAsia="游明朝" w:ascii="Calibri" w:hAnsi="Calibri" w:asciiTheme="minorHAnsi" w:eastAsiaTheme="minorEastAsia" w:hAnsiTheme="minorHAnsi"/>
                <w:color w:val="auto"/>
                <w:szCs w:val="24"/>
                <w:lang w:eastAsia="pl-PL"/>
              </w:rPr>
              <w:tab/>
            </w:r>
            <w:r>
              <w:rPr>
                <w:rStyle w:val="czeindeksu"/>
                <w:lang w:val="en-US"/>
              </w:rPr>
              <w:t>Vision Transformer (ViT-B/16)</w:t>
            </w:r>
            <w:r>
              <w:rPr>
                <w:webHidden/>
              </w:rPr>
              <w:fldChar w:fldCharType="begin"/>
            </w:r>
            <w:r>
              <w:rPr>
                <w:webHidden/>
              </w:rPr>
              <w:instrText xml:space="preserve">PAGEREF _Toc228645132 \h</w:instrText>
            </w:r>
            <w:r>
              <w:rPr>
                <w:webHidden/>
              </w:rPr>
              <w:fldChar w:fldCharType="separate"/>
            </w:r>
            <w:r>
              <w:rPr>
                <w:rStyle w:val="czeindeksu"/>
                <w:vanish w:val="false"/>
              </w:rPr>
              <w:tab/>
              <w:t>71</w:t>
            </w:r>
            <w:r>
              <w:rPr>
                <w:webHidden/>
              </w:rPr>
              <w:fldChar w:fldCharType="end"/>
            </w:r>
          </w:hyperlink>
        </w:p>
        <w:p>
          <w:pPr>
            <w:pStyle w:val="TOC3"/>
            <w:tabs>
              <w:tab w:val="clear" w:pos="708"/>
              <w:tab w:val="left" w:pos="1920" w:leader="none"/>
              <w:tab w:val="right" w:pos="9062" w:leader="dot"/>
            </w:tabs>
            <w:rPr>
              <w:rFonts w:ascii="Calibri" w:hAnsi="Calibri" w:eastAsia="游明朝" w:asciiTheme="minorHAnsi" w:eastAsiaTheme="minorEastAsia" w:hAnsiTheme="minorHAnsi"/>
              <w:color w:val="auto"/>
              <w:szCs w:val="24"/>
              <w:lang w:eastAsia="pl-PL"/>
            </w:rPr>
          </w:pPr>
          <w:hyperlink w:anchor="_Toc228645133">
            <w:r>
              <w:rPr>
                <w:rStyle w:val="czeindeksu"/>
                <w:webHidden/>
                <w:lang w:val="en-US"/>
              </w:rPr>
              <w:t>4.4.5</w:t>
            </w:r>
            <w:r>
              <w:rPr>
                <w:rStyle w:val="czeindeksu"/>
                <w:rFonts w:eastAsia="游明朝" w:ascii="Calibri" w:hAnsi="Calibri" w:asciiTheme="minorHAnsi" w:eastAsiaTheme="minorEastAsia" w:hAnsiTheme="minorHAnsi"/>
                <w:color w:val="auto"/>
                <w:szCs w:val="24"/>
                <w:lang w:eastAsia="pl-PL"/>
              </w:rPr>
              <w:tab/>
            </w:r>
            <w:r>
              <w:rPr>
                <w:rStyle w:val="czeindeksu"/>
                <w:lang w:val="en-US"/>
              </w:rPr>
              <w:t>EfficientNet-B0</w:t>
            </w:r>
            <w:r>
              <w:rPr>
                <w:webHidden/>
              </w:rPr>
              <w:fldChar w:fldCharType="begin"/>
            </w:r>
            <w:r>
              <w:rPr>
                <w:webHidden/>
              </w:rPr>
              <w:instrText xml:space="preserve">PAGEREF _Toc228645133 \h</w:instrText>
            </w:r>
            <w:r>
              <w:rPr>
                <w:webHidden/>
              </w:rPr>
              <w:fldChar w:fldCharType="separate"/>
            </w:r>
            <w:r>
              <w:rPr>
                <w:rStyle w:val="czeindeksu"/>
                <w:vanish w:val="false"/>
              </w:rPr>
              <w:tab/>
              <w:t>72</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34">
            <w:r>
              <w:rPr>
                <w:rStyle w:val="czeindeksu"/>
                <w:webHidden/>
              </w:rPr>
              <w:t>4.5</w:t>
            </w:r>
            <w:r>
              <w:rPr>
                <w:rStyle w:val="czeindeksu"/>
                <w:rFonts w:eastAsia="游明朝" w:ascii="Calibri" w:hAnsi="Calibri" w:asciiTheme="minorHAnsi" w:eastAsiaTheme="minorEastAsia" w:hAnsiTheme="minorHAnsi"/>
                <w:color w:val="auto"/>
                <w:szCs w:val="24"/>
                <w:lang w:eastAsia="pl-PL"/>
              </w:rPr>
              <w:tab/>
            </w:r>
            <w:r>
              <w:rPr>
                <w:rStyle w:val="czeindeksu"/>
              </w:rPr>
              <w:t>Test w odpornościach i zakłóceniach</w:t>
            </w:r>
            <w:r>
              <w:rPr>
                <w:webHidden/>
              </w:rPr>
              <w:fldChar w:fldCharType="begin"/>
            </w:r>
            <w:r>
              <w:rPr>
                <w:webHidden/>
              </w:rPr>
              <w:instrText xml:space="preserve">PAGEREF _Toc228645134 \h</w:instrText>
            </w:r>
            <w:r>
              <w:rPr>
                <w:webHidden/>
              </w:rPr>
              <w:fldChar w:fldCharType="separate"/>
            </w:r>
            <w:r>
              <w:rPr>
                <w:rStyle w:val="czeindeksu"/>
                <w:vanish w:val="false"/>
              </w:rPr>
              <w:tab/>
              <w:t>73</w:t>
            </w:r>
            <w:r>
              <w:rPr>
                <w:webHidden/>
              </w:rPr>
              <w:fldChar w:fldCharType="end"/>
            </w:r>
          </w:hyperlink>
        </w:p>
        <w:p>
          <w:pPr>
            <w:pStyle w:val="TOC2"/>
            <w:tabs>
              <w:tab w:val="clear" w:pos="708"/>
              <w:tab w:val="left" w:pos="1680" w:leader="none"/>
              <w:tab w:val="right" w:pos="9062" w:leader="dot"/>
            </w:tabs>
            <w:rPr>
              <w:rFonts w:ascii="Calibri" w:hAnsi="Calibri" w:eastAsia="游明朝" w:asciiTheme="minorHAnsi" w:eastAsiaTheme="minorEastAsia" w:hAnsiTheme="minorHAnsi"/>
              <w:color w:val="auto"/>
              <w:szCs w:val="24"/>
              <w:lang w:eastAsia="pl-PL"/>
            </w:rPr>
          </w:pPr>
          <w:hyperlink w:anchor="_Toc228645135">
            <w:r>
              <w:rPr>
                <w:rStyle w:val="czeindeksu"/>
                <w:webHidden/>
              </w:rPr>
              <w:t>4.6</w:t>
            </w:r>
            <w:r>
              <w:rPr>
                <w:rStyle w:val="czeindeksu"/>
                <w:rFonts w:eastAsia="游明朝" w:ascii="Calibri" w:hAnsi="Calibri" w:asciiTheme="minorHAnsi" w:eastAsiaTheme="minorEastAsia" w:hAnsiTheme="minorHAnsi"/>
                <w:color w:val="auto"/>
                <w:szCs w:val="24"/>
                <w:lang w:eastAsia="pl-PL"/>
              </w:rPr>
              <w:tab/>
            </w:r>
            <w:r>
              <w:rPr>
                <w:rStyle w:val="czeindeksu"/>
              </w:rPr>
              <w:t>Szybkość działania modeli</w:t>
            </w:r>
            <w:r>
              <w:rPr>
                <w:webHidden/>
              </w:rPr>
              <w:fldChar w:fldCharType="begin"/>
            </w:r>
            <w:r>
              <w:rPr>
                <w:webHidden/>
              </w:rPr>
              <w:instrText xml:space="preserve">PAGEREF _Toc228645135 \h</w:instrText>
            </w:r>
            <w:r>
              <w:rPr>
                <w:webHidden/>
              </w:rPr>
              <w:fldChar w:fldCharType="separate"/>
            </w:r>
            <w:r>
              <w:rPr>
                <w:rStyle w:val="czeindeksu"/>
                <w:vanish w:val="false"/>
              </w:rPr>
              <w:tab/>
              <w:t>75</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136">
            <w:r>
              <w:rPr>
                <w:rStyle w:val="czeindeksu"/>
                <w:webHidden/>
              </w:rPr>
              <w:t>5.</w:t>
            </w:r>
            <w:r>
              <w:rPr>
                <w:rStyle w:val="czeindeksu"/>
                <w:rFonts w:eastAsia="游明朝" w:ascii="Calibri" w:hAnsi="Calibri" w:asciiTheme="minorHAnsi" w:eastAsiaTheme="minorEastAsia" w:hAnsiTheme="minorHAnsi"/>
                <w:b w:val="false"/>
                <w:color w:val="auto"/>
                <w:szCs w:val="24"/>
                <w:lang w:eastAsia="pl-PL"/>
              </w:rPr>
              <w:tab/>
            </w:r>
            <w:r>
              <w:rPr>
                <w:rStyle w:val="czeindeksu"/>
              </w:rPr>
              <w:t>Podsumowanie</w:t>
            </w:r>
            <w:r>
              <w:rPr>
                <w:webHidden/>
              </w:rPr>
              <w:fldChar w:fldCharType="begin"/>
            </w:r>
            <w:r>
              <w:rPr>
                <w:webHidden/>
              </w:rPr>
              <w:instrText xml:space="preserve">PAGEREF _Toc228645136 \h</w:instrText>
            </w:r>
            <w:r>
              <w:rPr>
                <w:webHidden/>
              </w:rPr>
              <w:fldChar w:fldCharType="separate"/>
            </w:r>
            <w:r>
              <w:rPr>
                <w:rStyle w:val="czeindeksu"/>
                <w:vanish w:val="false"/>
              </w:rPr>
              <w:tab/>
              <w:t>79</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137">
            <w:r>
              <w:rPr>
                <w:rStyle w:val="czeindeksu"/>
                <w:webHidden/>
              </w:rPr>
              <w:t>6.</w:t>
            </w:r>
            <w:r>
              <w:rPr>
                <w:rStyle w:val="czeindeksu"/>
                <w:rFonts w:eastAsia="游明朝" w:ascii="Calibri" w:hAnsi="Calibri" w:asciiTheme="minorHAnsi" w:eastAsiaTheme="minorEastAsia" w:hAnsiTheme="minorHAnsi"/>
                <w:b w:val="false"/>
                <w:color w:val="auto"/>
                <w:szCs w:val="24"/>
                <w:lang w:eastAsia="pl-PL"/>
              </w:rPr>
              <w:tab/>
            </w:r>
            <w:r>
              <w:rPr>
                <w:rStyle w:val="czeindeksu"/>
              </w:rPr>
              <w:t>Bibliografia</w:t>
            </w:r>
            <w:r>
              <w:rPr>
                <w:webHidden/>
              </w:rPr>
              <w:fldChar w:fldCharType="begin"/>
            </w:r>
            <w:r>
              <w:rPr>
                <w:webHidden/>
              </w:rPr>
              <w:instrText xml:space="preserve">PAGEREF _Toc228645137 \h</w:instrText>
            </w:r>
            <w:r>
              <w:rPr>
                <w:webHidden/>
              </w:rPr>
              <w:fldChar w:fldCharType="separate"/>
            </w:r>
            <w:r>
              <w:rPr>
                <w:rStyle w:val="czeindeksu"/>
                <w:vanish w:val="false"/>
              </w:rPr>
              <w:tab/>
              <w:t>80</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138">
            <w:r>
              <w:rPr>
                <w:rStyle w:val="czeindeksu"/>
                <w:webHidden/>
              </w:rPr>
              <w:t>7.</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rysunków</w:t>
            </w:r>
            <w:r>
              <w:rPr>
                <w:webHidden/>
              </w:rPr>
              <w:fldChar w:fldCharType="begin"/>
            </w:r>
            <w:r>
              <w:rPr>
                <w:webHidden/>
              </w:rPr>
              <w:instrText xml:space="preserve">PAGEREF _Toc228645138 \h</w:instrText>
            </w:r>
            <w:r>
              <w:rPr>
                <w:webHidden/>
              </w:rPr>
              <w:fldChar w:fldCharType="separate"/>
            </w:r>
            <w:r>
              <w:rPr>
                <w:rStyle w:val="czeindeksu"/>
                <w:vanish w:val="false"/>
              </w:rPr>
              <w:tab/>
              <w:t>82</w:t>
            </w:r>
            <w:r>
              <w:rPr>
                <w:webHidden/>
              </w:rPr>
              <w:fldChar w:fldCharType="end"/>
            </w:r>
          </w:hyperlink>
        </w:p>
        <w:p>
          <w:pPr>
            <w:pStyle w:val="TOC1"/>
            <w:tabs>
              <w:tab w:val="clear" w:pos="708"/>
              <w:tab w:val="left" w:pos="1200" w:leader="none"/>
              <w:tab w:val="right" w:pos="9062" w:leader="dot"/>
            </w:tabs>
            <w:rPr>
              <w:rFonts w:ascii="Calibri" w:hAnsi="Calibri" w:eastAsia="游明朝" w:asciiTheme="minorHAnsi" w:eastAsiaTheme="minorEastAsia" w:hAnsiTheme="minorHAnsi"/>
              <w:b w:val="false"/>
              <w:color w:val="auto"/>
              <w:szCs w:val="24"/>
              <w:lang w:eastAsia="pl-PL"/>
            </w:rPr>
          </w:pPr>
          <w:hyperlink w:anchor="_Toc228645139">
            <w:r>
              <w:rPr>
                <w:rStyle w:val="czeindeksu"/>
                <w:webHidden/>
              </w:rPr>
              <w:t>8.</w:t>
            </w:r>
            <w:r>
              <w:rPr>
                <w:rStyle w:val="czeindeksu"/>
                <w:rFonts w:eastAsia="游明朝" w:ascii="Calibri" w:hAnsi="Calibri" w:asciiTheme="minorHAnsi" w:eastAsiaTheme="minorEastAsia" w:hAnsiTheme="minorHAnsi"/>
                <w:b w:val="false"/>
                <w:color w:val="auto"/>
                <w:szCs w:val="24"/>
                <w:lang w:eastAsia="pl-PL"/>
              </w:rPr>
              <w:tab/>
            </w:r>
            <w:r>
              <w:rPr>
                <w:rStyle w:val="czeindeksu"/>
              </w:rPr>
              <w:t>Spis tabel</w:t>
            </w:r>
            <w:r>
              <w:rPr>
                <w:webHidden/>
              </w:rPr>
              <w:fldChar w:fldCharType="begin"/>
            </w:r>
            <w:r>
              <w:rPr>
                <w:webHidden/>
              </w:rPr>
              <w:instrText xml:space="preserve">PAGEREF _Toc228645139 \h</w:instrText>
            </w:r>
            <w:r>
              <w:rPr>
                <w:webHidden/>
              </w:rPr>
              <w:fldChar w:fldCharType="separate"/>
            </w:r>
            <w:r>
              <w:rPr>
                <w:rStyle w:val="czeindeksu"/>
                <w:vanish w:val="false"/>
              </w:rPr>
              <w:tab/>
              <w:t>84</w:t>
            </w:r>
            <w:r>
              <w:rPr>
                <w:webHidden/>
              </w:rPr>
              <w:fldChar w:fldCharType="end"/>
            </w:r>
          </w:hyperlink>
          <w:r>
            <w:rPr>
              <w:rStyle w:val="czeindeksu"/>
              <w:vanish w:val="false"/>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0"/>
        </w:numPr>
        <w:spacing w:before="0" w:after="840"/>
        <w:ind w:hanging="0" w:start="0"/>
        <w:rPr/>
      </w:pPr>
      <w:bookmarkStart w:id="1" w:name="_Hlk168851852"/>
      <w:bookmarkStart w:id="2" w:name="_Toc228645075"/>
      <w:r>
        <w:rPr/>
        <w:t>Wykaz skrótów i oznaczeń</w:t>
      </w:r>
      <w:bookmarkEnd w:id="2"/>
    </w:p>
    <w:p>
      <w:pPr>
        <w:pStyle w:val="ListParagraph"/>
        <w:numPr>
          <w:ilvl w:val="0"/>
          <w:numId w:val="28"/>
        </w:numPr>
        <w:rPr/>
      </w:pPr>
      <w:r>
        <w:rPr/>
        <w:t>AI (Artificial Intelligence) - ogólna dziedzina informatyki obejmująca systemy symulujące ludzką inteligencję.</w:t>
      </w:r>
    </w:p>
    <w:p>
      <w:pPr>
        <w:pStyle w:val="ListParagraph"/>
        <w:numPr>
          <w:ilvl w:val="0"/>
          <w:numId w:val="28"/>
        </w:numPr>
        <w:rPr/>
      </w:pPr>
      <w:r>
        <w:rPr/>
        <w:t>CNN (Convolutional Neural Network) - konwolucyjna sieć neuronowa, klasa sieci głębokiego uczenia specjalizowana do analizy obrazów.</w:t>
      </w:r>
    </w:p>
    <w:p>
      <w:pPr>
        <w:pStyle w:val="ListParagraph"/>
        <w:numPr>
          <w:ilvl w:val="0"/>
          <w:numId w:val="28"/>
        </w:numPr>
        <w:rPr/>
      </w:pPr>
      <w:r>
        <w:rPr/>
        <w:t>ViT (Vision Transformer) - transformerowa architektura sieci neuronowej adaptowana do analizy obrazów.</w:t>
      </w:r>
    </w:p>
    <w:p>
      <w:pPr>
        <w:pStyle w:val="ListParagraph"/>
        <w:numPr>
          <w:ilvl w:val="0"/>
          <w:numId w:val="28"/>
        </w:numPr>
        <w:rPr/>
      </w:pPr>
      <w:r>
        <w:rPr/>
        <w:t>MobileNetV3 - lekka architektura CNN zoptymalizowana pod urządzenia mobilne.</w:t>
      </w:r>
    </w:p>
    <w:p>
      <w:pPr>
        <w:pStyle w:val="ListParagraph"/>
        <w:numPr>
          <w:ilvl w:val="0"/>
          <w:numId w:val="28"/>
        </w:numPr>
        <w:rPr/>
      </w:pPr>
      <w:r>
        <w:rPr/>
        <w:t>ResNet-50 - sieć rezydualna o 50 warstwach, bazująca na połączeniach skip connections.</w:t>
      </w:r>
    </w:p>
    <w:p>
      <w:pPr>
        <w:pStyle w:val="ListParagraph"/>
        <w:numPr>
          <w:ilvl w:val="0"/>
          <w:numId w:val="28"/>
        </w:numPr>
        <w:rPr/>
      </w:pPr>
      <w:r>
        <w:rPr/>
        <w:t>EfficientNet-B0 - architektura CNN ze złożonym skalowaniem głębokości, szerokości i rozdzielczości.</w:t>
      </w:r>
    </w:p>
    <w:p>
      <w:pPr>
        <w:pStyle w:val="ListParagraph"/>
        <w:numPr>
          <w:ilvl w:val="0"/>
          <w:numId w:val="28"/>
        </w:numPr>
        <w:rPr/>
      </w:pPr>
      <w:r>
        <w:rPr/>
        <w:t>Grad-CAM (Gradient-weighted Class Activation Mapping) - metoda wizualizacji obszarów decyzyjnych sieci CNN.</w:t>
      </w:r>
    </w:p>
    <w:p>
      <w:pPr>
        <w:pStyle w:val="ListParagraph"/>
        <w:numPr>
          <w:ilvl w:val="0"/>
          <w:numId w:val="28"/>
        </w:numPr>
        <w:rPr/>
      </w:pPr>
      <w:r>
        <w:rPr/>
        <w:t>GPU (Graphics Processing Unit) - procesor graficzny, używany do akceleracji obliczeń macierzowych w głębokim uczeniu.</w:t>
      </w:r>
    </w:p>
    <w:p>
      <w:pPr>
        <w:pStyle w:val="ListParagraph"/>
        <w:numPr>
          <w:ilvl w:val="0"/>
          <w:numId w:val="28"/>
        </w:numPr>
        <w:rPr/>
      </w:pPr>
      <w:r>
        <w:rPr/>
        <w:t>CUDA (Compute Unified Device Architecture) - platforma programowania równoległego firmy NVIDIA. Umożliwia wykonywanie obliczeń AI na kartach graficznych.</w:t>
      </w:r>
    </w:p>
    <w:p>
      <w:pPr>
        <w:pStyle w:val="ListParagraph"/>
        <w:numPr>
          <w:ilvl w:val="0"/>
          <w:numId w:val="28"/>
        </w:numPr>
        <w:rPr/>
      </w:pPr>
      <w:r>
        <w:rPr/>
        <w:t>CPU (Central Processing Unit) - procesor centralny, używany do inferencji w przypadku braku obsługiwanej karty graficznej.</w:t>
      </w:r>
    </w:p>
    <w:p>
      <w:pPr>
        <w:pStyle w:val="ListParagraph"/>
        <w:numPr>
          <w:ilvl w:val="0"/>
          <w:numId w:val="28"/>
        </w:numPr>
        <w:rPr>
          <w:lang w:val="en-US"/>
        </w:rPr>
      </w:pPr>
      <w:r>
        <w:rPr>
          <w:lang w:val="en-US"/>
        </w:rPr>
        <w:t>HAM10000 (Human Against Machine with 10000) - duży zbiór zdjęć dermatologicznych.</w:t>
      </w:r>
    </w:p>
    <w:p>
      <w:pPr>
        <w:pStyle w:val="ListParagraph"/>
        <w:numPr>
          <w:ilvl w:val="0"/>
          <w:numId w:val="28"/>
        </w:numPr>
        <w:rPr/>
      </w:pPr>
      <w:r>
        <w:rPr/>
        <w:t>MSLDv2.0 (Monkeypox Skin Lesion Dataset v2.0) - zbiór zdjęć zmian skórnych chorób zakaźnych.</w:t>
      </w:r>
    </w:p>
    <w:p>
      <w:pPr>
        <w:pStyle w:val="ListParagraph"/>
        <w:numPr>
          <w:ilvl w:val="0"/>
          <w:numId w:val="28"/>
        </w:numPr>
        <w:rPr/>
      </w:pPr>
      <w:r>
        <w:rPr/>
        <w:t>API (Application Programming Interface) - interfejs programowania aplikacji, zbiór protokołów komunikacji między komponentami oprogramowania.</w:t>
      </w:r>
    </w:p>
    <w:p>
      <w:pPr>
        <w:pStyle w:val="ListParagraph"/>
        <w:numPr>
          <w:ilvl w:val="0"/>
          <w:numId w:val="28"/>
        </w:numPr>
        <w:rPr/>
      </w:pPr>
      <w:r>
        <w:rPr/>
        <w:t>REST (Representational State Transfer) - styl architektury oprogramowania dla usług sieciowych.</w:t>
      </w:r>
    </w:p>
    <w:p>
      <w:pPr>
        <w:pStyle w:val="ListParagraph"/>
        <w:numPr>
          <w:ilvl w:val="0"/>
          <w:numId w:val="28"/>
        </w:numPr>
        <w:rPr/>
      </w:pPr>
      <w:r>
        <w:rPr/>
        <w:t>MVVM (Model-View-ViewModel) - wzorzec projektowy stosowany w interfejsach użytkownika.</w:t>
      </w:r>
    </w:p>
    <w:p>
      <w:pPr>
        <w:pStyle w:val="ListParagraph"/>
        <w:numPr>
          <w:ilvl w:val="0"/>
          <w:numId w:val="28"/>
        </w:numPr>
        <w:rPr/>
      </w:pPr>
      <w:r>
        <w:rPr/>
        <w:t>F1-score - miara jakości modelu klasyfikacyjnego będąca średnią harmoniczną precyzji i czułości.</w:t>
      </w:r>
    </w:p>
    <w:p>
      <w:pPr>
        <w:pStyle w:val="ListParagraph"/>
        <w:numPr>
          <w:ilvl w:val="0"/>
          <w:numId w:val="28"/>
        </w:numPr>
        <w:rPr/>
      </w:pPr>
      <w:r>
        <w:rPr/>
        <w:t>Transfer learning (uczenie transferowe) - technika ponownego wykorzystania wag modelu wytrenowanego na dużym zbiorze danych do nowego zadania.</w:t>
      </w:r>
    </w:p>
    <w:p>
      <w:pPr>
        <w:pStyle w:val="ListParagraph"/>
        <w:numPr>
          <w:ilvl w:val="0"/>
          <w:numId w:val="28"/>
        </w:numPr>
        <w:rPr/>
      </w:pPr>
      <w:r>
        <w:rPr/>
        <w:t>Early stopping - mechanizm przerywania treningu po wykryciu braku poprawy na zbiorze walidacyjnym.</w:t>
      </w:r>
    </w:p>
    <w:p>
      <w:pPr>
        <w:pStyle w:val="ListParagraph"/>
        <w:numPr>
          <w:ilvl w:val="0"/>
          <w:numId w:val="28"/>
        </w:numPr>
        <w:rPr/>
      </w:pPr>
      <w:r>
        <w:rPr/>
        <w:t>Overfitting(przeuczenie) - sytuacja, gdy model osiąga wysoką dokładność treningową lecz słabą generalizację.</w:t>
      </w:r>
    </w:p>
    <w:p>
      <w:pPr>
        <w:pStyle w:val="ListParagraph"/>
        <w:numPr>
          <w:ilvl w:val="0"/>
          <w:numId w:val="28"/>
        </w:numPr>
        <w:rPr/>
      </w:pPr>
      <w:r>
        <w:rPr/>
        <w:t>WeightedRandomSampler - technika próbkowania ważonego używana do wyrównywania nierównowagi klas w mini-batch.</w:t>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Heading1"/>
        <w:numPr>
          <w:ilvl w:val="0"/>
          <w:numId w:val="0"/>
        </w:numPr>
        <w:ind w:hanging="0" w:start="0"/>
        <w:rPr/>
      </w:pPr>
      <w:bookmarkStart w:id="3" w:name="_Toc228645076"/>
      <w:r>
        <w:rPr/>
        <w:t>Wstęp</w:t>
      </w:r>
      <w:bookmarkEnd w:id="3"/>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złotych. Wśród tych schorzeń szczególną rolę odgrywa czerniak złośliwy, najbardziej agresywny nowotwór skóry.</w:t>
      </w:r>
    </w:p>
    <w:p>
      <w:pPr>
        <w:pStyle w:val="Normal"/>
        <w:rPr/>
      </w:pPr>
      <w:r>
        <w:rPr/>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r>
    </w:p>
    <w:p>
      <w:pPr>
        <w:pStyle w:val="Normal"/>
        <w:rPr/>
      </w:pPr>
      <w:r>
        <w:rPr/>
        <w:t>Paradygmat automatyzacji analizy obrazów medycznych uległ radykalnej zmianie wraz z upowszechnieniem metod głębokiego uczenia. Momentem przełomowym była publikacja Esteva [1]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Heading1"/>
        <w:numPr>
          <w:ilvl w:val="0"/>
          <w:numId w:val="0"/>
        </w:numPr>
        <w:ind w:hanging="0" w:start="0"/>
        <w:rPr/>
      </w:pPr>
      <w:bookmarkStart w:id="4" w:name="_Toc228645077"/>
      <w:r>
        <w:rPr/>
        <w:t>Cel</w:t>
      </w:r>
      <w:bookmarkEnd w:id="4"/>
    </w:p>
    <w:p>
      <w:pPr>
        <w:pStyle w:val="Normal"/>
        <w:rPr/>
      </w:pPr>
      <w:r>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start="0"/>
        <w:rPr/>
      </w:pPr>
      <w:bookmarkStart w:id="5" w:name="_Toc228645078"/>
      <w:r>
        <w:rPr/>
        <w:t>Zakres pracy</w:t>
      </w:r>
      <w:bookmarkEnd w:id="5"/>
    </w:p>
    <w:p>
      <w:pPr>
        <w:pStyle w:val="ListParagraph"/>
        <w:numPr>
          <w:ilvl w:val="0"/>
          <w:numId w:val="9"/>
        </w:numPr>
        <w:rPr/>
      </w:pPr>
      <w:r>
        <w:rPr/>
        <w:t>Przeprowadzenie analizy literaturowej dotyczącej: dermatologii klinicznej i nowotworów skóry, głębokiego uczenia w klasyfikacji obrazów medycznych, architektur CNN i ViT.</w:t>
      </w:r>
    </w:p>
    <w:p>
      <w:pPr>
        <w:pStyle w:val="ListParagraph"/>
        <w:numPr>
          <w:ilvl w:val="0"/>
          <w:numId w:val="9"/>
        </w:numPr>
        <w:rPr/>
      </w:pPr>
      <w:r>
        <w:rPr/>
        <w:t>Wybór i przygotowanie zbioru danych (Skin Lesions Dataset).</w:t>
      </w:r>
    </w:p>
    <w:p>
      <w:pPr>
        <w:pStyle w:val="ListParagraph"/>
        <w:numPr>
          <w:ilvl w:val="0"/>
          <w:numId w:val="9"/>
        </w:numPr>
        <w:rPr/>
      </w:pPr>
      <w:r>
        <w:rPr/>
        <w:t>Implementacja notatnika Jupyter do treningu i ewaluacji pięciu modeli klasyfikacyjnych na platformie Kaggle.</w:t>
      </w:r>
    </w:p>
    <w:p>
      <w:pPr>
        <w:pStyle w:val="ListParagraph"/>
        <w:numPr>
          <w:ilvl w:val="0"/>
          <w:numId w:val="9"/>
        </w:numPr>
        <w:rPr/>
      </w:pPr>
      <w:r>
        <w:rPr/>
        <w:t>Implementacja mechanizmu Grad-CAM i testu odporności modeli (szum Gaussowski, rozmycie).</w:t>
      </w:r>
    </w:p>
    <w:p>
      <w:pPr>
        <w:pStyle w:val="ListParagraph"/>
        <w:numPr>
          <w:ilvl w:val="0"/>
          <w:numId w:val="9"/>
        </w:numPr>
        <w:rPr/>
      </w:pPr>
      <w:r>
        <w:rPr/>
        <w:t>Projekt i implementacja backendu w Python/Streamlit oraz REST API.</w:t>
      </w:r>
    </w:p>
    <w:p>
      <w:pPr>
        <w:pStyle w:val="ListParagraph"/>
        <w:numPr>
          <w:ilvl w:val="0"/>
          <w:numId w:val="9"/>
        </w:numPr>
        <w:rPr>
          <w:lang w:val="en-US"/>
        </w:rPr>
      </w:pPr>
      <w:r>
        <w:rPr>
          <w:lang w:val="en-US"/>
        </w:rPr>
        <w:t>Projekt i implementacja front-endu w React/TypeScript/Tailwind CSS/shadcn-ui.</w:t>
      </w:r>
    </w:p>
    <w:p>
      <w:pPr>
        <w:pStyle w:val="ListParagraph"/>
        <w:numPr>
          <w:ilvl w:val="0"/>
          <w:numId w:val="9"/>
        </w:numPr>
        <w:rPr/>
      </w:pPr>
      <w:r>
        <w:rPr/>
        <w:t>Integracja funkcjonalności: mapa ciała, historia badań, panel kamery.</w:t>
      </w:r>
    </w:p>
    <w:p>
      <w:pPr>
        <w:pStyle w:val="ListParagraph"/>
        <w:numPr>
          <w:ilvl w:val="0"/>
          <w:numId w:val="9"/>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start="851"/>
        <w:rPr/>
      </w:pPr>
      <w:bookmarkStart w:id="6" w:name="_Toc228645079"/>
      <w:r>
        <w:rPr/>
        <w:t>Dermatologia i automatyczna diagnostyka skórna - przegląd literaturowy</w:t>
      </w:r>
      <w:bookmarkEnd w:id="6"/>
    </w:p>
    <w:p>
      <w:pPr>
        <w:pStyle w:val="BodyText"/>
        <w:spacing w:lineRule="auto" w:line="360"/>
        <w:rPr/>
      </w:pPr>
      <w:r>
        <w:rPr/>
        <w:t>Automatyzacja procesów diagnostycznych w dermatologii stanowi szczególne wyzwanie badawcze. Wynika to z konieczności połączenia dwóch odmiennych obszarów wiedzy, jakimi są medycyna kliniczna oraz inżynieria oprogramowania. Zanim możliwe stanie się skuteczne trenowanie modeli głębokiego uczenia, niezbędne jest uprzednie zrozumienie samego przedmiotu analizy. Dla algorytmu fotografia zmiany skórnej jest jedynie uporządkowaną strukturą danych w postaci pikseli, natomiast z perspektywy medycznej stanowi ona obraz złożonych procesów patologicznych zachodzących w organizmie.</w:t>
      </w:r>
    </w:p>
    <w:p>
      <w:pPr>
        <w:pStyle w:val="BodyText"/>
        <w:spacing w:lineRule="auto" w:line="360"/>
        <w:rPr/>
      </w:pPr>
      <w:r>
        <w:rPr/>
        <w:t>Z tego względu przegląd literatury rozpoczyna się od omówienia podstaw funkcjonowania skóry w ujęciu medycznym. Analiza wybranych jednostek chorobowych, obejmująca zarówno zmiany łagodne, infekcje wirusowe, jak i nowotwory o wysokim stopniu złośliwości, pozwala zbudować kontekst niezbędny do dalszych rozważań. Dopiero na tej podstawie możliwa jest rzetelna ocena aktualnych osiągnięć w obszarze sztucznej inteligencji, charakterystyki medycznych zbiorów danych oraz znaczenia metod odpowiadających za interpretowalność uzyskiwanych predykcji.</w:t>
      </w:r>
    </w:p>
    <w:p>
      <w:pPr>
        <w:pStyle w:val="Heading2"/>
        <w:numPr>
          <w:ilvl w:val="1"/>
          <w:numId w:val="7"/>
        </w:numPr>
        <w:rPr/>
      </w:pPr>
      <w:bookmarkStart w:id="7" w:name="_Toc228645080"/>
      <w:r>
        <w:rPr/>
        <w:t>Skóra jako narząd i jej choroby</w:t>
      </w:r>
      <w:bookmarkEnd w:id="7"/>
    </w:p>
    <w:p>
      <w:pPr>
        <w:pStyle w:val="Normal"/>
        <w:ind w:firstLine="708"/>
        <w:rPr/>
      </w:pPr>
      <w:r>
        <w:rPr/>
        <w:t>Skóra stanowi największy narząd ludzkiego organizmu. Jej powierzchnia wynosi przeciętnie od 1,5 do 2 metrów kwadratowych, a masa odpowiada około 15 procentom całkowitej masy ciała. Pełni ona szereg istotnych funkcji biologicznych, w tym funkcję ochronną jako bariera mechaniczna, chemiczna i immunologiczna, a także uczestniczy w termoregulacji, odbiorze bodźców czuciowych oraz procesach metabolicznych, takich jak synteza witaminy D3. Budowa skóry obejmuje trzy podstawowe warstwy, czyli naskórek, skórę właściwą oraz tkankę podskórną. W obrębie naskórka znajdują się melanocyty</w:t>
      </w:r>
      <w:sdt>
        <w:sdtPr>
          <w:citation/>
        </w:sdtPr>
        <w:sdtContent>
          <w:r>
            <w:rPr/>
            <w:fldChar w:fldCharType="begin"/>
          </w:r>
          <w:r>
            <w:rPr/>
            <w:instrText xml:space="preserve"> CITATION Est17 \l 1045 </w:instrText>
          </w:r>
          <w:r>
            <w:rPr/>
            <w:fldChar w:fldCharType="separate"/>
          </w:r>
          <w:r>
            <w:rPr/>
            <w:t xml:space="preserve"> [1]</w:t>
          </w:r>
          <w:r>
            <w:rPr/>
            <w:fldChar w:fldCharType="end"/>
          </w:r>
        </w:sdtContent>
      </w:sdt>
      <w:r>
        <w:rPr/>
        <w:t xml:space="preserve"> odpowiedzialne za produkcję melaniny, która warunkuje pigmentację skóry oraz odgrywa kluczową rolę w ochronie przed promieniowaniem</w:t>
      </w:r>
      <w:r>
        <w:rPr/>
        <w:t xml:space="preserve"> ultrafioletowym.</w:t>
      </w:r>
    </w:p>
    <w:p>
      <w:pPr>
        <w:pStyle w:val="Normal"/>
        <w:ind w:firstLine="708"/>
        <w:rPr/>
      </w:pPr>
      <w:r>
        <w:rPr/>
        <w:br/>
        <w:tab/>
        <w:t>Choroby skóry klasyfikuje się najczęściej według ich etiologii, wyróżniając między innymi schorzenia zakaźne, nowotworowe, autoimmunologiczne oraz alergiczne, a także według obrazu morfologicznego zmian skórnych. W kontekście niniejszej pracy szczególne znaczenie mają nowotwory skóry wywodzące się z melanocytów i keratynocytów, zarówno o charakterze łagodnym, jak i złośliwym, a także choroby zakaźne, które manifestują się charakterystycznymi zmianami skórnymi. Diagnostyka dermatologiczna opiera się na ocenie zmian pierwotnych takich jak plama, grudka, pęcherzyk, krosta czy guzek oraz zmian wtórnych obejmujących między innymi nadżerki, owrzodzenia, blizny i łuski. Dokładność rozpoznania zależy w dużej mierze od doświadczenia klinicznego osoby przeprowadzającej badanie.</w:t>
      </w:r>
    </w:p>
    <w:p>
      <w:pPr>
        <w:pStyle w:val="Normal"/>
        <w:ind w:hanging="0"/>
        <w:rPr/>
      </w:pPr>
      <w:r>
        <w:rPr/>
        <w:br/>
        <w:tab/>
        <w:t>W praktyce klinicznej ocena zmian melanocytarnych często opiera się na regule ABCDE</w:t>
      </w:r>
      <w:sdt>
        <w:sdtPr>
          <w:citation/>
        </w:sdtPr>
        <w:sdtContent>
          <w:r>
            <w:rPr/>
            <w:fldChar w:fldCharType="begin"/>
          </w:r>
          <w:r>
            <w:rPr/>
            <w:instrText xml:space="preserve"> CITATION Dua21 \l 1045 </w:instrText>
          </w:r>
          <w:r>
            <w:rPr/>
            <w:fldChar w:fldCharType="separate"/>
          </w:r>
          <w:r>
            <w:rPr/>
            <w:t xml:space="preserve"> [2]</w:t>
          </w:r>
          <w:r>
            <w:rPr/>
            <w:fldChar w:fldCharType="end"/>
          </w:r>
        </w:sdtContent>
      </w:sdt>
      <w:r>
        <w:rPr/>
        <w:t>, która uwzględnia asymetrię kształtu zmiany, nieregularność jej brzegów, niejednorodne zabarwienie, średnicę przekraczającą sześć milimetrów oraz ewolucję zmian w czasie. Mimo szerokiego zastosowania w diagnostyce wstępnej metoda ta charakteryzuje się ograniczoną czułością i swoistością, szczególnie w przypadku wczesnych postaci czerniaka oraz zmian łagodnych o atypowym obrazie klinicznym. Z tego powodu coraz większe znaczenie zyskują narzędzia wspomagające proces diagnostyczny.</w:t>
      </w:r>
    </w:p>
    <w:p>
      <w:pPr>
        <w:pStyle w:val="Heading3"/>
        <w:numPr>
          <w:ilvl w:val="0"/>
          <w:numId w:val="0"/>
        </w:numPr>
        <w:ind w:hanging="0" w:start="0"/>
        <w:rPr>
          <w:bCs/>
        </w:rPr>
      </w:pPr>
      <w:bookmarkStart w:id="8" w:name="_Toc228645081"/>
      <w:r>
        <w:rPr/>
        <w:t>1.1.1 K</w:t>
      </w:r>
      <w:r>
        <w:rPr>
          <w:bCs/>
        </w:rPr>
        <w:t>lasyfikacja nowotworów skóry w zbiorze danych</w:t>
      </w:r>
      <w:bookmarkEnd w:id="8"/>
    </w:p>
    <w:p>
      <w:pPr>
        <w:pStyle w:val="Normal"/>
        <w:rPr/>
      </w:pPr>
      <w:r>
        <w:rPr/>
        <w:t>Spośród 14 klas obecnych w zbiorze danych niniejszej pracy, cztery dotyczą zmian o charakterze nowotworowym lub przedrakowym:</w:t>
      </w:r>
    </w:p>
    <w:p>
      <w:pPr>
        <w:pStyle w:val="Heading4"/>
        <w:rPr/>
      </w:pPr>
      <w:r>
        <w:rPr/>
        <w:t>1.1.1.1 Melanoma (czerniak złośliwy)</w:t>
      </w:r>
    </w:p>
    <w:p>
      <w:pPr>
        <w:pStyle w:val="Normal"/>
        <w:rPr/>
      </w:pPr>
      <w:r>
        <w:rPr/>
        <w:t>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w:t>
      </w:r>
      <w:sdt>
        <w:sdtPr>
          <w:citation/>
        </w:sdtPr>
        <w:sdtContent>
          <w:r>
            <w:rPr/>
            <w:fldChar w:fldCharType="begin"/>
          </w:r>
          <w:r>
            <w:rPr/>
            <w:instrText xml:space="preserve"> CITATION Dua21 \l 1045 </w:instrText>
          </w:r>
          <w:r>
            <w:rPr/>
            <w:fldChar w:fldCharType="separate"/>
          </w:r>
          <w:r>
            <w:rPr/>
            <w:t xml:space="preserve"> [2]</w:t>
          </w:r>
          <w:r>
            <w:rPr/>
            <w:fldChar w:fldCharType="end"/>
          </w:r>
        </w:sdtContent>
      </w:sdt>
      <w:r>
        <w:rPr/>
        <w:t xml:space="preserve">. </w:t>
      </w:r>
    </w:p>
    <w:p>
      <w:pPr>
        <w:pStyle w:val="Normal"/>
        <w:keepNext w:val="true"/>
        <w:jc w:val="center"/>
        <w:rPr/>
      </w:pPr>
      <w:r>
        <w:rPr/>
        <w:drawing>
          <wp:inline distT="0" distB="0" distL="0" distR="0">
            <wp:extent cx="4137660" cy="2103120"/>
            <wp:effectExtent l="0" t="0" r="0" b="0"/>
            <wp:docPr id="2"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4"/>
                    <pic:cNvPicPr>
                      <a:picLocks noChangeAspect="1" noChangeArrowheads="1"/>
                    </pic:cNvPicPr>
                  </pic:nvPicPr>
                  <pic:blipFill>
                    <a:blip r:embed="rId3"/>
                    <a:stretch>
                      <a:fillRect/>
                    </a:stretch>
                  </pic:blipFill>
                  <pic:spPr bwMode="auto">
                    <a:xfrm>
                      <a:off x="0" y="0"/>
                      <a:ext cx="4137660" cy="2103120"/>
                    </a:xfrm>
                    <a:prstGeom prst="rect">
                      <a:avLst/>
                    </a:prstGeom>
                    <a:noFill/>
                  </pic:spPr>
                </pic:pic>
              </a:graphicData>
            </a:graphic>
          </wp:inline>
        </w:drawing>
      </w:r>
    </w:p>
    <w:p>
      <w:pPr>
        <w:pStyle w:val="Caption"/>
        <w:rPr>
          <w:lang w:val="en-US"/>
        </w:rPr>
      </w:pPr>
      <w:bookmarkStart w:id="9" w:name="_Toc228645495"/>
      <w:bookmarkStart w:id="10" w:name="_Ref228207447"/>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w:t>
      </w:r>
      <w:r>
        <w:rPr>
          <w:lang w:val="en-US"/>
        </w:rPr>
        <w:fldChar w:fldCharType="end"/>
      </w:r>
      <w:bookmarkEnd w:id="10"/>
      <w:r>
        <w:rPr>
          <w:lang w:val="en-US"/>
        </w:rPr>
        <w:t xml:space="preserve"> Czerniak</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9"/>
        </w:sdtContent>
      </w:sdt>
    </w:p>
    <w:p>
      <w:pPr>
        <w:pStyle w:val="Heading4"/>
        <w:rPr/>
      </w:pPr>
      <w:r>
        <w:rPr/>
        <w:t>1.1.1.2 Basal cell carcinoma (rak podstawnokomórkowy, BCC)</w:t>
      </w:r>
    </w:p>
    <w:p>
      <w:pPr>
        <w:pStyle w:val="Normal"/>
        <w:rPr/>
      </w:pPr>
      <w:r>
        <w:rPr/>
        <w:t>To najczęstszy nowotwór złośliwy u człowieka,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sdt>
        <w:sdtPr>
          <w:citation/>
        </w:sdtPr>
        <w:sdtContent>
          <w:r>
            <w:rPr/>
            <w:fldChar w:fldCharType="begin"/>
          </w:r>
          <w:r>
            <w:rPr/>
            <w:instrText xml:space="preserve"> CITATION Ofe21 \l 1045 </w:instrText>
          </w:r>
          <w:r>
            <w:rPr/>
            <w:fldChar w:fldCharType="separate"/>
          </w:r>
          <w:r>
            <w:rPr/>
            <w:t xml:space="preserve"> [4]</w:t>
          </w:r>
          <w:r>
            <w:rPr/>
            <w:fldChar w:fldCharType="end"/>
          </w:r>
        </w:sdtContent>
      </w:sdt>
      <w:r>
        <w:rPr/>
        <w:t>.</w:t>
      </w:r>
    </w:p>
    <w:p>
      <w:pPr>
        <w:pStyle w:val="Normal"/>
        <w:keepNext w:val="true"/>
        <w:jc w:val="center"/>
        <w:rPr/>
      </w:pPr>
      <w:r>
        <w:rPr/>
        <w:drawing>
          <wp:inline distT="0" distB="0" distL="0" distR="0">
            <wp:extent cx="4869180" cy="3566160"/>
            <wp:effectExtent l="0" t="0" r="0" b="0"/>
            <wp:docPr id="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5"/>
                    <pic:cNvPicPr>
                      <a:picLocks noChangeAspect="1" noChangeArrowheads="1"/>
                    </pic:cNvPicPr>
                  </pic:nvPicPr>
                  <pic:blipFill>
                    <a:blip r:embed="rId4"/>
                    <a:stretch>
                      <a:fillRect/>
                    </a:stretch>
                  </pic:blipFill>
                  <pic:spPr bwMode="auto">
                    <a:xfrm>
                      <a:off x="0" y="0"/>
                      <a:ext cx="4869180" cy="3566160"/>
                    </a:xfrm>
                    <a:prstGeom prst="rect">
                      <a:avLst/>
                    </a:prstGeom>
                    <a:noFill/>
                  </pic:spPr>
                </pic:pic>
              </a:graphicData>
            </a:graphic>
          </wp:inline>
        </w:drawing>
      </w:r>
    </w:p>
    <w:p>
      <w:pPr>
        <w:pStyle w:val="Caption"/>
        <w:rPr/>
      </w:pPr>
      <w:bookmarkStart w:id="11" w:name="_Toc228645496"/>
      <w:r>
        <w:rPr/>
        <w:t xml:space="preserve">Rysunek </w:t>
      </w:r>
      <w:r>
        <w:rPr/>
        <w:fldChar w:fldCharType="begin"/>
      </w:r>
      <w:r>
        <w:rPr/>
        <w:instrText xml:space="preserve"> SEQ Rysunek \* ARABIC </w:instrText>
      </w:r>
      <w:r>
        <w:rPr/>
        <w:fldChar w:fldCharType="separate"/>
      </w:r>
      <w:r>
        <w:rPr/>
        <w:t>2</w:t>
      </w:r>
      <w:r>
        <w:rPr/>
        <w:fldChar w:fldCharType="end"/>
      </w:r>
      <w:r>
        <w:rPr/>
        <w:t xml:space="preserve"> Rak podstawnokomórkowy, BCC</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1"/>
        </w:sdtContent>
      </w:sdt>
    </w:p>
    <w:p>
      <w:pPr>
        <w:pStyle w:val="Heading4"/>
        <w:rPr/>
      </w:pPr>
      <w:r>
        <w:rPr/>
        <w:t>1.1.1.3 Squamous cell carcinoma (rak płaskonabłonkowy, SCC)</w:t>
      </w:r>
    </w:p>
    <w:p>
      <w:pPr>
        <w:pStyle w:val="Normal"/>
        <w:rPr/>
      </w:pPr>
      <w:r>
        <w:rPr/>
        <w:t>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keepNext w:val="true"/>
        <w:jc w:val="center"/>
        <w:rPr/>
      </w:pPr>
      <w:r>
        <w:rPr/>
        <w:drawing>
          <wp:inline distT="0" distB="0" distL="0" distR="0">
            <wp:extent cx="4221480" cy="2362200"/>
            <wp:effectExtent l="0" t="0" r="0" b="0"/>
            <wp:docPr id="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6"/>
                    <pic:cNvPicPr>
                      <a:picLocks noChangeAspect="1" noChangeArrowheads="1"/>
                    </pic:cNvPicPr>
                  </pic:nvPicPr>
                  <pic:blipFill>
                    <a:blip r:embed="rId5"/>
                    <a:stretch>
                      <a:fillRect/>
                    </a:stretch>
                  </pic:blipFill>
                  <pic:spPr bwMode="auto">
                    <a:xfrm>
                      <a:off x="0" y="0"/>
                      <a:ext cx="4221480" cy="2362200"/>
                    </a:xfrm>
                    <a:prstGeom prst="rect">
                      <a:avLst/>
                    </a:prstGeom>
                    <a:noFill/>
                  </pic:spPr>
                </pic:pic>
              </a:graphicData>
            </a:graphic>
          </wp:inline>
        </w:drawing>
      </w:r>
    </w:p>
    <w:p>
      <w:pPr>
        <w:pStyle w:val="Caption"/>
        <w:rPr/>
      </w:pPr>
      <w:bookmarkStart w:id="12" w:name="_Toc228645497"/>
      <w:r>
        <w:rPr/>
        <w:t xml:space="preserve">Rysunek </w:t>
      </w:r>
      <w:r>
        <w:rPr/>
        <w:fldChar w:fldCharType="begin"/>
      </w:r>
      <w:r>
        <w:rPr/>
        <w:instrText xml:space="preserve"> SEQ Rysunek \* ARABIC </w:instrText>
      </w:r>
      <w:r>
        <w:rPr/>
        <w:fldChar w:fldCharType="separate"/>
      </w:r>
      <w:r>
        <w:rPr/>
        <w:t>3</w:t>
      </w:r>
      <w:r>
        <w:rPr/>
        <w:fldChar w:fldCharType="end"/>
      </w:r>
      <w:r>
        <w:rPr/>
        <w:t xml:space="preserve"> Rak płaskonabłonkowy</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2"/>
        </w:sdtContent>
      </w:sdt>
    </w:p>
    <w:p>
      <w:pPr>
        <w:pStyle w:val="Heading4"/>
        <w:rPr/>
      </w:pPr>
      <w:r>
        <w:rPr/>
        <w:t>1.1.1.4 Actinic keratoses</w:t>
      </w:r>
      <w:sdt>
        <w:sdtPr>
          <w:citation/>
        </w:sdtPr>
        <w:sdtContent>
          <w:r>
            <w:rPr/>
            <w:fldChar w:fldCharType="begin"/>
          </w:r>
          <w:r>
            <w:rPr/>
            <w:instrText xml:space="preserve">CITATION Xia23 \l 1045 </w:instrText>
          </w:r>
          <w:r>
            <w:rPr/>
            <w:fldChar w:fldCharType="separate"/>
          </w:r>
          <w:r>
            <w:rPr/>
            <w:t xml:space="preserve"> [5]</w:t>
          </w:r>
          <w:r>
            <w:rPr/>
            <w:fldChar w:fldCharType="end"/>
          </w:r>
        </w:sdtContent>
      </w:sdt>
      <w:r>
        <w:rPr/>
        <w:t xml:space="preserve"> (rogowacenie słoneczne,</w:t>
      </w:r>
      <w:r>
        <w:rPr/>
        <w:t xml:space="preserve"> AK)</w:t>
      </w:r>
    </w:p>
    <w:p>
      <w:pPr>
        <w:pStyle w:val="Normal"/>
        <w:keepNext w:val="true"/>
        <w:ind w:firstLine="708"/>
        <w:rPr/>
      </w:pPr>
      <w:r>
        <w:rPr/>
        <w:t>Stanowi zmianę przednowotworową rozwijającą się w następstwie długotrwałej ekspozycji skóry na promieniowanie ultrafioletowe. Kluczowym mechanizmem patogenetycznym jest stopniowe uszkadzanie materiału genetycznego komórek naskórka przez promieniowanie UV, co prowadzi do kumulacji błędów w DNA i zaburzeń mechanizmów naprawczych komórki. Jednym z najczęściej obserwowanych efektów tych procesów jest mutacja w genie TP53, który pełni istotną rolę w kontroli cyklu komórkowego oraz w odpowiedzi na uszkodzenia DNA.</w:t>
      </w:r>
    </w:p>
    <w:p>
      <w:pPr>
        <w:pStyle w:val="Normal"/>
        <w:keepNext w:val="true"/>
        <w:ind w:hanging="0"/>
        <w:rPr/>
      </w:pPr>
      <w:r>
        <w:rPr/>
      </w:r>
    </w:p>
    <w:p>
      <w:pPr>
        <w:pStyle w:val="Normal"/>
        <w:widowControl w:val="false"/>
        <w:ind w:firstLine="708"/>
        <w:rPr/>
      </w:pPr>
      <w:r>
        <w:rPr/>
        <w:t>W warunkach przewlekłego narażenia na promieniowanie słoneczne dochodzi do stopniowej utraty kontroli nad proliferacją keratynocytów, co sprzyja rozwojowi zmian dysplastycznych. Nieleczone rogowacenie słoneczne może ulec transformacji nowotworowej w kierunku raka kolczystokomórkowego skóry (SCC) w około 5 do 10 procent przypadków.</w:t>
      </w:r>
    </w:p>
    <w:p>
      <w:pPr>
        <w:pStyle w:val="Normal"/>
        <w:keepNext w:val="true"/>
        <w:ind w:hanging="0"/>
        <w:rPr/>
      </w:pPr>
      <w:r>
        <w:rPr/>
      </w:r>
    </w:p>
    <w:p>
      <w:pPr>
        <w:pStyle w:val="Normal"/>
        <w:widowControl w:val="false"/>
        <w:ind w:hanging="0"/>
        <w:rPr/>
      </w:pPr>
      <w:r>
        <w:rPr/>
        <w:tab/>
        <w:t>Klinicznie zmiany te manifestują się jako niewielkie ogniska o szorstkiej, chropowatej powierzchni, często pokryte łuską, zlokalizowane na obszarach skóry szczególnie narażonych na przewlekłe działanie słońca, takich jak twarz, owłosiona skóra głowy, grzbiety rąk czy przedramiona.</w:t>
      </w:r>
    </w:p>
    <w:p>
      <w:pPr>
        <w:pStyle w:val="Normal"/>
        <w:keepNext w:val="true"/>
        <w:jc w:val="center"/>
        <w:rPr/>
      </w:pPr>
      <w:r>
        <w:rPr/>
        <w:drawing>
          <wp:inline distT="0" distB="0" distL="0" distR="0">
            <wp:extent cx="3817620" cy="2644140"/>
            <wp:effectExtent l="0" t="0" r="0" b="0"/>
            <wp:docPr id="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7"/>
                    <pic:cNvPicPr>
                      <a:picLocks noChangeAspect="1" noChangeArrowheads="1"/>
                    </pic:cNvPicPr>
                  </pic:nvPicPr>
                  <pic:blipFill>
                    <a:blip r:embed="rId6"/>
                    <a:stretch>
                      <a:fillRect/>
                    </a:stretch>
                  </pic:blipFill>
                  <pic:spPr bwMode="auto">
                    <a:xfrm>
                      <a:off x="0" y="0"/>
                      <a:ext cx="3817620" cy="2644140"/>
                    </a:xfrm>
                    <a:prstGeom prst="rect">
                      <a:avLst/>
                    </a:prstGeom>
                    <a:noFill/>
                  </pic:spPr>
                </pic:pic>
              </a:graphicData>
            </a:graphic>
          </wp:inline>
        </w:drawing>
      </w:r>
    </w:p>
    <w:p>
      <w:pPr>
        <w:pStyle w:val="Caption"/>
        <w:rPr>
          <w:lang w:val="en-US"/>
        </w:rPr>
      </w:pPr>
      <w:bookmarkStart w:id="13" w:name="_Toc228645498"/>
      <w:r>
        <w:rPr/>
        <w:t xml:space="preserve">Rysunek </w:t>
      </w:r>
      <w:r>
        <w:rPr/>
        <w:fldChar w:fldCharType="begin"/>
      </w:r>
      <w:r>
        <w:rPr/>
        <w:instrText xml:space="preserve"> SEQ Rysunek \* ARABIC </w:instrText>
      </w:r>
      <w:r>
        <w:rPr/>
        <w:fldChar w:fldCharType="separate"/>
      </w:r>
      <w:r>
        <w:rPr/>
        <w:t>4</w:t>
      </w:r>
      <w:r>
        <w:rPr/>
        <w:fldChar w:fldCharType="end"/>
      </w:r>
      <w:r>
        <w:rPr/>
        <w:t xml:space="preserve"> Rogowacenie słoneczne</w:t>
        <w:br/>
      </w:r>
      <w:r>
        <w:rPr>
          <w:lang w:val="en-US"/>
        </w:rP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3"/>
        </w:sdtContent>
      </w:sdt>
    </w:p>
    <w:p>
      <w:pPr>
        <w:pStyle w:val="Heading3"/>
        <w:numPr>
          <w:ilvl w:val="2"/>
          <w:numId w:val="10"/>
        </w:numPr>
        <w:rPr/>
      </w:pPr>
      <w:r>
        <w:rPr>
          <w:bCs/>
        </w:rPr>
        <w:t xml:space="preserve"> </w:t>
      </w:r>
      <w:bookmarkStart w:id="14" w:name="_Toc228645082"/>
      <w:r>
        <w:rPr>
          <w:bCs/>
        </w:rPr>
        <w:t>Wirusowe choroby zakaźne z manifestacją skórną</w:t>
      </w:r>
      <w:bookmarkEnd w:id="14"/>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Heading4"/>
        <w:rPr/>
      </w:pPr>
      <w:r>
        <w:rPr/>
        <w:t>1.1.2.1 Monkeypox</w:t>
      </w:r>
      <w:sdt>
        <w:sdtPr>
          <w:citation/>
        </w:sdtPr>
        <w:sdtContent>
          <w:r>
            <w:rPr/>
            <w:fldChar w:fldCharType="begin"/>
          </w:r>
          <w:r>
            <w:rPr/>
            <w:instrText xml:space="preserve">CITATION Yad25 \l 1045 </w:instrText>
          </w:r>
          <w:r>
            <w:rPr/>
            <w:fldChar w:fldCharType="separate"/>
          </w:r>
          <w:r>
            <w:rPr/>
            <w:t xml:space="preserve"> [6]</w:t>
          </w:r>
          <w:r>
            <w:rPr/>
            <w:fldChar w:fldCharType="end"/>
          </w:r>
        </w:sdtContent>
      </w:sdt>
      <w:r>
        <w:rPr/>
        <w:t xml:space="preserve"> (małpia ospa)</w:t>
      </w:r>
    </w:p>
    <w:p>
      <w:pPr>
        <w:pStyle w:val="Normal"/>
        <w:rPr/>
      </w:pPr>
      <w:r>
        <w:rPr/>
        <w:t>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keepNext w:val="true"/>
        <w:jc w:val="center"/>
        <w:rPr/>
      </w:pPr>
      <w:r>
        <w:rPr/>
        <w:drawing>
          <wp:inline distT="0" distB="0" distL="0" distR="0">
            <wp:extent cx="2133600" cy="2133600"/>
            <wp:effectExtent l="0" t="0" r="0" b="0"/>
            <wp:docPr id="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8"/>
                    <pic:cNvPicPr>
                      <a:picLocks noChangeAspect="1" noChangeArrowheads="1"/>
                    </pic:cNvPicPr>
                  </pic:nvPicPr>
                  <pic:blipFill>
                    <a:blip r:embed="rId7"/>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5" w:name="_Toc228645499"/>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5</w:t>
      </w:r>
      <w:r>
        <w:rPr>
          <w:lang w:val="en-US"/>
        </w:rPr>
        <w:fldChar w:fldCharType="end"/>
      </w:r>
      <w:r>
        <w:rPr>
          <w:lang w:val="en-US"/>
        </w:rPr>
        <w:t xml:space="preserve"> : Ospa małpia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5"/>
        </w:sdtContent>
      </w:sdt>
    </w:p>
    <w:p>
      <w:pPr>
        <w:pStyle w:val="Heading4"/>
        <w:rPr/>
      </w:pPr>
      <w:r>
        <w:rPr/>
        <w:t xml:space="preserve">1.1.2.2 Chickenpox </w:t>
      </w:r>
      <w:sdt>
        <w:sdtPr>
          <w:citation/>
        </w:sdtPr>
        <w:sdtContent>
          <w:r>
            <w:rPr/>
            <w:fldChar w:fldCharType="begin"/>
          </w:r>
          <w:r>
            <w:rPr/>
            <w:instrText xml:space="preserve"> CITATION Sal25 \l 1045 </w:instrText>
          </w:r>
          <w:r>
            <w:rPr/>
            <w:fldChar w:fldCharType="separate"/>
          </w:r>
          <w:r>
            <w:rPr/>
            <w:t>[7]</w:t>
          </w:r>
          <w:r>
            <w:rPr/>
            <w:fldChar w:fldCharType="end"/>
          </w:r>
        </w:sdtContent>
      </w:sdt>
      <w:r>
        <w:rPr/>
        <w:t xml:space="preserve"> </w:t>
      </w:r>
      <w:r>
        <w:rPr/>
        <w:t>(ospa wietrzna)</w:t>
      </w:r>
    </w:p>
    <w:p>
      <w:pPr>
        <w:pStyle w:val="Normal"/>
        <w:rPr/>
      </w:pPr>
      <w:r>
        <w:rPr/>
        <w:t>Choroba wywoływana przez wirus Varicella-Zoster (VZV), przenoszona drogą kropelkową. Charakteryzuje się polimorfizmem wykwitów skórnych, na tym samym obszarze ciała obecne są jednocześnie plamy, grudki, pęcherzyki i strupy (tzw. "rozgwieżdżone niebo"). Zmiany pojawiają się kolejnymi "rzutami" przez 3-5 dni.</w:t>
      </w:r>
    </w:p>
    <w:p>
      <w:pPr>
        <w:pStyle w:val="Normal"/>
        <w:keepNext w:val="true"/>
        <w:jc w:val="center"/>
        <w:rPr/>
      </w:pPr>
      <w:r>
        <w:rPr/>
        <w:drawing>
          <wp:inline distT="0" distB="0" distL="0" distR="0">
            <wp:extent cx="2133600" cy="2133600"/>
            <wp:effectExtent l="0" t="0" r="0" b="0"/>
            <wp:docPr id="7"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9"/>
                    <pic:cNvPicPr>
                      <a:picLocks noChangeAspect="1" noChangeArrowheads="1"/>
                    </pic:cNvPicPr>
                  </pic:nvPicPr>
                  <pic:blipFill>
                    <a:blip r:embed="rId8"/>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6" w:name="_Toc228645500"/>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6</w:t>
      </w:r>
      <w:r>
        <w:rPr>
          <w:lang w:val="en-US"/>
        </w:rPr>
        <w:fldChar w:fldCharType="end"/>
      </w:r>
      <w:r>
        <w:rPr>
          <w:lang w:val="en-US"/>
        </w:rPr>
        <w:t xml:space="preserve"> Ospa wietrzna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6"/>
        </w:sdtContent>
      </w:sdt>
    </w:p>
    <w:p>
      <w:pPr>
        <w:pStyle w:val="Heading4"/>
        <w:rPr/>
      </w:pPr>
      <w:r>
        <w:rPr/>
        <w:t xml:space="preserve">1.1.2.3 Measles </w:t>
      </w:r>
      <w:sdt>
        <w:sdtPr>
          <w:citation/>
        </w:sdtPr>
        <w:sdtContent>
          <w:r>
            <w:rPr/>
            <w:fldChar w:fldCharType="begin"/>
          </w:r>
          <w:r>
            <w:rPr/>
            <w:instrText xml:space="preserve"> CITATION Kon25 \l 1045 </w:instrText>
          </w:r>
          <w:r>
            <w:rPr/>
            <w:fldChar w:fldCharType="separate"/>
          </w:r>
          <w:r>
            <w:rPr/>
            <w:t>[8]</w:t>
          </w:r>
          <w:r>
            <w:rPr/>
            <w:fldChar w:fldCharType="end"/>
          </w:r>
        </w:sdtContent>
      </w:sdt>
      <w:r>
        <w:rPr/>
        <w:t xml:space="preserve"> (odra)</w:t>
      </w:r>
    </w:p>
    <w:p>
      <w:pPr>
        <w:pStyle w:val="Normal"/>
        <w:rPr/>
      </w:pPr>
      <w:r>
        <w:rPr/>
        <w:t>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keepNext w:val="true"/>
        <w:jc w:val="center"/>
        <w:rPr/>
      </w:pPr>
      <w:r>
        <w:rPr/>
        <w:drawing>
          <wp:inline distT="0" distB="0" distL="0" distR="0">
            <wp:extent cx="2133600" cy="2133600"/>
            <wp:effectExtent l="0" t="0" r="0" b="0"/>
            <wp:docPr id="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0"/>
                    <pic:cNvPicPr>
                      <a:picLocks noChangeAspect="1" noChangeArrowheads="1"/>
                    </pic:cNvPicPr>
                  </pic:nvPicPr>
                  <pic:blipFill>
                    <a:blip r:embed="rId9"/>
                    <a:stretch>
                      <a:fillRect/>
                    </a:stretch>
                  </pic:blipFill>
                  <pic:spPr bwMode="auto">
                    <a:xfrm>
                      <a:off x="0" y="0"/>
                      <a:ext cx="2133600" cy="2133600"/>
                    </a:xfrm>
                    <a:prstGeom prst="rect">
                      <a:avLst/>
                    </a:prstGeom>
                    <a:noFill/>
                  </pic:spPr>
                </pic:pic>
              </a:graphicData>
            </a:graphic>
          </wp:inline>
        </w:drawing>
      </w:r>
    </w:p>
    <w:p>
      <w:pPr>
        <w:pStyle w:val="Caption"/>
        <w:rPr>
          <w:lang w:val="en-US"/>
        </w:rPr>
      </w:pPr>
      <w:bookmarkStart w:id="17" w:name="_Toc228645501"/>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7</w:t>
      </w:r>
      <w:r>
        <w:rPr>
          <w:lang w:val="en-US"/>
        </w:rPr>
        <w:fldChar w:fldCharType="end"/>
      </w:r>
      <w:r>
        <w:rPr>
          <w:lang w:val="en-US"/>
        </w:rPr>
        <w:t xml:space="preserve"> : Odra</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7"/>
        </w:sdtContent>
      </w:sdt>
    </w:p>
    <w:p>
      <w:pPr>
        <w:pStyle w:val="Heading4"/>
        <w:rPr/>
      </w:pPr>
      <w:r>
        <w:rPr/>
        <w:t>1.1.2.4 Cowpox (Krowianka) i HFMD</w:t>
      </w:r>
      <w:sdt>
        <w:sdtPr>
          <w:citation/>
        </w:sdtPr>
        <w:sdtContent>
          <w:r>
            <w:rPr/>
            <w:fldChar w:fldCharType="begin"/>
          </w:r>
          <w:r>
            <w:rPr/>
            <w:instrText xml:space="preserve"> CITATION Gue23 \l 1045 </w:instrText>
          </w:r>
          <w:r>
            <w:rPr/>
            <w:fldChar w:fldCharType="separate"/>
          </w:r>
          <w:r>
            <w:rPr/>
            <w:t xml:space="preserve"> [9]</w:t>
          </w:r>
          <w:r>
            <w:rPr/>
            <w:fldChar w:fldCharType="end"/>
          </w:r>
        </w:sdtContent>
      </w:sdt>
      <w:r>
        <w:rPr/>
        <w:t xml:space="preserve"> (choroba dłoni, stóp i jamy ustnej)</w:t>
      </w:r>
    </w:p>
    <w:p>
      <w:pPr>
        <w:pStyle w:val="Normal"/>
        <w:rPr/>
      </w:pPr>
      <w:r>
        <w:rPr/>
        <w:t>Stanowią przykłady zakażeń wirusowych, które manifestują się charakterystycznymi zmianami skórnymi. W przypadku krowianki obserwuje się rozwój zmian o charakterze nadżerek i owrzodzeń, którym może towarzyszyć treść surowiczo-krwotoczna lub ropna. Zmiany te mają zwykle ograniczony, miejscowy charakter i wynikają z bezpośredniego zakażenia skóry wirusem krowianki.</w:t>
      </w:r>
    </w:p>
    <w:p>
      <w:pPr>
        <w:pStyle w:val="Normal"/>
        <w:rPr/>
      </w:pPr>
      <w:r>
        <w:rPr/>
      </w:r>
    </w:p>
    <w:p>
      <w:pPr>
        <w:pStyle w:val="Normal"/>
        <w:rPr/>
      </w:pPr>
      <w:r>
        <w:rPr/>
        <w:t xml:space="preserve"> </w:t>
      </w:r>
      <w:r>
        <w:rPr/>
        <w:t>Z kolei HFMD jest chorobą wywoływaną najczęściej przez Enterovirus 71 lub Coxsackievirus A16. Klinicznie objawia się występowaniem drobnych pęcherzyków oraz wykwitów na skórze dłoni i stóp, a także zmian w obrębie błony śluzowej jamy ustnej. Charakterystyczne jest jednoczesne zajęcie tych trzech lokalizacji, co stanowi istotną cechę diagnostyczną tej jednostki chorobowej.</w:t>
      </w:r>
    </w:p>
    <w:p>
      <w:pPr>
        <w:pStyle w:val="Normal"/>
        <w:keepNext w:val="true"/>
        <w:jc w:val="center"/>
        <w:rPr/>
      </w:pPr>
      <w:r>
        <w:rPr/>
        <w:drawing>
          <wp:inline distT="0" distB="0" distL="0" distR="0">
            <wp:extent cx="1743075" cy="1743075"/>
            <wp:effectExtent l="0" t="0" r="0" b="0"/>
            <wp:docPr id="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11"/>
                    <pic:cNvPicPr>
                      <a:picLocks noChangeAspect="1" noChangeArrowheads="1"/>
                    </pic:cNvPicPr>
                  </pic:nvPicPr>
                  <pic:blipFill>
                    <a:blip r:embed="rId10"/>
                    <a:stretch>
                      <a:fillRect/>
                    </a:stretch>
                  </pic:blipFill>
                  <pic:spPr bwMode="auto">
                    <a:xfrm>
                      <a:off x="0" y="0"/>
                      <a:ext cx="1743075" cy="1743075"/>
                    </a:xfrm>
                    <a:prstGeom prst="rect">
                      <a:avLst/>
                    </a:prstGeom>
                    <a:noFill/>
                  </pic:spPr>
                </pic:pic>
              </a:graphicData>
            </a:graphic>
          </wp:inline>
        </w:drawing>
      </w:r>
    </w:p>
    <w:p>
      <w:pPr>
        <w:pStyle w:val="Caption"/>
        <w:rPr>
          <w:lang w:val="en-US"/>
        </w:rPr>
      </w:pPr>
      <w:bookmarkStart w:id="18" w:name="_Toc228645502"/>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8</w:t>
      </w:r>
      <w:r>
        <w:rPr>
          <w:lang w:val="en-US"/>
        </w:rPr>
        <w:fldChar w:fldCharType="end"/>
      </w:r>
      <w:r>
        <w:rPr>
          <w:lang w:val="en-US"/>
        </w:rPr>
        <w:t xml:space="preserve"> : HFMD</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18"/>
        </w:sdtContent>
      </w:sdt>
    </w:p>
    <w:p>
      <w:pPr>
        <w:pStyle w:val="Heading3"/>
        <w:numPr>
          <w:ilvl w:val="2"/>
          <w:numId w:val="10"/>
        </w:numPr>
        <w:rPr/>
      </w:pPr>
      <w:r>
        <w:rPr>
          <w:bCs/>
          <w:lang w:val="en-US"/>
        </w:rPr>
        <w:t xml:space="preserve"> </w:t>
      </w:r>
      <w:bookmarkStart w:id="19" w:name="_Toc228645083"/>
      <w:r>
        <w:rPr>
          <w:bCs/>
        </w:rPr>
        <w:t>Zmiany łagodne i inne klasy diagnostyczne</w:t>
      </w:r>
      <w:bookmarkEnd w:id="19"/>
    </w:p>
    <w:p>
      <w:pPr>
        <w:pStyle w:val="Normal"/>
        <w:spacing w:lineRule="auto" w:line="240" w:beforeAutospacing="1" w:afterAutospacing="1"/>
        <w:ind w:firstLine="708"/>
        <w:rPr>
          <w:rFonts w:eastAsia="Times New Roman" w:cs="Times New Roman"/>
          <w:color w:val="auto"/>
          <w:kern w:val="0"/>
          <w:szCs w:val="24"/>
          <w:lang w:eastAsia="pl-PL"/>
          <w14:ligatures w14:val="none"/>
        </w:rPr>
      </w:pPr>
      <w:r>
        <w:rPr>
          <w:rFonts w:eastAsia="Times New Roman" w:cs="Times New Roman"/>
          <w:color w:val="auto"/>
          <w:kern w:val="0"/>
          <w:szCs w:val="24"/>
          <w:lang w:eastAsia="pl-PL"/>
          <w14:ligatures w14:val="none"/>
        </w:rPr>
        <w:t>Zmiany łagodne stanowią najczęstszą grupę diagnostyczną w dermatoskopii i różnicowaniu z nowotworami skóry.</w:t>
      </w:r>
    </w:p>
    <w:p>
      <w:pPr>
        <w:pStyle w:val="Heading4"/>
        <w:rPr/>
      </w:pPr>
      <w:r>
        <w:rPr/>
        <w:t>1.1.3.1 Melanocytic nevi</w:t>
      </w:r>
      <w:sdt>
        <w:sdtPr>
          <w:citation/>
        </w:sdtPr>
        <w:sdtContent>
          <w:r>
            <w:rPr/>
            <w:fldChar w:fldCharType="begin"/>
          </w:r>
          <w:r>
            <w:rPr/>
            <w:instrText xml:space="preserve"> CITATION Car16 \l 1045 </w:instrText>
          </w:r>
          <w:r>
            <w:rPr/>
            <w:fldChar w:fldCharType="separate"/>
          </w:r>
          <w:r>
            <w:rPr/>
            <w:t xml:space="preserve"> [10]</w:t>
          </w:r>
          <w:r>
            <w:rPr/>
            <w:fldChar w:fldCharType="end"/>
          </w:r>
        </w:sdtContent>
      </w:sdt>
      <w:r>
        <w:rPr/>
        <w:t xml:space="preserve"> (znamiona melanocytarne)</w:t>
      </w:r>
    </w:p>
    <w:p>
      <w:pPr>
        <w:pStyle w:val="Normal"/>
        <w:ind w:firstLine="708"/>
        <w:rPr/>
      </w:pPr>
      <w:r>
        <w:rPr/>
        <w:t>Są łagodnymi zmianami wynikającymi z miejscowego nagromadzenia melanocytów, potocznie określanymi jako „pieprzyki”.</w:t>
      </w:r>
    </w:p>
    <w:p>
      <w:pPr>
        <w:pStyle w:val="Normal"/>
        <w:ind w:firstLine="708"/>
        <w:rPr/>
      </w:pPr>
      <w:r>
        <w:rPr/>
        <w:br/>
        <w:t>Z punktu widzenia diagnostyki klinicznej oraz dermoskopowej zmiany te mogą stanowić istotne wyzwanie interpretacyjne, ponieważ ich obraz bywa zbliżony do wczesnych postaci czerniaka. W konsekwencji najczęściej obserwowanym błędem klasyfikacyjnym w analizowanych modelach jest mylenie zmian z grupy melanoma oraz nevi, co wskazuje na szczególnie wysoką trudność rozróżnienia tych dwóch klas.</w:t>
      </w:r>
    </w:p>
    <w:p>
      <w:pPr>
        <w:pStyle w:val="Normal"/>
        <w:keepNext w:val="true"/>
        <w:jc w:val="center"/>
        <w:rPr/>
      </w:pPr>
      <w:r>
        <w:rPr/>
        <w:drawing>
          <wp:inline distT="0" distB="0" distL="0" distR="0">
            <wp:extent cx="3764280" cy="2499360"/>
            <wp:effectExtent l="0" t="0" r="0" b="0"/>
            <wp:docPr id="10"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2"/>
                    <pic:cNvPicPr>
                      <a:picLocks noChangeAspect="1" noChangeArrowheads="1"/>
                    </pic:cNvPicPr>
                  </pic:nvPicPr>
                  <pic:blipFill>
                    <a:blip r:embed="rId11"/>
                    <a:stretch>
                      <a:fillRect/>
                    </a:stretch>
                  </pic:blipFill>
                  <pic:spPr bwMode="auto">
                    <a:xfrm>
                      <a:off x="0" y="0"/>
                      <a:ext cx="3764280" cy="2499360"/>
                    </a:xfrm>
                    <a:prstGeom prst="rect">
                      <a:avLst/>
                    </a:prstGeom>
                    <a:noFill/>
                  </pic:spPr>
                </pic:pic>
              </a:graphicData>
            </a:graphic>
          </wp:inline>
        </w:drawing>
      </w:r>
    </w:p>
    <w:p>
      <w:pPr>
        <w:pStyle w:val="Caption"/>
        <w:rPr/>
      </w:pPr>
      <w:bookmarkStart w:id="20" w:name="_Toc228645503"/>
      <w:r>
        <w:rPr/>
        <w:t xml:space="preserve">Rysunek </w:t>
      </w:r>
      <w:r>
        <w:rPr/>
        <w:fldChar w:fldCharType="begin"/>
      </w:r>
      <w:r>
        <w:rPr/>
        <w:instrText xml:space="preserve"> SEQ Rysunek \* ARABIC </w:instrText>
      </w:r>
      <w:r>
        <w:rPr/>
        <w:fldChar w:fldCharType="separate"/>
      </w:r>
      <w:r>
        <w:rPr/>
        <w:t>9</w:t>
      </w:r>
      <w:r>
        <w:rPr/>
        <w:fldChar w:fldCharType="end"/>
      </w:r>
      <w:r>
        <w:rPr/>
        <w:t xml:space="preserve"> Znamiona melanocytarne</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20"/>
        </w:sdtContent>
      </w:sdt>
    </w:p>
    <w:p>
      <w:pPr>
        <w:pStyle w:val="Heading4"/>
        <w:rPr/>
      </w:pPr>
      <w:r>
        <w:rPr/>
        <w:t>1.1.3.2 Benign keratosis-like lesions</w:t>
      </w:r>
      <w:sdt>
        <w:sdtPr>
          <w:citation/>
        </w:sdtPr>
        <w:sdtContent>
          <w:r>
            <w:rPr/>
            <w:fldChar w:fldCharType="begin"/>
          </w:r>
          <w:r>
            <w:rPr/>
            <w:instrText xml:space="preserve"> CITATION Sco23 \l 1045 </w:instrText>
          </w:r>
          <w:r>
            <w:rPr/>
            <w:fldChar w:fldCharType="separate"/>
          </w:r>
          <w:r>
            <w:rPr/>
            <w:t xml:space="preserve"> [11]</w:t>
          </w:r>
          <w:r>
            <w:rPr/>
            <w:fldChar w:fldCharType="end"/>
          </w:r>
        </w:sdtContent>
      </w:sdt>
      <w:r>
        <w:rPr/>
        <w:t xml:space="preserve"> (łagodne zmiany keratozopodobne)</w:t>
      </w:r>
    </w:p>
    <w:p>
      <w:pPr>
        <w:pStyle w:val="Normal"/>
        <w:rPr/>
      </w:pPr>
      <w:r>
        <w:rPr/>
        <w:t xml:space="preserve">To heterogenna kategoria obejmująca zmiany z proliferacją keratynocytów o łagodnym charakterze. </w:t>
      </w:r>
    </w:p>
    <w:p>
      <w:pPr>
        <w:pStyle w:val="Normal"/>
        <w:ind w:hanging="0"/>
        <w:rPr/>
      </w:pPr>
      <w:r>
        <w:rPr/>
      </w:r>
    </w:p>
    <w:p>
      <w:pPr>
        <w:pStyle w:val="Normal"/>
        <w:ind w:hanging="0"/>
        <w:jc w:val="center"/>
        <w:rPr/>
      </w:pPr>
      <w:r>
        <w:rPr/>
        <w:drawing>
          <wp:inline distT="0" distB="0" distL="0" distR="0">
            <wp:extent cx="4320540" cy="2204085"/>
            <wp:effectExtent l="0" t="0" r="0" b="0"/>
            <wp:docPr id="1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2"/>
                    <pic:cNvPicPr>
                      <a:picLocks noChangeAspect="1" noChangeArrowheads="1"/>
                    </pic:cNvPicPr>
                  </pic:nvPicPr>
                  <pic:blipFill>
                    <a:blip r:embed="rId12"/>
                    <a:stretch>
                      <a:fillRect/>
                    </a:stretch>
                  </pic:blipFill>
                  <pic:spPr bwMode="auto">
                    <a:xfrm>
                      <a:off x="0" y="0"/>
                      <a:ext cx="4320540" cy="2204085"/>
                    </a:xfrm>
                    <a:prstGeom prst="rect">
                      <a:avLst/>
                    </a:prstGeom>
                    <a:noFill/>
                  </pic:spPr>
                </pic:pic>
              </a:graphicData>
            </a:graphic>
          </wp:inline>
        </w:drawing>
      </w:r>
    </w:p>
    <w:p>
      <w:pPr>
        <w:pStyle w:val="Normal"/>
        <w:ind w:hanging="0"/>
        <w:jc w:val="center"/>
        <w:rPr/>
      </w:pPr>
      <w:bookmarkStart w:id="21" w:name="_Toc228645504"/>
      <w:r>
        <w:rPr/>
        <w:t xml:space="preserve">Rysunek </w:t>
      </w:r>
      <w:r>
        <w:rPr/>
        <w:fldChar w:fldCharType="begin"/>
      </w:r>
      <w:r>
        <w:rPr/>
        <w:instrText xml:space="preserve"> SEQ Rysunek \* ARABIC </w:instrText>
      </w:r>
      <w:r>
        <w:rPr/>
        <w:fldChar w:fldCharType="separate"/>
      </w:r>
      <w:r>
        <w:rPr/>
        <w:t>10</w:t>
      </w:r>
      <w:r>
        <w:rPr/>
        <w:fldChar w:fldCharType="end"/>
      </w:r>
      <w:r>
        <w:rPr/>
        <w:t xml:space="preserve"> łagodne zmiany keratozopodobne</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21"/>
        </w:sdtContent>
      </w:sdt>
    </w:p>
    <w:p>
      <w:pPr>
        <w:pStyle w:val="Heading4"/>
        <w:rPr/>
      </w:pPr>
      <w:r>
        <w:rPr/>
        <w:t xml:space="preserve">1.1.3.3 Dermatofibroma </w:t>
      </w:r>
      <w:sdt>
        <w:sdtPr>
          <w:citation/>
        </w:sdtPr>
        <w:sdtContent>
          <w:r>
            <w:rPr/>
            <w:fldChar w:fldCharType="begin"/>
          </w:r>
          <w:r>
            <w:rPr/>
            <w:instrText xml:space="preserve"> CITATION Mye24 \l 1045 </w:instrText>
          </w:r>
          <w:r>
            <w:rPr/>
            <w:fldChar w:fldCharType="separate"/>
          </w:r>
          <w:r>
            <w:rPr/>
            <w:t>[12]</w:t>
          </w:r>
          <w:r>
            <w:rPr/>
            <w:fldChar w:fldCharType="end"/>
          </w:r>
        </w:sdtContent>
      </w:sdt>
      <w:r>
        <w:rPr/>
        <w:t xml:space="preserve"> </w:t>
      </w:r>
      <w:r>
        <w:rPr/>
        <w:t>(włókniak skóry)</w:t>
      </w:r>
    </w:p>
    <w:p>
      <w:pPr>
        <w:pStyle w:val="Normal"/>
        <w:keepNext w:val="true"/>
        <w:rPr/>
      </w:pPr>
      <w:r>
        <w:rPr/>
        <w:t>To łagodny guz fibroblastyczny podskórnej tkanki łącznej, charakteryzujący się objawem "dołeczkowania" i specyficzną strukturą w dermoskopii.</w:t>
      </w:r>
    </w:p>
    <w:p>
      <w:pPr>
        <w:pStyle w:val="Normal"/>
        <w:keepNext w:val="true"/>
        <w:jc w:val="start"/>
        <w:rPr/>
      </w:pPr>
      <w:r>
        <w:rPr/>
      </w:r>
    </w:p>
    <w:p>
      <w:pPr>
        <w:pStyle w:val="Normal"/>
        <w:keepNext w:val="true"/>
        <w:jc w:val="center"/>
        <w:rPr/>
      </w:pPr>
      <w:r>
        <w:rPr/>
        <w:drawing>
          <wp:inline distT="0" distB="0" distL="0" distR="0">
            <wp:extent cx="3308985" cy="2639695"/>
            <wp:effectExtent l="0" t="0" r="0" b="0"/>
            <wp:docPr id="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3"/>
                    <pic:cNvPicPr>
                      <a:picLocks noChangeAspect="1" noChangeArrowheads="1"/>
                    </pic:cNvPicPr>
                  </pic:nvPicPr>
                  <pic:blipFill>
                    <a:blip r:embed="rId13"/>
                    <a:stretch>
                      <a:fillRect/>
                    </a:stretch>
                  </pic:blipFill>
                  <pic:spPr bwMode="auto">
                    <a:xfrm>
                      <a:off x="0" y="0"/>
                      <a:ext cx="3308985" cy="2639695"/>
                    </a:xfrm>
                    <a:prstGeom prst="rect">
                      <a:avLst/>
                    </a:prstGeom>
                    <a:noFill/>
                  </pic:spPr>
                </pic:pic>
              </a:graphicData>
            </a:graphic>
          </wp:inline>
        </w:drawing>
      </w:r>
    </w:p>
    <w:p>
      <w:pPr>
        <w:pStyle w:val="Caption"/>
        <w:rPr>
          <w:lang w:val="en-US"/>
        </w:rPr>
      </w:pPr>
      <w:bookmarkStart w:id="22" w:name="_Toc228645505"/>
      <w:r>
        <w:rPr>
          <w:lang w:val="en-US"/>
        </w:rPr>
        <w:t xml:space="preserve">Rysunek </w:t>
      </w:r>
      <w:r>
        <w:rPr>
          <w:lang w:val="en-US"/>
        </w:rPr>
        <w:fldChar w:fldCharType="begin"/>
      </w:r>
      <w:r>
        <w:rPr>
          <w:lang w:val="en-US"/>
        </w:rPr>
        <w:instrText xml:space="preserve"> SEQ Rysunek \* ARABIC </w:instrText>
      </w:r>
      <w:r>
        <w:rPr>
          <w:lang w:val="en-US"/>
        </w:rPr>
        <w:fldChar w:fldCharType="separate"/>
      </w:r>
      <w:r>
        <w:rPr>
          <w:lang w:val="en-US"/>
        </w:rPr>
        <w:t>11</w:t>
      </w:r>
      <w:r>
        <w:rPr>
          <w:lang w:val="en-US"/>
        </w:rPr>
        <w:fldChar w:fldCharType="end"/>
      </w:r>
      <w:r>
        <w:rPr>
          <w:lang w:val="en-US"/>
        </w:rPr>
        <w:t xml:space="preserve"> Włókniak skóry</w:t>
        <w:b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22"/>
        </w:sdtContent>
      </w:sdt>
    </w:p>
    <w:p>
      <w:pPr>
        <w:pStyle w:val="Heading4"/>
        <w:rPr/>
      </w:pPr>
      <w:r>
        <w:rPr/>
        <w:t>1.1.3.4 Vascular lesions (zmiany naczyniowe)</w:t>
      </w:r>
    </w:p>
    <w:p>
      <w:pPr>
        <w:pStyle w:val="Normal"/>
        <w:rPr/>
      </w:pPr>
      <w:r>
        <w:rPr/>
        <w:t>To zróżnicowana grupa zmian o podłożu naczyniowym, w tym naczyniaki i pajączki naczyniowe.</w:t>
      </w:r>
    </w:p>
    <w:p>
      <w:pPr>
        <w:pStyle w:val="Normal"/>
        <w:rPr/>
      </w:pPr>
      <w:r>
        <w:rPr/>
      </w:r>
    </w:p>
    <w:p>
      <w:pPr>
        <w:pStyle w:val="Normal"/>
        <w:ind w:hanging="0"/>
        <w:jc w:val="center"/>
        <w:rPr/>
      </w:pPr>
      <w:r>
        <w:rPr/>
        <w:drawing>
          <wp:inline distT="0" distB="0" distL="0" distR="0">
            <wp:extent cx="3935095" cy="2165985"/>
            <wp:effectExtent l="0" t="0" r="0" b="0"/>
            <wp:docPr id="13"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14"/>
                    <pic:cNvPicPr>
                      <a:picLocks noChangeAspect="1" noChangeArrowheads="1"/>
                    </pic:cNvPicPr>
                  </pic:nvPicPr>
                  <pic:blipFill>
                    <a:blip r:embed="rId14"/>
                    <a:stretch>
                      <a:fillRect/>
                    </a:stretch>
                  </pic:blipFill>
                  <pic:spPr bwMode="auto">
                    <a:xfrm>
                      <a:off x="0" y="0"/>
                      <a:ext cx="3935095" cy="2165985"/>
                    </a:xfrm>
                    <a:prstGeom prst="rect">
                      <a:avLst/>
                    </a:prstGeom>
                    <a:noFill/>
                  </pic:spPr>
                </pic:pic>
              </a:graphicData>
            </a:graphic>
          </wp:inline>
        </w:drawing>
      </w:r>
    </w:p>
    <w:p>
      <w:pPr>
        <w:pStyle w:val="Normal"/>
        <w:ind w:hanging="0"/>
        <w:jc w:val="center"/>
        <w:rPr/>
      </w:pPr>
      <w:bookmarkStart w:id="23" w:name="_Toc228645506"/>
      <w:r>
        <w:rPr/>
        <w:t xml:space="preserve">Rysunek </w:t>
      </w:r>
      <w:r>
        <w:rPr/>
        <w:fldChar w:fldCharType="begin"/>
      </w:r>
      <w:r>
        <w:rPr/>
        <w:instrText xml:space="preserve"> SEQ Rysunek \* ARABIC </w:instrText>
      </w:r>
      <w:r>
        <w:rPr/>
        <w:fldChar w:fldCharType="separate"/>
      </w:r>
      <w:r>
        <w:rPr/>
        <w:t>12</w:t>
      </w:r>
      <w:r>
        <w:rPr/>
        <w:fldChar w:fldCharType="end"/>
      </w:r>
      <w:r>
        <w:rPr/>
        <w:t xml:space="preserve"> Zmiany naczyniowe</w:t>
        <w:br/>
      </w:r>
      <w:r>
        <w:rPr>
          <w:lang w:val="en-US"/>
        </w:rPr>
        <w:t xml:space="preserve">Źródło: Skin Lesions Classification Dataset </w:t>
      </w:r>
      <w:sdt>
        <w:sdtPr>
          <w:citation/>
        </w:sdtPr>
        <w:sdtContent>
          <w:r>
            <w:rPr>
              <w:lang w:val="en-US"/>
            </w:rPr>
            <w:fldChar w:fldCharType="begin"/>
          </w:r>
          <w:r>
            <w:rPr>
              <w:lang w:val="en-US"/>
            </w:rPr>
            <w:instrText xml:space="preserve"> CITATION ahm23 \l 1045 </w:instrText>
          </w:r>
          <w:r>
            <w:rPr>
              <w:lang w:val="en-US"/>
            </w:rPr>
            <w:fldChar w:fldCharType="separate"/>
          </w:r>
          <w:r>
            <w:rPr>
              <w:lang w:val="en-US"/>
            </w:rPr>
            <w:t>[3]</w:t>
          </w:r>
          <w:r>
            <w:rPr>
              <w:lang w:val="en-US"/>
            </w:rPr>
            <w:fldChar w:fldCharType="end"/>
          </w:r>
          <w:bookmarkEnd w:id="23"/>
        </w:sdtContent>
      </w:sdt>
    </w:p>
    <w:p>
      <w:pPr>
        <w:pStyle w:val="Heading2"/>
        <w:numPr>
          <w:ilvl w:val="1"/>
          <w:numId w:val="10"/>
        </w:numPr>
        <w:rPr/>
      </w:pPr>
      <w:bookmarkStart w:id="24" w:name="_Toc228645084"/>
      <w:r>
        <w:rPr>
          <w:bCs/>
        </w:rPr>
        <w:t>Rola sztucznej inteligencji we wspomaganiu diagnostyki dermatologicznej</w:t>
      </w:r>
      <w:bookmarkEnd w:id="24"/>
    </w:p>
    <w:p>
      <w:pPr>
        <w:pStyle w:val="Normal"/>
        <w:rPr/>
      </w:pPr>
      <w:r>
        <w:rPr/>
        <w:t xml:space="preserve">Przed </w:t>
      </w:r>
      <w:bookmarkStart w:id="25" w:name="_Hlk168852068"/>
      <w:r>
        <w:rPr/>
        <w:t>Przełomowa praca Esteva i in. z 2017 roku</w:t>
      </w:r>
      <w:sdt>
        <w:sdtPr>
          <w:citation/>
        </w:sdtPr>
        <w:sdtContent>
          <w:r>
            <w:rPr/>
            <w:fldChar w:fldCharType="begin"/>
          </w:r>
          <w:r>
            <w:rPr/>
            <w:instrText xml:space="preserve"> CITATION Est17 \l 1045 </w:instrText>
          </w:r>
          <w:r>
            <w:rPr/>
            <w:fldChar w:fldCharType="separate"/>
          </w:r>
          <w:r>
            <w:rPr/>
            <w:t xml:space="preserve"> [1]</w:t>
          </w:r>
          <w:r>
            <w:rPr/>
            <w:fldChar w:fldCharType="end"/>
          </w:r>
        </w:sdtContent>
      </w:sdt>
      <w:r>
        <w:rPr/>
        <w:t xml:space="preserve"> wykazała, że sieć InceptionV3 wytrenowana na 129 450 zdjęciach zmian skórnych w 2032 klasach diagnostycznych osiąga czułość i swoistość na poziomie dermatologów-specjalistów w rozróżnianiu czerniaka od znamion melanocytarnych. </w:t>
      </w:r>
      <w:r>
        <w:rPr/>
        <w:t>Wyniki te zapoczątkowały intensywny rozwój badań nad zastosowaniem sztucznej inteligencji w dermatologii, co znalazło odzwierciedlenie w dynamicznym wzroście liczby publikacji naukowych oraz konkursów klasyfikacyjnych, takich jak coroczny challenge organizowany przez International Skin Imaging Collaboration (ISIC).</w:t>
      </w:r>
    </w:p>
    <w:p>
      <w:pPr>
        <w:pStyle w:val="Normal"/>
        <w:rPr/>
      </w:pPr>
      <w:r>
        <w:rPr/>
      </w:r>
    </w:p>
    <w:p>
      <w:pPr>
        <w:pStyle w:val="Normal"/>
        <w:ind w:hanging="0"/>
        <w:rPr/>
      </w:pPr>
      <w:r>
        <w:rPr/>
        <w:t xml:space="preserve">Kluczowymi wyzwaniami w tym obszarze pozostają: </w:t>
      </w:r>
    </w:p>
    <w:p>
      <w:pPr>
        <w:pStyle w:val="ListParagraph"/>
        <w:numPr>
          <w:ilvl w:val="0"/>
          <w:numId w:val="27"/>
        </w:numPr>
        <w:rPr/>
      </w:pPr>
      <w:r>
        <w:rPr/>
        <w:t>interpretowalnność decyzji modelu – w kontekście medycznym niezbędne jest uzasadnienie predykcji, co adresują metody XAI takie jak Grad-CAM,</w:t>
      </w:r>
    </w:p>
    <w:p>
      <w:pPr>
        <w:pStyle w:val="ListParagraph"/>
        <w:numPr>
          <w:ilvl w:val="0"/>
          <w:numId w:val="26"/>
        </w:numPr>
        <w:rPr/>
      </w:pPr>
      <w:r>
        <w:rPr/>
        <w:t xml:space="preserve">nierównowaga klas – w zbiorach dermatologicznych klasy złośliwe są z reguły mniej liczne niż łagodne, co wymaga specjalnych technik próbkowania i warunków oceny, </w:t>
      </w:r>
    </w:p>
    <w:p>
      <w:pPr>
        <w:pStyle w:val="ListParagraph"/>
        <w:numPr>
          <w:ilvl w:val="0"/>
          <w:numId w:val="25"/>
        </w:numPr>
        <w:rPr/>
      </w:pPr>
      <w:r>
        <w:rPr/>
        <w:t>różnorodność aparatury – jakość zdjęć dermoskopowych zależy od sprzętu i warunków wykonania, co obniża generalizację modeli.</w:t>
      </w:r>
    </w:p>
    <w:p>
      <w:pPr>
        <w:pStyle w:val="Normal"/>
        <w:rPr/>
      </w:pPr>
      <w:r>
        <w:rPr/>
      </w:r>
    </w:p>
    <w:p>
      <w:pPr>
        <w:pStyle w:val="Normal"/>
        <w:rPr/>
      </w:pPr>
      <w:r>
        <w:rPr/>
        <w:t>Dostępność wielomodalnych zbiorów danych, takich jak ISIC 2020 Challenge Dataset (33 000 zdjęć) czy HAM10000</w:t>
      </w:r>
      <w:sdt>
        <w:sdtPr>
          <w:citation/>
        </w:sdtPr>
        <w:sdtContent>
          <w:r>
            <w:rPr/>
            <w:fldChar w:fldCharType="begin"/>
          </w:r>
          <w:r>
            <w:rPr/>
            <w:instrText xml:space="preserve"> CITATION Tsc18 \l 1045 </w:instrText>
          </w:r>
          <w:r>
            <w:rPr/>
            <w:fldChar w:fldCharType="separate"/>
          </w:r>
          <w:r>
            <w:rPr/>
            <w:t xml:space="preserve"> [13]</w:t>
          </w:r>
          <w:r>
            <w:rPr/>
            <w:fldChar w:fldCharType="end"/>
          </w:r>
        </w:sdtContent>
      </w:sdt>
      <w:r>
        <w:rPr/>
        <w:t>, umożliwiła trening modeli na skalę wcześniej nieosiągalną. Równoległy rozwój architektur sieci neuronowych, od AlexNet przez VGG, ResNet, EfficientNet po Vision Transformer, systematycznie podnosiło poprzeczkę klasyfikacyjną w obrazowaniu medycznym.</w:t>
      </w:r>
      <w:bookmarkEnd w:id="1"/>
    </w:p>
    <w:p>
      <w:pPr>
        <w:pStyle w:val="Heading3"/>
        <w:numPr>
          <w:ilvl w:val="2"/>
          <w:numId w:val="11"/>
        </w:numPr>
        <w:rPr/>
      </w:pPr>
      <w:bookmarkStart w:id="26" w:name="_Toc228645085"/>
      <w:r>
        <w:rPr/>
        <w:t>Konwolucyjne sieci neuronowe - podstawy teoretyczne</w:t>
      </w:r>
      <w:bookmarkEnd w:id="26"/>
    </w:p>
    <w:p>
      <w:pPr>
        <w:pStyle w:val="Normal"/>
        <w:ind w:firstLine="708"/>
        <w:rPr/>
      </w:pPr>
      <w:r>
        <w:rPr/>
        <w:t xml:space="preserve">Konwolucyjna sieć neuronowa (CNN) jest klasą modeli głębokiego uczenia inspirowanych strukturą kory wzrokowej ssaków. Została zaproponowana przez LeCuna i współautorów w 1989 roku </w:t>
      </w:r>
      <w:sdt>
        <w:sdtPr>
          <w:citation/>
        </w:sdtPr>
        <w:sdtContent>
          <w:r>
            <w:rPr/>
            <w:fldChar w:fldCharType="begin"/>
          </w:r>
          <w:r>
            <w:rPr/>
            <w:instrText xml:space="preserve"> CITATION LeC15 \l 1045 </w:instrText>
          </w:r>
          <w:r>
            <w:rPr/>
            <w:fldChar w:fldCharType="separate"/>
          </w:r>
          <w:r>
            <w:rPr/>
            <w:t>[14]</w:t>
          </w:r>
          <w:r>
            <w:rPr/>
            <w:fldChar w:fldCharType="end"/>
          </w:r>
        </w:sdtContent>
      </w:sdt>
      <w:r>
        <w:rPr/>
        <w:t>, zyskała powszechne uznanie po sukcesie AlexNet w konkursie ImageNet Large Scale Visual Recognition Challenge (ILSVRC) w 2012 roku, gdzie obniżyła wskaźnik błędu top-5 z 26% do 15%.</w:t>
      </w:r>
    </w:p>
    <w:p>
      <w:pPr>
        <w:pStyle w:val="Normal"/>
        <w:ind w:hanging="0"/>
        <w:jc w:val="start"/>
        <w:rPr/>
      </w:pPr>
      <w:r>
        <w:rPr/>
      </w:r>
    </w:p>
    <w:p>
      <w:pPr>
        <w:pStyle w:val="Normal"/>
        <w:ind w:firstLine="708"/>
        <w:rPr/>
      </w:pPr>
      <w:r>
        <w:rPr/>
        <w:t>Podstawowym budulcem CNN jest warstwa konwolucyjna. Składa się ona z zestawu konfigurowalnych filtrów (jąder konwolucji), które przesuwa się po wejściowej mapie cech, obliczając lokalne iloczyny skalarne. Każdy filtr uczy się wykrywać określony wzorzec dla niskich warstwa są to proste cechy (krawędzie, naroża, barwy), na wyższych struktury złożone (tekstury, wzorce, obiekty). Kluczową właściwością CNN jest dzielenie wag identyczny filtr stosowany jest w każdej pozycji obrazu, co drastycznie redukuje liczbę parametrów w stosunku do w pełni połączonej sieci.</w:t>
      </w:r>
    </w:p>
    <w:p>
      <w:pPr>
        <w:pStyle w:val="Normal"/>
        <w:ind w:hanging="0"/>
        <w:jc w:val="start"/>
        <w:rPr/>
      </w:pPr>
      <w:r>
        <w:rPr/>
      </w:r>
    </w:p>
    <w:p>
      <w:pPr>
        <w:pStyle w:val="Normal"/>
        <w:ind w:firstLine="708"/>
        <w:rPr/>
      </w:pPr>
      <w:r>
        <w:rPr/>
        <w:t>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co redukuje liczbę parametrów i zmniejsza ryzyko przeuczenia. Normalizacja wsadowa (Batch Normalization)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pPr>
        <w:pStyle w:val="Normal"/>
        <w:keepNext w:val="true"/>
        <w:ind w:hanging="0"/>
        <w:jc w:val="center"/>
        <w:rPr/>
      </w:pPr>
      <w:r>
        <w:rPr/>
        <w:drawing>
          <wp:inline distT="0" distB="0" distL="0" distR="0">
            <wp:extent cx="3811270" cy="1480820"/>
            <wp:effectExtent l="0" t="0" r="0" b="0"/>
            <wp:docPr id="1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26"/>
                    <pic:cNvPicPr>
                      <a:picLocks noChangeAspect="1" noChangeArrowheads="1"/>
                    </pic:cNvPicPr>
                  </pic:nvPicPr>
                  <pic:blipFill>
                    <a:blip r:embed="rId15"/>
                    <a:stretch>
                      <a:fillRect/>
                    </a:stretch>
                  </pic:blipFill>
                  <pic:spPr bwMode="auto">
                    <a:xfrm>
                      <a:off x="0" y="0"/>
                      <a:ext cx="3811270" cy="1480820"/>
                    </a:xfrm>
                    <a:prstGeom prst="rect">
                      <a:avLst/>
                    </a:prstGeom>
                    <a:noFill/>
                  </pic:spPr>
                </pic:pic>
              </a:graphicData>
            </a:graphic>
          </wp:inline>
        </w:drawing>
      </w:r>
    </w:p>
    <w:p>
      <w:pPr>
        <w:pStyle w:val="Caption"/>
        <w:rPr/>
      </w:pPr>
      <w:bookmarkStart w:id="27" w:name="_Toc228645507"/>
      <w:r>
        <w:rPr/>
        <w:t xml:space="preserve">Rysunek </w:t>
      </w:r>
      <w:r>
        <w:rPr/>
        <w:fldChar w:fldCharType="begin"/>
      </w:r>
      <w:r>
        <w:rPr/>
        <w:instrText xml:space="preserve"> SEQ Rysunek \* ARABIC </w:instrText>
      </w:r>
      <w:r>
        <w:rPr/>
        <w:fldChar w:fldCharType="separate"/>
      </w:r>
      <w:r>
        <w:rPr/>
        <w:t>13</w:t>
      </w:r>
      <w:r>
        <w:rPr/>
        <w:fldChar w:fldCharType="end"/>
      </w:r>
      <w:r>
        <w:rPr/>
        <w:t xml:space="preserve"> CNN jak działa? </w:t>
        <w:br/>
        <w:t>Źródło: http://python.plainenglish.io/decoding-cnns-a-beginners-guide-to-convolutional-neural-networks-and-their-applications-1a8806cbf536</w:t>
      </w:r>
      <w:bookmarkEnd w:id="27"/>
    </w:p>
    <w:p>
      <w:pPr>
        <w:pStyle w:val="Heading3"/>
        <w:numPr>
          <w:ilvl w:val="2"/>
          <w:numId w:val="11"/>
        </w:numPr>
        <w:rPr/>
      </w:pPr>
      <w:bookmarkStart w:id="28" w:name="_Toc228645086"/>
      <w:r>
        <w:rPr/>
        <w:t>ResNet-50 i połączenia rezydualne</w:t>
      </w:r>
      <w:bookmarkEnd w:id="28"/>
    </w:p>
    <w:p>
      <w:pPr>
        <w:pStyle w:val="Normal"/>
        <w:ind w:hanging="0"/>
        <w:rPr/>
      </w:pPr>
      <w:r>
        <w:rPr/>
        <w:t xml:space="preserve">Model ResNet (Residual Network), zaproponowany przez He i in. w 2016 roku </w:t>
      </w:r>
      <w:sdt>
        <w:sdtPr>
          <w:citation/>
        </w:sdtPr>
        <w:sdtContent>
          <w:r>
            <w:rPr/>
            <w:fldChar w:fldCharType="begin"/>
          </w:r>
          <w:r>
            <w:rPr/>
            <w:instrText xml:space="preserve"> CITATION HeK16 \l 1045 </w:instrText>
          </w:r>
          <w:r>
            <w:rPr/>
            <w:fldChar w:fldCharType="separate"/>
          </w:r>
          <w:r>
            <w:rPr/>
            <w:t>[15]</w:t>
          </w:r>
          <w:r>
            <w:rPr/>
            <w:fldChar w:fldCharType="end"/>
          </w:r>
        </w:sdtContent>
      </w:sdt>
      <w:r>
        <w:rPr/>
        <w:t>, rozwiązuje fundamentalny problem zanikającego gradientu w bardzo głębokich sieciach neuronowych poprzez wprowadzenie tzw. połączeń rezydualnych.</w:t>
      </w:r>
      <w:r>
        <w:rPr/>
        <w:t xml:space="preserve"> Zamiast uczyć się bezpośredniego </w:t>
      </w:r>
    </w:p>
    <w:p>
      <w:pPr>
        <w:pStyle w:val="Normal"/>
        <w:ind w:hanging="0"/>
        <w:rPr/>
      </w:pPr>
      <w:r>
        <w:rPr/>
        <w:t>odwzorowania H(x), blok rezydualny uczy się residuum F(x) = H(x) − x, co sprawia, że propagacja gradientu odbywa się bezpośrednio przez połączenie skrótowe:</w:t>
      </w:r>
    </w:p>
    <w:p>
      <w:pPr>
        <w:pStyle w:val="Normal"/>
        <w:rPr/>
      </w:pPr>
      <w:r>
        <w:rPr/>
      </w:r>
    </w:p>
    <w:p>
      <w:pPr>
        <w:pStyle w:val="Normal"/>
        <w:jc w:val="center"/>
        <w:rPr>
          <w:rFonts w:eastAsia="游明朝" w:eastAsiaTheme="minorEastAsia"/>
        </w:rPr>
      </w:pPr>
      <w:r>
        <w:rPr/>
      </w:r>
      <m:oMathPara xmlns:m="http://schemas.openxmlformats.org/officeDocument/2006/math">
        <m:oMathParaPr>
          <m:jc m:val="center"/>
        </m:oMathParaPr>
        <m:oMath>
          <m:f>
            <m:num>
              <m:r>
                <m:t xml:space="preserve">∂</m:t>
              </m:r>
              <m:r>
                <m:t xml:space="preserve">L</m:t>
              </m:r>
            </m:num>
            <m:den>
              <m:r>
                <m:t xml:space="preserve">∂</m:t>
              </m:r>
              <m:r>
                <m:t xml:space="preserve">x</m:t>
              </m:r>
            </m:den>
          </m:f>
          <m:r>
            <m:rPr>
              <m:lit/>
              <m:nor/>
            </m:rPr>
            <m:t xml:space="preserve">=</m:t>
          </m:r>
          <m:f>
            <m:num>
              <m:r>
                <m:t xml:space="preserve">∂</m:t>
              </m:r>
              <m:r>
                <m:t xml:space="preserve">L</m:t>
              </m:r>
            </m:num>
            <m:den>
              <m:r>
                <m:t xml:space="preserve">∂</m:t>
              </m:r>
              <m:r>
                <m:t xml:space="preserve">H</m:t>
              </m:r>
              <m:d>
                <m:dPr>
                  <m:begChr m:val="("/>
                  <m:endChr m:val=")"/>
                </m:dPr>
                <m:e>
                  <m:r>
                    <m:t xml:space="preserve">1</m:t>
                  </m:r>
                  <m:r>
                    <m:rPr>
                      <m:lit/>
                      <m:nor/>
                    </m:rPr>
                    <m:t xml:space="preserve">+</m:t>
                  </m:r>
                  <m:f>
                    <m:num>
                      <m:r>
                        <m:t xml:space="preserve">∂</m:t>
                      </m:r>
                      <m:r>
                        <m:t xml:space="preserve">F</m:t>
                      </m:r>
                    </m:num>
                    <m:den>
                      <m:r>
                        <m:t xml:space="preserve">∂</m:t>
                      </m:r>
                      <m:r>
                        <m:t xml:space="preserve">x</m:t>
                      </m:r>
                    </m:den>
                  </m:f>
                </m:e>
              </m:d>
            </m:den>
          </m:f>
        </m:oMath>
      </m:oMathPara>
    </w:p>
    <w:p>
      <w:pPr>
        <w:pStyle w:val="Normal"/>
        <w:ind w:firstLine="708"/>
        <w:rPr/>
      </w:pPr>
      <w:r>
        <w:rPr/>
        <w:t xml:space="preserve">Architektura składa się z czterech głównych grup bloków konwolucyjnych, nazywanych etapami. Każdy blok zawiera po trzy bloki typu </w:t>
      </w:r>
      <w:r>
        <w:rPr>
          <w:i/>
          <w:iCs/>
        </w:rPr>
        <w:t>bottleneck</w:t>
      </w:r>
      <w:r>
        <w:rPr/>
        <w:t xml:space="preserve">. Blok </w:t>
      </w:r>
      <w:r>
        <w:rPr>
          <w:i/>
          <w:iCs/>
        </w:rPr>
        <w:t>bottleneck</w:t>
      </w:r>
      <w:r>
        <w:rPr/>
        <w:t xml:space="preserve">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Normal"/>
        <w:ind w:firstLine="708"/>
        <w:rPr/>
      </w:pPr>
      <w:r>
        <w:rPr/>
      </w:r>
    </w:p>
    <w:p>
      <w:pPr>
        <w:pStyle w:val="Normal"/>
        <w:rPr/>
      </w:pPr>
      <w:r>
        <w:rPr/>
        <w:t>Cały model ResNet-50 liczy około 25,6 miliona parametrów. W badaniach niniejszej pracy wykorzystano wersję wstępnie wytrenowaną na zbiorze ImageNet, który zawiera ponad 1,28 miliona obrazów należących do 1000 klas.</w:t>
      </w:r>
    </w:p>
    <w:p>
      <w:pPr>
        <w:pStyle w:val="Normal"/>
        <w:keepNext w:val="true"/>
        <w:rPr/>
      </w:pPr>
      <w:r>
        <w:rPr/>
        <w:drawing>
          <wp:inline distT="0" distB="0" distL="0" distR="0">
            <wp:extent cx="5320030" cy="1631315"/>
            <wp:effectExtent l="0" t="0" r="0" b="0"/>
            <wp:docPr id="15"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5"/>
                    <pic:cNvPicPr>
                      <a:picLocks noChangeAspect="1" noChangeArrowheads="1"/>
                    </pic:cNvPicPr>
                  </pic:nvPicPr>
                  <pic:blipFill>
                    <a:blip r:embed="rId16"/>
                    <a:stretch>
                      <a:fillRect/>
                    </a:stretch>
                  </pic:blipFill>
                  <pic:spPr bwMode="auto">
                    <a:xfrm>
                      <a:off x="0" y="0"/>
                      <a:ext cx="5320030" cy="1631315"/>
                    </a:xfrm>
                    <a:prstGeom prst="rect">
                      <a:avLst/>
                    </a:prstGeom>
                    <a:noFill/>
                  </pic:spPr>
                </pic:pic>
              </a:graphicData>
            </a:graphic>
          </wp:inline>
        </w:drawing>
      </w:r>
    </w:p>
    <w:p>
      <w:pPr>
        <w:pStyle w:val="Caption"/>
        <w:rPr/>
      </w:pPr>
      <w:bookmarkStart w:id="29" w:name="_Toc228645508"/>
      <w:r>
        <w:rPr/>
        <w:t xml:space="preserve">Rysunek </w:t>
      </w:r>
      <w:r>
        <w:rPr/>
        <w:fldChar w:fldCharType="begin"/>
      </w:r>
      <w:r>
        <w:rPr/>
        <w:instrText xml:space="preserve"> SEQ Rysunek \* ARABIC </w:instrText>
      </w:r>
      <w:r>
        <w:rPr/>
        <w:fldChar w:fldCharType="separate"/>
      </w:r>
      <w:r>
        <w:rPr/>
        <w:t>14</w:t>
      </w:r>
      <w:r>
        <w:rPr/>
        <w:fldChar w:fldCharType="end"/>
      </w:r>
      <w:r>
        <w:rPr/>
        <w:t xml:space="preserve"> ResNet50 </w:t>
        <w:br/>
        <w:t>Źródło: https://blog.devgenius.io/resnet50-6b42934db431</w:t>
      </w:r>
      <w:bookmarkEnd w:id="29"/>
    </w:p>
    <w:p>
      <w:pPr>
        <w:pStyle w:val="Heading3"/>
        <w:numPr>
          <w:ilvl w:val="2"/>
          <w:numId w:val="11"/>
        </w:numPr>
        <w:rPr/>
      </w:pPr>
      <w:bookmarkStart w:id="30" w:name="_Toc228645087"/>
      <w:r>
        <w:rPr/>
        <w:t>MobileNetV3 – architektura mobilna</w:t>
      </w:r>
      <w:bookmarkEnd w:id="30"/>
    </w:p>
    <w:p>
      <w:pPr>
        <w:pStyle w:val="Normal"/>
        <w:rPr>
          <w:rFonts w:eastAsia="Calibri" w:cs="Arial"/>
        </w:rPr>
      </w:pPr>
      <w:r>
        <w:rPr>
          <w:rFonts w:eastAsia="Calibri" w:cs="Arial"/>
        </w:rPr>
        <w:t xml:space="preserve">MobileNetV3, zaproponowany przez Howarda i współpracowników w 2019 roku </w:t>
      </w:r>
      <w:sdt>
        <w:sdtPr>
          <w:citation/>
        </w:sdtPr>
        <w:sdtContent>
          <w:r>
            <w:rPr>
              <w:rFonts w:eastAsia="Calibri" w:cs="Arial"/>
            </w:rPr>
            <w:fldChar w:fldCharType="begin"/>
          </w:r>
          <w:r>
            <w:rPr>
              <w:rFonts w:eastAsia="Calibri" w:cs="Arial"/>
            </w:rPr>
            <w:instrText xml:space="preserve"> CITATION How19 \l 1045 </w:instrText>
          </w:r>
          <w:r>
            <w:rPr>
              <w:rFonts w:eastAsia="Calibri" w:cs="Arial"/>
            </w:rPr>
            <w:fldChar w:fldCharType="separate"/>
          </w:r>
          <w:r>
            <w:rPr>
              <w:rFonts w:eastAsia="Calibri" w:cs="Arial"/>
            </w:rPr>
            <w:t>[16]</w:t>
          </w:r>
          <w:r>
            <w:rPr>
              <w:rFonts w:eastAsia="Calibri" w:cs="Arial"/>
            </w:rPr>
            <w:fldChar w:fldCharType="end"/>
          </w:r>
        </w:sdtContent>
      </w:sdt>
      <w:r>
        <w:rPr>
          <w:rFonts w:eastAsia="Calibri" w:cs="Arial"/>
        </w:rPr>
        <w:t>,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pPr>
        <w:pStyle w:val="Normal"/>
        <w:rPr>
          <w:rFonts w:eastAsia="Calibri" w:cs="Arial"/>
        </w:rPr>
      </w:pPr>
      <w:r>
        <w:rPr>
          <w:rFonts w:eastAsia="Calibri" w:cs="Arial"/>
        </w:rPr>
      </w:r>
    </w:p>
    <w:p>
      <w:pPr>
        <w:pStyle w:val="Normal"/>
        <w:rPr>
          <w:rFonts w:eastAsia="Calibri" w:cs="Arial"/>
        </w:rPr>
      </w:pPr>
      <w:r>
        <w:rPr>
          <w:rFonts w:eastAsia="Calibri" w:cs="Arial"/>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model uczy się automatycznie ważenia poszczególnych kanałów mapy cech. Warto również zwrócić uwagę na aktywację h-swish, zdefiniowaną jako </w:t>
      </w:r>
      <w:r>
        <w:rPr/>
      </w:r>
      <m:oMath xmlns:m="http://schemas.openxmlformats.org/officeDocument/2006/math">
        <m:f>
          <m:num>
            <m:r>
              <m:t xml:space="preserve">x</m:t>
            </m:r>
            <m:r>
              <m:t xml:space="preserve">⋅</m:t>
            </m:r>
            <m:r>
              <m:t xml:space="preserve">ReLU</m:t>
            </m:r>
            <m:r>
              <m:t xml:space="preserve">6</m:t>
            </m:r>
            <m:d>
              <m:dPr>
                <m:begChr m:val="("/>
                <m:endChr m:val=")"/>
              </m:dPr>
              <m:e>
                <m:r>
                  <m:t xml:space="preserve">x</m:t>
                </m:r>
                <m:r>
                  <m:rPr>
                    <m:lit/>
                    <m:nor/>
                  </m:rPr>
                  <m:t xml:space="preserve">+</m:t>
                </m:r>
                <m:r>
                  <m:t xml:space="preserve">3</m:t>
                </m:r>
              </m:e>
            </m:d>
          </m:num>
          <m:den>
            <m:r>
              <m:t xml:space="preserve">6</m:t>
            </m:r>
          </m:den>
        </m:f>
      </m:oMath>
      <w:r>
        <w:rPr/>
        <w:t>​,</w:t>
      </w:r>
      <w:r>
        <w:rPr>
          <w:rFonts w:eastAsia="Calibri" w:cs="Arial"/>
        </w:rPr>
        <w:t xml:space="preserve"> która jest znacznie tańsza obliczeniowo od oryginalnej funkcji swish, przy jednoczesnym zachowaniu dobrej wydajności.</w:t>
      </w:r>
    </w:p>
    <w:p>
      <w:pPr>
        <w:pStyle w:val="Normal"/>
        <w:rPr>
          <w:rFonts w:eastAsia="Calibri" w:cs="Arial"/>
        </w:rPr>
      </w:pPr>
      <w:r>
        <w:rPr>
          <w:rFonts w:eastAsia="Calibri" w:cs="Arial"/>
        </w:rPr>
      </w:r>
    </w:p>
    <w:p>
      <w:pPr>
        <w:pStyle w:val="Normal"/>
        <w:rPr>
          <w:rFonts w:eastAsia="Calibri" w:cs="Arial"/>
        </w:rPr>
      </w:pPr>
      <w:r>
        <w:rPr>
          <w:rFonts w:eastAsia="Calibri" w:cs="Arial"/>
        </w:rPr>
        <w:t>Wersja Large modelu MobileNetV3 zawiera około 5,4 miliona parametrów. W niniejszej pracy wykorzystano wariant wstępnie wytrenowany na zbiorze ImageNet, dostępny domyślnie w bibliotece PyTorch.</w:t>
      </w:r>
    </w:p>
    <w:p>
      <w:pPr>
        <w:pStyle w:val="Normal"/>
        <w:ind w:hanging="0"/>
        <w:rPr>
          <w:rFonts w:eastAsia="Calibri" w:cs="Arial"/>
        </w:rPr>
      </w:pPr>
      <w:r>
        <w:rPr>
          <w:rFonts w:eastAsia="Calibri" w:cs="Arial"/>
        </w:rPr>
      </w:r>
    </w:p>
    <w:p>
      <w:pPr>
        <w:pStyle w:val="Normal"/>
        <w:keepNext w:val="true"/>
        <w:jc w:val="center"/>
        <w:rPr/>
      </w:pPr>
      <w:r>
        <w:rPr/>
        <w:drawing>
          <wp:inline distT="0" distB="0" distL="0" distR="0">
            <wp:extent cx="4939030" cy="2050415"/>
            <wp:effectExtent l="0" t="0" r="0" b="0"/>
            <wp:docPr id="16"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4"/>
                    <pic:cNvPicPr>
                      <a:picLocks noChangeAspect="1" noChangeArrowheads="1"/>
                    </pic:cNvPicPr>
                  </pic:nvPicPr>
                  <pic:blipFill>
                    <a:blip r:embed="rId17"/>
                    <a:stretch>
                      <a:fillRect/>
                    </a:stretch>
                  </pic:blipFill>
                  <pic:spPr bwMode="auto">
                    <a:xfrm>
                      <a:off x="0" y="0"/>
                      <a:ext cx="4939030" cy="2050415"/>
                    </a:xfrm>
                    <a:prstGeom prst="rect">
                      <a:avLst/>
                    </a:prstGeom>
                    <a:noFill/>
                  </pic:spPr>
                </pic:pic>
              </a:graphicData>
            </a:graphic>
          </wp:inline>
        </w:drawing>
      </w:r>
    </w:p>
    <w:p>
      <w:pPr>
        <w:pStyle w:val="Caption"/>
        <w:rPr>
          <w:rFonts w:cs="Arial"/>
        </w:rPr>
      </w:pPr>
      <w:bookmarkStart w:id="31" w:name="_Toc228645509"/>
      <w:r>
        <w:rPr/>
        <w:t xml:space="preserve">Rysunek </w:t>
      </w:r>
      <w:r>
        <w:rPr/>
        <w:fldChar w:fldCharType="begin"/>
      </w:r>
      <w:r>
        <w:rPr/>
        <w:instrText xml:space="preserve"> SEQ Rysunek \* ARABIC </w:instrText>
      </w:r>
      <w:r>
        <w:rPr/>
        <w:fldChar w:fldCharType="separate"/>
      </w:r>
      <w:r>
        <w:rPr/>
        <w:t>15</w:t>
      </w:r>
      <w:r>
        <w:rPr/>
        <w:fldChar w:fldCharType="end"/>
      </w:r>
      <w:r>
        <w:rPr/>
        <w:t xml:space="preserve"> MobileNetV3 </w:t>
        <w:br/>
        <w:t>Źródło: https://pytorch.org/blog/torchvision-mobilenet-v3-implementation/</w:t>
      </w:r>
      <w:bookmarkEnd w:id="31"/>
    </w:p>
    <w:p>
      <w:pPr>
        <w:pStyle w:val="Heading3"/>
        <w:numPr>
          <w:ilvl w:val="2"/>
          <w:numId w:val="11"/>
        </w:numPr>
        <w:rPr/>
      </w:pPr>
      <w:bookmarkStart w:id="32" w:name="_Toc228645088"/>
      <w:r>
        <w:rPr/>
        <w:t>EfficientNet-B0 – złożone skalowanie</w:t>
      </w:r>
      <w:bookmarkEnd w:id="32"/>
    </w:p>
    <w:p>
      <w:pPr>
        <w:pStyle w:val="Normal"/>
        <w:rPr/>
      </w:pPr>
      <w:r>
        <w:rPr/>
        <w:t xml:space="preserve">EfficientNet, zaproponowany przez Tana i Le w 2019 roku </w:t>
      </w:r>
      <w:sdt>
        <w:sdtPr>
          <w:citation/>
        </w:sdtPr>
        <w:sdtContent>
          <w:r>
            <w:rPr/>
            <w:fldChar w:fldCharType="begin"/>
          </w:r>
          <w:r>
            <w:rPr/>
            <w:instrText xml:space="preserve"> CITATION Tan19 \l 1045 </w:instrText>
          </w:r>
          <w:r>
            <w:rPr/>
            <w:fldChar w:fldCharType="separate"/>
          </w:r>
          <w:r>
            <w:rPr/>
            <w:t>[17]</w:t>
          </w:r>
          <w:r>
            <w:rPr/>
            <w:fldChar w:fldCharType="end"/>
          </w:r>
        </w:sdtContent>
      </w:sdt>
      <w:r>
        <w:rPr/>
        <w:t>, wprowadza koncepcję złożonego skalowania</w:t>
      </w:r>
      <w:r>
        <w:rPr/>
        <w:t>.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Normal"/>
        <w:rPr/>
      </w:pPr>
      <w:r>
        <w:rPr/>
      </w:r>
    </w:p>
    <w:p>
      <w:pPr>
        <w:pStyle w:val="Normal"/>
        <w:rPr/>
      </w:pPr>
      <w:r>
        <w:rPr/>
        <w:t>Bazowy wariant EfficientNet-B0 składa się z sekwencji siedmiu bloków MBConv (Mobile Inverted Bottleneck Convolution), które różnią się między sobą parametrami ekspansji oraz rozmiarami jąder konwolucyjnych. Mimo stosunkowo niewielkiej liczby parametrów (około 5,3 miliona) model osiąga bardzo dobrą wydajność dzięki znacznie efektywniejszemu wykorzystaniu zasobów w porównaniu z wcześniejszymi architekturami.</w:t>
      </w:r>
    </w:p>
    <w:p>
      <w:pPr>
        <w:pStyle w:val="Normal"/>
        <w:jc w:val="start"/>
        <w:rPr/>
      </w:pPr>
      <w:r>
        <w:rPr/>
      </w:r>
    </w:p>
    <w:p>
      <w:pPr>
        <w:pStyle w:val="Normal"/>
        <w:rPr/>
      </w:pPr>
      <w:r>
        <w:rPr/>
        <w:t>W niniejszej pracy wykorzystano właśnie wariant B0, który ze względu na korzystny stosunek dokładności do złożoności obliczeniowej dobrze sprawdza się w zadaniach klasyfikacji obrazów medycznych.</w:t>
      </w:r>
    </w:p>
    <w:p>
      <w:pPr>
        <w:pStyle w:val="Normal"/>
        <w:keepNext w:val="true"/>
        <w:jc w:val="center"/>
        <w:rPr/>
      </w:pPr>
      <w:r>
        <w:rPr/>
        <w:drawing>
          <wp:inline distT="0" distB="0" distL="0" distR="0">
            <wp:extent cx="3617595" cy="1630680"/>
            <wp:effectExtent l="0" t="0" r="0" b="0"/>
            <wp:docPr id="17"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27"/>
                    <pic:cNvPicPr>
                      <a:picLocks noChangeAspect="1" noChangeArrowheads="1"/>
                    </pic:cNvPicPr>
                  </pic:nvPicPr>
                  <pic:blipFill>
                    <a:blip r:embed="rId18"/>
                    <a:stretch>
                      <a:fillRect/>
                    </a:stretch>
                  </pic:blipFill>
                  <pic:spPr bwMode="auto">
                    <a:xfrm>
                      <a:off x="0" y="0"/>
                      <a:ext cx="3617595" cy="1630680"/>
                    </a:xfrm>
                    <a:prstGeom prst="rect">
                      <a:avLst/>
                    </a:prstGeom>
                    <a:noFill/>
                  </pic:spPr>
                </pic:pic>
              </a:graphicData>
            </a:graphic>
          </wp:inline>
        </w:drawing>
      </w:r>
    </w:p>
    <w:p>
      <w:pPr>
        <w:pStyle w:val="Caption"/>
        <w:rPr/>
      </w:pPr>
      <w:bookmarkStart w:id="33" w:name="_Toc228645510"/>
      <w:r>
        <w:rPr/>
        <w:t xml:space="preserve">Rysunek </w:t>
      </w:r>
      <w:r>
        <w:rPr/>
        <w:fldChar w:fldCharType="begin"/>
      </w:r>
      <w:r>
        <w:rPr/>
        <w:instrText xml:space="preserve"> SEQ Rysunek \* ARABIC </w:instrText>
      </w:r>
      <w:r>
        <w:rPr/>
        <w:fldChar w:fldCharType="separate"/>
      </w:r>
      <w:r>
        <w:rPr/>
        <w:t>16</w:t>
      </w:r>
      <w:r>
        <w:rPr/>
        <w:fldChar w:fldCharType="end"/>
      </w:r>
      <w:r>
        <w:rPr/>
        <w:t xml:space="preserve"> EfficientNet architektura </w:t>
        <w:br/>
        <w:t>Źródło: https://viso.ai/deep-learning/efficientnet/</w:t>
      </w:r>
      <w:bookmarkEnd w:id="33"/>
    </w:p>
    <w:p>
      <w:pPr>
        <w:pStyle w:val="Heading3"/>
        <w:numPr>
          <w:ilvl w:val="2"/>
          <w:numId w:val="11"/>
        </w:numPr>
        <w:rPr/>
      </w:pPr>
      <w:bookmarkStart w:id="34" w:name="_Toc228645089"/>
      <w:r>
        <w:rPr/>
        <w:t>Transformer wizyjny - podstawy teoretyczne</w:t>
      </w:r>
      <w:bookmarkEnd w:id="34"/>
    </w:p>
    <w:p>
      <w:pPr>
        <w:pStyle w:val="Normal"/>
        <w:rPr/>
      </w:pPr>
      <w:r>
        <w:rPr/>
        <w:t>Vision Transformer (ViT) stanowi przełom w wizji komputerowej, przenosząc architekturę transformatorową, pierwotnie opracowaną dla przetwarzania języka naturalnego (NLP), bezpośrednio do dziedziny analizy obrazów cyfrowych. Koncepcja ta, zaprezentowana przez Dosovitskiy’ego i in. w 2020 roku w pracy pt. „An Image is Worth 16x16 Words”</w:t>
      </w:r>
      <w:sdt>
        <w:sdtPr>
          <w:citation/>
        </w:sdtPr>
        <w:sdtContent>
          <w:r>
            <w:rPr/>
            <w:fldChar w:fldCharType="begin"/>
          </w:r>
          <w:r>
            <w:rPr/>
            <w:instrText xml:space="preserve"> CITATION Dos20 \l 1045 </w:instrText>
          </w:r>
          <w:r>
            <w:rPr/>
            <w:fldChar w:fldCharType="separate"/>
          </w:r>
          <w:r>
            <w:rPr/>
            <w:t xml:space="preserve"> [18]</w:t>
          </w:r>
          <w:r>
            <w:rPr/>
            <w:fldChar w:fldCharType="end"/>
          </w:r>
        </w:sdtContent>
      </w:sdt>
      <w:r>
        <w:rPr/>
        <w:t>, podważyła dotychczasową dominację warstw konwolucyjnych. Autorzy wykazali, że mechanizm samoatencji</w:t>
      </w:r>
      <w:r>
        <w:rPr/>
        <w:t xml:space="preserve"> może skutecznie uczyć się reprezentacji wizualnych, osiągając wyniki porównywalne lub lepsze od klasycznych sieci CNN, pod warunkiem dostępu do odpowiednio dużych zbiorów danych treningowych.</w:t>
      </w:r>
    </w:p>
    <w:p>
      <w:pPr>
        <w:pStyle w:val="Normal"/>
        <w:rPr/>
      </w:pPr>
      <w:r>
        <w:rPr/>
      </w:r>
    </w:p>
    <w:p>
      <w:pPr>
        <w:pStyle w:val="Normal"/>
        <w:rPr/>
      </w:pPr>
      <w:r>
        <w:rPr/>
        <w:t>Proces przetwarzania w ViT zaczyna się od podziału obrazu wejściowego na siatkę płatów o stałym rozmiarze (np. 16 na 16 pikseli). Każdy płat jest następnie spłaszczany do wektora i rzutowany liniowo do niższej wymiarowości, tworząc tzw. tokeny wizualne. Ponieważ mechanizm atencji jest z natury niewrażliwy na kolejność elementów w sekwencji, do tokenów dodawane są zanurzenia pozycyjne. Dostarczają one sieci niezbędnych informacji o przestrzennym rozmieszczeniu fragmentów obrazu względem siebie. Na wzór modeli językowych typu BERT, do sekwencji dołączany jest również specjalny, uczony token klasyfikacyjny, którego stan na wyjściu służy do generowania ostatecznej predykcji.</w:t>
      </w:r>
    </w:p>
    <w:p>
      <w:pPr>
        <w:pStyle w:val="Normal"/>
        <w:rPr/>
      </w:pPr>
      <w:r>
        <w:rPr/>
      </w:r>
    </w:p>
    <w:p>
      <w:pPr>
        <w:pStyle w:val="Normal"/>
        <w:rPr/>
      </w:pPr>
      <w:r>
        <w:rPr/>
        <w:t>Sercem ViT jest koder transformatora, składający się z naprzemiennych warstw wielogłowicowej samoatencji (ang. Multi-Head Self-Attention, MHSA) oraz bloków sieci w pełni połączonych (MLP). W przeciwieństwie do CNN, które operują na lokalnych sąsiedztwach pikseli, mechanizm MHSA pozwala modelowi na wychwytywanie globalnych zależności dalekosiężnych już na najniższych warstwach architektury. ViT charakteryzuje się jednak znacznie mniejszym indukcyjnym obciążeniem niż sieci konwolucyjne, bo nie posiada on wbudowanych założeń o lokalności cech czy translacyjnej ekwiwariancji. Z tego powodu modele te wykazują duży apetyt na dane wymagając wstępnego trenowania na potężnych korpusach, takich jak ImageNet-21k lub JFT-300M, aby w pełni wykorzystać swój potencjał w zadaniach klasyfikacji medycznej.</w:t>
      </w:r>
    </w:p>
    <w:p>
      <w:pPr>
        <w:pStyle w:val="Heading3"/>
        <w:numPr>
          <w:ilvl w:val="2"/>
          <w:numId w:val="11"/>
        </w:numPr>
        <w:rPr>
          <w:lang w:val="en-US"/>
        </w:rPr>
      </w:pPr>
      <w:bookmarkStart w:id="35" w:name="_Toc228645090"/>
      <w:r>
        <w:rPr>
          <w:lang w:val="en-US"/>
        </w:rPr>
        <w:t>Vision Transformer (ViT-B/16) – mechanizm samoatencji</w:t>
      </w:r>
      <w:bookmarkEnd w:id="35"/>
    </w:p>
    <w:p>
      <w:pPr>
        <w:pStyle w:val="Normal"/>
        <w:rPr/>
      </w:pPr>
      <w:r>
        <w:rPr/>
        <w:t>Model ViT-B/16 wykorzystany w badaniach to wariant „Base” (stąd litera B) z podziałem na płaty o rozmiarze 16×16 pikseli. Wybór tego konkretnego rozmiaru płata stanowi kompromis między rozdzielczością analizowanych detali a złożonością obliczeniową, która rośnie kwadratowo wraz ze spadkiem rozmiaru płata. Architektura ta składa się z 12 warstw koderów transformatora, z których każda operuje na wektorach o stałej szerokości wynoszącej 768.</w:t>
      </w:r>
    </w:p>
    <w:p>
      <w:pPr>
        <w:pStyle w:val="Normal"/>
        <w:rPr/>
      </w:pPr>
      <w:r>
        <w:rPr/>
      </w:r>
    </w:p>
    <w:p>
      <w:pPr>
        <w:pStyle w:val="Normal"/>
        <w:rPr/>
      </w:pPr>
      <w:r>
        <w:rPr/>
        <w:t>Kluczowym elementem wariantu B/16 jest zastosowanie wielogłowicowej atencji z 12 niezależnymi głowicami. Pozwala to modelowi na równoległe śledzenie różnych rodzajów zależności w obrazie (np. kształtu i tekstury jednocześnie). Łączna liczba parametrów modelu wynosi około 86 milionów, co sprawia, że jest on architekturą znacznie bardziej pojemną niż EfficientNet-B0, ale wymagającą większej mocy obliczeniowej podczas procesu uczenia.</w:t>
      </w:r>
    </w:p>
    <w:p>
      <w:pPr>
        <w:pStyle w:val="Normal"/>
        <w:rPr/>
      </w:pPr>
      <w:r>
        <w:rPr/>
      </w:r>
    </w:p>
    <w:p>
      <w:pPr>
        <w:pStyle w:val="Normal"/>
        <w:rPr/>
      </w:pPr>
      <w:r>
        <w:rPr/>
        <w:t>W niniejszym projekcie model ViT-B/16</w:t>
      </w:r>
      <w:sdt>
        <w:sdtPr>
          <w:citation/>
        </w:sdtPr>
        <w:sdtContent>
          <w:r>
            <w:rPr/>
            <w:fldChar w:fldCharType="begin"/>
          </w:r>
          <w:r>
            <w:rPr/>
            <w:instrText xml:space="preserve"> CITATION Dos20 \l 1045 </w:instrText>
          </w:r>
          <w:r>
            <w:rPr/>
            <w:fldChar w:fldCharType="separate"/>
          </w:r>
          <w:r>
            <w:rPr/>
            <w:t xml:space="preserve"> [18]</w:t>
          </w:r>
          <w:r>
            <w:rPr/>
            <w:fldChar w:fldCharType="end"/>
          </w:r>
        </w:sdtContent>
      </w:sdt>
      <w:r>
        <w:rPr/>
        <w:t xml:space="preserve"> został zainicjalizowany wagami wyuczonymi na zbiorze ImageNet-21k. Zastosowanie tak skonfigurowanego modelu pozwala na wykorzystanie „globalnego spojrzenia” transformatora w diagnostyce zmian skórnych, gdzie istotna jest nie tylko lokalna struktura barwnika, ale również ogólna symetria i rozkład zmiany na powierzchni skóry.</w:t>
      </w:r>
    </w:p>
    <w:p>
      <w:pPr>
        <w:pStyle w:val="Normal"/>
        <w:rPr/>
      </w:pPr>
      <w:r>
        <w:rPr/>
      </w:r>
    </w:p>
    <w:p>
      <w:pPr>
        <w:pStyle w:val="Normal"/>
        <w:keepNext w:val="true"/>
        <w:ind w:hanging="0"/>
        <w:jc w:val="center"/>
        <w:rPr/>
      </w:pPr>
      <w:r>
        <w:rPr/>
        <w:drawing>
          <wp:inline distT="0" distB="0" distL="0" distR="0">
            <wp:extent cx="4256405" cy="1996440"/>
            <wp:effectExtent l="0" t="0" r="0" b="0"/>
            <wp:docPr id="18"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28"/>
                    <pic:cNvPicPr>
                      <a:picLocks noChangeAspect="1" noChangeArrowheads="1"/>
                    </pic:cNvPicPr>
                  </pic:nvPicPr>
                  <pic:blipFill>
                    <a:blip r:embed="rId19"/>
                    <a:stretch>
                      <a:fillRect/>
                    </a:stretch>
                  </pic:blipFill>
                  <pic:spPr bwMode="auto">
                    <a:xfrm>
                      <a:off x="0" y="0"/>
                      <a:ext cx="4256405" cy="1996440"/>
                    </a:xfrm>
                    <a:prstGeom prst="rect">
                      <a:avLst/>
                    </a:prstGeom>
                    <a:noFill/>
                  </pic:spPr>
                </pic:pic>
              </a:graphicData>
            </a:graphic>
          </wp:inline>
        </w:drawing>
      </w:r>
    </w:p>
    <w:p>
      <w:pPr>
        <w:pStyle w:val="Caption"/>
        <w:rPr/>
      </w:pPr>
      <w:bookmarkStart w:id="36" w:name="_Toc228645511"/>
      <w:r>
        <w:rPr/>
        <w:t xml:space="preserve">Rysunek </w:t>
      </w:r>
      <w:r>
        <w:rPr/>
        <w:fldChar w:fldCharType="begin"/>
      </w:r>
      <w:r>
        <w:rPr/>
        <w:instrText xml:space="preserve"> SEQ Rysunek \* ARABIC </w:instrText>
      </w:r>
      <w:r>
        <w:rPr/>
        <w:fldChar w:fldCharType="separate"/>
      </w:r>
      <w:r>
        <w:rPr/>
        <w:t>17</w:t>
      </w:r>
      <w:r>
        <w:rPr/>
        <w:fldChar w:fldCharType="end"/>
      </w:r>
      <w:r>
        <w:rPr/>
        <w:t xml:space="preserve"> Vision Transformer - Jak działa? </w:t>
        <w:br/>
        <w:t>Źródło: https://sh-tsang.medium.com/review-vision-transformer-vit-406568603de0</w:t>
      </w:r>
      <w:bookmarkEnd w:id="36"/>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0"/>
        <w:rPr/>
      </w:pPr>
      <w:r>
        <w:rPr/>
      </w:r>
    </w:p>
    <w:p>
      <w:pPr>
        <w:pStyle w:val="Heading1"/>
        <w:numPr>
          <w:ilvl w:val="0"/>
          <w:numId w:val="2"/>
        </w:numPr>
        <w:ind w:hanging="851" w:start="851"/>
        <w:rPr/>
      </w:pPr>
      <w:bookmarkStart w:id="37" w:name="_Toc228645091"/>
      <w:r>
        <w:rPr/>
        <w:t>Projekt</w:t>
      </w:r>
      <w:bookmarkEnd w:id="37"/>
    </w:p>
    <w:p>
      <w:pPr>
        <w:pStyle w:val="Normal"/>
        <w:rPr/>
      </w:pPr>
      <w:bookmarkStart w:id="38" w:name="_Toc137420675"/>
      <w:r>
        <w:rPr/>
        <w:t>W tym rozdziale zostaną zdefiniowane założenia realizacji projektu, tzn. co i jak ma zostać wykonane w ramach części praktycznej pracy.</w:t>
      </w:r>
    </w:p>
    <w:p>
      <w:pPr>
        <w:pStyle w:val="Normal"/>
        <w:rPr/>
      </w:pPr>
      <w:r>
        <w:rPr/>
      </w:r>
    </w:p>
    <w:p>
      <w:pPr>
        <w:pStyle w:val="Normal"/>
        <w:ind w:hanging="0"/>
        <w:rPr/>
      </w:pPr>
      <w:r>
        <w:rPr/>
        <w:t>Zaprojektowany i wykonany zostanie system informatyczny wspomagający klasyfikację zmian skórnych, wykorzystujący modele głębokiego uczenia. System będzie uwzględniać cztery główne elementy:</w:t>
      </w:r>
    </w:p>
    <w:p>
      <w:pPr>
        <w:pStyle w:val="ListParagraph"/>
        <w:numPr>
          <w:ilvl w:val="0"/>
          <w:numId w:val="12"/>
        </w:numPr>
        <w:rPr/>
      </w:pPr>
      <w:r>
        <w:rPr/>
        <w:t>Wielomodelową analizę obrazu: wytrenowanie i porównanie pięciu architektur: ResNet50, EfficientNet-B0, Vision Transformer (ViT-B/16), MobileNetV3 oraz autorskiej sieci Custom CNN,</w:t>
      </w:r>
    </w:p>
    <w:p>
      <w:pPr>
        <w:pStyle w:val="ListParagraph"/>
        <w:numPr>
          <w:ilvl w:val="0"/>
          <w:numId w:val="12"/>
        </w:numPr>
        <w:rPr/>
      </w:pPr>
      <w:r>
        <w:rPr/>
        <w:t>Elastyczną akwizycję danych: możliwość wgrania zdjęcia z dysku lub bezpośredniego połączenia z telefonem w celu wykonania i przesłania fotografii,</w:t>
      </w:r>
    </w:p>
    <w:p>
      <w:pPr>
        <w:pStyle w:val="ListParagraph"/>
        <w:numPr>
          <w:ilvl w:val="0"/>
          <w:numId w:val="12"/>
        </w:numPr>
        <w:rPr/>
      </w:pPr>
      <w:r>
        <w:rPr/>
        <w:t>Wyjaśnialność predykcji (XAI): prezentację wyników w formie prawdopodobieństwa oraz generowanie map Grad-CAM, wskazujących obszary, na których skupił się model,</w:t>
      </w:r>
    </w:p>
    <w:p>
      <w:pPr>
        <w:pStyle w:val="ListParagraph"/>
        <w:numPr>
          <w:ilvl w:val="0"/>
          <w:numId w:val="12"/>
        </w:numPr>
        <w:rPr/>
      </w:pPr>
      <w:r>
        <w:rPr/>
        <w:t>Kontekstualizację badania: możliwość prowadzenia historii badań oraz przypisanie zdjęcia do konkretnej lokalizacji na ciele użytkownika (wybór miejsca na schemacie anatomicznym).</w:t>
      </w:r>
    </w:p>
    <w:p>
      <w:pPr>
        <w:pStyle w:val="Normal"/>
        <w:ind w:hanging="0"/>
        <w:rPr/>
      </w:pPr>
      <w:r>
        <w:rPr/>
        <w:t>Szczegóły techniczne i funkcjonalne zdefiniowane zostaną w następnych podrozdziałach.</w:t>
      </w:r>
    </w:p>
    <w:p>
      <w:pPr>
        <w:pStyle w:val="Heading2"/>
        <w:numPr>
          <w:ilvl w:val="0"/>
          <w:numId w:val="0"/>
        </w:numPr>
        <w:ind w:hanging="0" w:start="0"/>
        <w:rPr/>
      </w:pPr>
      <w:bookmarkStart w:id="39" w:name="_Toc228645092"/>
      <w:r>
        <w:rPr/>
        <w:t>2.1 Charakterystyka środowiska i stosu technologicznego</w:t>
      </w:r>
      <w:bookmarkEnd w:id="39"/>
    </w:p>
    <w:p>
      <w:pPr>
        <w:pStyle w:val="Normal"/>
        <w:rPr/>
      </w:pPr>
      <w:r>
        <w:rPr/>
        <w:t>Wybór technologii został podyktowany koniecznością zapewnienia wysokiej wydajności obliczeniowej w fazie trenowania modeli oraz responsywności interfejsu w fazie produkcyjnej.</w:t>
      </w:r>
    </w:p>
    <w:p>
      <w:pPr>
        <w:pStyle w:val="ListParagraph"/>
        <w:numPr>
          <w:ilvl w:val="0"/>
          <w:numId w:val="15"/>
        </w:numPr>
        <w:rPr/>
      </w:pPr>
      <w:r>
        <w:rPr/>
        <w:t>Środowisko obliczeniowe: Proces uczenia oraz eksperymenty z architekturami sieciowymi przeprowadzono w środowisku Kaggle. Wykorzystanie tej platformy pozwoliło na dostęp do akceleratorów graficznych (GPU Nvidia Tesla), co było niezbędne przy optymalizacji złożonych modeli, takich jak Vision Transformer czy EfficientNet.</w:t>
      </w:r>
    </w:p>
    <w:p>
      <w:pPr>
        <w:pStyle w:val="ListParagraph"/>
        <w:numPr>
          <w:ilvl w:val="0"/>
          <w:numId w:val="15"/>
        </w:numPr>
        <w:rPr/>
      </w:pPr>
      <w:r>
        <w:rPr/>
        <w:t>Język i biblioteki ML: Głównym narzędziem implementacyjnym jest język Python wraz z frameworkiem PyTorch. Wybór PyTorcha wynika z jego elastyczności w definiowaniu własnych warstw sieci (Custom CNN) oraz doskonałego wsparcia dla mechanizmów wyjaśnialności modeli (XAI).</w:t>
      </w:r>
    </w:p>
    <w:p>
      <w:pPr>
        <w:pStyle w:val="ListParagraph"/>
        <w:numPr>
          <w:ilvl w:val="0"/>
          <w:numId w:val="15"/>
        </w:numPr>
        <w:rPr/>
      </w:pPr>
      <w:r>
        <w:rPr/>
        <w:t>Backend: Logika serwerowa została oparta na frameworku FastAPI. Zdecydowano się na to rozwiązanie ze względu na natywną obsługę asynchroniczności oraz łatwość serwowania predykcji z modeli ML. Backend odpowiada nie tylko za klasyfikację, ale również za zarządzanie bazą danych SQLite, w której przechowywana jest historia badań, dane użytkowników oraz współrzędne anatomiczne wykonanych zdjęć.</w:t>
      </w:r>
    </w:p>
    <w:p>
      <w:pPr>
        <w:pStyle w:val="ListParagraph"/>
        <w:numPr>
          <w:ilvl w:val="0"/>
          <w:numId w:val="15"/>
        </w:numPr>
        <w:rPr/>
      </w:pPr>
      <w:r>
        <w:rPr/>
        <w:t>Frontend: Interfejs użytkownika zrealizowano w technologii React. Pozwala ona na stworzenie dynamicznej aplikacji typu SPA (Single Page Application), która umożliwia bezpośredni dostęp do aparatu urządzenia, interaktywny wybór miejsca badania na schemacie ciała oraz personalizację interfejsu (zmiana motywów graficznych i wersji językowej).</w:t>
      </w:r>
    </w:p>
    <w:p>
      <w:pPr>
        <w:pStyle w:val="Heading2"/>
        <w:numPr>
          <w:ilvl w:val="0"/>
          <w:numId w:val="0"/>
        </w:numPr>
        <w:ind w:hanging="0" w:start="0"/>
        <w:rPr/>
      </w:pPr>
      <w:bookmarkStart w:id="40" w:name="_Toc228645093"/>
      <w:r>
        <w:rPr/>
        <w:t>2.2 Przygotowanie danych</w:t>
      </w:r>
      <w:bookmarkEnd w:id="40"/>
    </w:p>
    <w:p>
      <w:pPr>
        <w:pStyle w:val="Normal"/>
        <w:ind w:firstLine="708"/>
        <w:rPr/>
      </w:pPr>
      <w:r>
        <w:rPr/>
        <w:t xml:space="preserve">Podstawę empiryczną niniejszej pracy stanowi zbiór danych Skin Lesions Classification Dataset </w:t>
      </w:r>
      <w:sdt>
        <w:sdtPr>
          <w:citation/>
        </w:sdtPr>
        <w:sdtContent>
          <w:r>
            <w:rPr/>
            <w:fldChar w:fldCharType="begin"/>
          </w:r>
          <w:r>
            <w:rPr/>
            <w:instrText xml:space="preserve"> CITATION ahm23 \l 1045 </w:instrText>
          </w:r>
          <w:r>
            <w:rPr/>
            <w:fldChar w:fldCharType="separate"/>
          </w:r>
          <w:r>
            <w:rPr/>
            <w:t>[3]</w:t>
          </w:r>
          <w:r>
            <w:rPr/>
            <w:fldChar w:fldCharType="end"/>
          </w:r>
        </w:sdtContent>
      </w:sdt>
      <w:r>
        <w:rPr/>
        <w:t xml:space="preserve">, będący wynikiem fuzji dwóch uznanych w literaturze przedmiotu repozytoriów: HAM10000 (Human Against Machine with 10 000 training images) </w:t>
      </w:r>
      <w:sdt>
        <w:sdtPr>
          <w:citation/>
        </w:sdtPr>
        <w:sdtContent>
          <w:r>
            <w:rPr/>
            <w:fldChar w:fldCharType="begin"/>
          </w:r>
          <w:r>
            <w:rPr/>
            <w:instrText xml:space="preserve"> CITATION Tsc18 \l 1045 </w:instrText>
          </w:r>
          <w:r>
            <w:rPr/>
            <w:fldChar w:fldCharType="separate"/>
          </w:r>
          <w:r>
            <w:rPr/>
            <w:t>[13]</w:t>
          </w:r>
          <w:r>
            <w:rPr/>
            <w:fldChar w:fldCharType="end"/>
          </w:r>
        </w:sdtContent>
      </w:sdt>
      <w:r>
        <w:rPr/>
        <w:t xml:space="preserve"> oraz MSLDv2.0 (Monkeypox Skin Lesion Dataset). Połączenie to miało na celu zwiększenie różnorodności przypadków klinicznych oraz poprawę zdolności generalizacyjnych modelu poprzez uwzględnienie szerszego spektrum jednostek chorobowych.</w:t>
      </w:r>
    </w:p>
    <w:p>
      <w:pPr>
        <w:pStyle w:val="Normal"/>
        <w:ind w:hanging="0"/>
        <w:jc w:val="start"/>
        <w:rPr/>
      </w:pPr>
      <w:r>
        <w:rPr/>
      </w:r>
    </w:p>
    <w:p>
      <w:pPr>
        <w:pStyle w:val="Normal"/>
        <w:ind w:firstLine="708"/>
        <w:rPr/>
      </w:pPr>
      <w:r>
        <w:rPr/>
        <w:t>Pierwszy z komponentów, zbiór HAM10000</w:t>
      </w:r>
      <w:sdt>
        <w:sdtPr>
          <w:citation/>
        </w:sdtPr>
        <w:sdtContent>
          <w:r>
            <w:rPr/>
            <w:fldChar w:fldCharType="begin"/>
          </w:r>
          <w:r>
            <w:rPr/>
            <w:instrText xml:space="preserve"> CITATION Tsc18 \l 1045 </w:instrText>
          </w:r>
          <w:r>
            <w:rPr/>
            <w:fldChar w:fldCharType="separate"/>
          </w:r>
          <w:r>
            <w:rPr/>
            <w:t xml:space="preserve"> [13]</w:t>
          </w:r>
          <w:r>
            <w:rPr/>
            <w:fldChar w:fldCharType="end"/>
          </w:r>
        </w:sdtContent>
      </w:sdt>
      <w:r>
        <w:rPr/>
        <w:t>, opracowany przez zespół Tschandla w 2018 roku, stanowi standard w badaniach nad automatyczną diagnostyką dermatologiczną. Dane te zostały pozyskane z trzech ośrodków klinicznych: Departamentu Dermatologii Uniwersytetu Medycznego w Wiedniu, Hospital Clínic de Barcelona oraz z anonimowych placówek w ramach projektu MSK. Zbiór ten dostarcza wysokiej jakości obrazów dermoskopowych obejmujących siedem podstawowych kategorii zmian skórnych, w tym zmiany łagodne i nowotworowe.</w:t>
      </w:r>
    </w:p>
    <w:p>
      <w:pPr>
        <w:pStyle w:val="Normal"/>
        <w:ind w:hanging="0"/>
        <w:jc w:val="start"/>
        <w:rPr/>
      </w:pPr>
      <w:r>
        <w:rPr/>
      </w:r>
    </w:p>
    <w:p>
      <w:pPr>
        <w:pStyle w:val="Normal"/>
        <w:ind w:firstLine="708"/>
        <w:rPr/>
      </w:pPr>
      <w:r>
        <w:rPr/>
        <w:t>Drugi komponent, MSLDv2.0, uzupełnia bazę o obrazy chorób zakaźnych wykazujących manifestacje skórne (w szczególności wirusa ospy małpiej). Istotną cechą tego zbioru jest dbałość o reprezentatywność danych pod kątem zróżnicowania fenotypowego pacjentów, co jest kluczowe w kontekście eliminacji błędu systematycznego algorytmów wynikającego z różnic w pigmentacji skóry.</w:t>
      </w:r>
    </w:p>
    <w:p>
      <w:pPr>
        <w:pStyle w:val="Normal"/>
        <w:ind w:hanging="0"/>
        <w:jc w:val="start"/>
        <w:rPr/>
      </w:pPr>
      <w:r>
        <w:rPr/>
      </w:r>
    </w:p>
    <w:p>
      <w:pPr>
        <w:pStyle w:val="Normal"/>
        <w:ind w:firstLine="360"/>
        <w:rPr/>
      </w:pPr>
      <w:r>
        <w:rPr/>
        <w:t>Połączony zbiór danych obejmuje łącznie 14 klas zmian skórnych, co pozwala na przeprowadzenie wieloklasowej analizy porównawczej. Całkowity wolumen danych wynosi około 18 370 próbek. Na potrzeby procesu uczenia i późniejszej weryfikacji modeli, zbiór został podzielony na dwie części:</w:t>
      </w:r>
    </w:p>
    <w:p>
      <w:pPr>
        <w:pStyle w:val="ListParagraph"/>
        <w:numPr>
          <w:ilvl w:val="0"/>
          <w:numId w:val="13"/>
        </w:numPr>
        <w:rPr/>
      </w:pPr>
      <w:r>
        <w:rPr/>
        <w:t>Zbiór treningowy, wykorzystywany do optymalizacji wag modelu,</w:t>
      </w:r>
    </w:p>
    <w:p>
      <w:pPr>
        <w:pStyle w:val="ListParagraph"/>
        <w:numPr>
          <w:ilvl w:val="0"/>
          <w:numId w:val="13"/>
        </w:numPr>
        <w:jc w:val="start"/>
        <w:rPr/>
      </w:pPr>
      <w:r>
        <w:rPr/>
        <w:t>Zbiór testowy, obejmujący 3 674 obrazy (ok. 20% całości), służący do końcowej oceny skuteczności klasyfikacji.</w:t>
      </w:r>
    </w:p>
    <w:p>
      <w:pPr>
        <w:pStyle w:val="Normal"/>
        <w:tabs>
          <w:tab w:val="clear" w:pos="708"/>
          <w:tab w:val="left" w:pos="1740" w:leader="none"/>
        </w:tabs>
        <w:ind w:hanging="0"/>
        <w:jc w:val="start"/>
        <w:rPr/>
      </w:pPr>
      <w:r>
        <w:rPr/>
      </w:r>
    </w:p>
    <w:p>
      <w:pPr>
        <w:pStyle w:val="Normal"/>
        <w:ind w:firstLine="360"/>
        <w:rPr/>
      </w:pPr>
      <w:r>
        <w:rPr/>
        <w:t>Wykorzystanie tak sformułowanego zbioru danych, pochodzącego z platformy Kaggle, pozwala na zachowanie powtarzalności badań przy jednoczesnym zachowaniu wysokiej różnorodności materiału zdjęciowego.</w:t>
      </w:r>
    </w:p>
    <w:p>
      <w:pPr>
        <w:pStyle w:val="Heading2"/>
        <w:numPr>
          <w:ilvl w:val="0"/>
          <w:numId w:val="0"/>
        </w:numPr>
        <w:ind w:hanging="0" w:start="0"/>
        <w:rPr/>
      </w:pPr>
      <w:bookmarkStart w:id="41" w:name="_Toc228645094"/>
      <w:r>
        <w:rPr/>
        <w:t>2.3 Podział danych oraz techniki przetwarzania wstępnego</w:t>
      </w:r>
      <w:bookmarkEnd w:id="41"/>
    </w:p>
    <w:p>
      <w:pPr>
        <w:pStyle w:val="Normal"/>
        <w:rPr/>
      </w:pPr>
      <w:r>
        <w:rPr/>
        <w:t>W procesie przygotowania eksperymentu zbiór danych został podzielony na trzy rozłączne podzbiory: treningowy, walidacyjny oraz testowy. Kluczowym wyzwaniem na tym etapie prac była znaczna nierównowaga liczebna poszczególnych klas. Przykładowo, klasa Melanocytic nevi jest reprezentowana przez około sześciokrotnie większą liczbę próbek niż klasa Dermatofibroma. Taka dysproporcja mogłaby prowadzić do obciążenia modelu i faworyzowania klas większościowych, co w diagnostyce medycznej jest zjawiskiem niepożądanym, gdyż mogłoby skutkować błędnym rozpoznawaniem rzadszych, a potencjalnie groźnych zmian.</w:t>
      </w:r>
    </w:p>
    <w:p>
      <w:pPr>
        <w:pStyle w:val="Normal"/>
        <w:jc w:val="start"/>
        <w:rPr/>
      </w:pPr>
      <w:r>
        <w:rPr/>
      </w:r>
    </w:p>
    <w:p>
      <w:pPr>
        <w:pStyle w:val="Normal"/>
        <w:rPr/>
      </w:pPr>
      <w:r>
        <w:rPr/>
        <w:t>W celu zniwelowania problemu nierównomiernego rozkładu klas zastosowano technikę ważonego losowania próbek. Mechanizm ten opiera się na przypisaniu każdemu obrazowi wagi, która jest odwrotnie proporcjonalna do liczności klasy, do której dany obraz przynależy. Dzięki takiemu podejściu, w trakcie procesu uczenia, każda paczka danych zawiera statystycznie zrównoważoną reprezentację wszystkich czternastu kategorii zmian skórnych. Pozwala to na sprawiedliwą aktualizację wag modelu, niezależnie od liczebności próbek danej klasy w pierwotnym zbiorze.</w:t>
      </w:r>
    </w:p>
    <w:p>
      <w:pPr>
        <w:pStyle w:val="Normal"/>
        <w:rPr/>
      </w:pPr>
      <w:r>
        <w:rPr/>
      </w:r>
    </w:p>
    <w:p>
      <w:pPr>
        <w:pStyle w:val="Normal"/>
        <w:rPr/>
      </w:pPr>
      <w:r>
        <w:rPr/>
        <w:t>Wstępne przetwarzanie danych obejmowało ujednolicenie wymiarów wszystkich obrazów do rozdzielczości 224 na 224 piksele, co jest standardem dla większości nowoczesnych architektur splotowych sieci neuronowych. Dodatkowo przeprowadzono normalizację wartości pikseli z wykorzystaniem statystyk zbioru ImageNet, stosując średnią oraz odchylenie standardowe dla kanałów RGB. Aby zwiększyć zdolność modelu do generalizacji i ograniczyć ryzyko nadmiernego dopasowania do danych treningowych, zastosowano techniki augmentacji</w:t>
      </w:r>
      <w:sdt>
        <w:sdtPr>
          <w:citation/>
        </w:sdtPr>
        <w:sdtContent>
          <w:r>
            <w:rPr/>
            <w:fldChar w:fldCharType="begin"/>
          </w:r>
          <w:r>
            <w:rPr/>
            <w:instrText xml:space="preserve"> CITATION Sho19 \l 1045 </w:instrText>
          </w:r>
          <w:r>
            <w:rPr/>
            <w:fldChar w:fldCharType="separate"/>
          </w:r>
          <w:r>
            <w:rPr/>
            <w:t xml:space="preserve"> [19]</w:t>
          </w:r>
          <w:r>
            <w:rPr/>
            <w:fldChar w:fldCharType="end"/>
          </w:r>
        </w:sdtContent>
      </w:sdt>
      <w:r>
        <w:rPr/>
        <w:t>. W skład potoku transformacji weszły losowe obroty, odbicia lustrzane, modyfikacje parametrów jasności, kontrastu oraz nasycenia, a także losowe przycięcia obrazów.</w:t>
      </w:r>
    </w:p>
    <w:p>
      <w:pPr>
        <w:pStyle w:val="Normal"/>
        <w:rPr/>
      </w:pPr>
      <w:r>
        <w:rPr/>
      </w:r>
    </w:p>
    <w:p>
      <w:pPr>
        <w:pStyle w:val="Normal"/>
        <w:rPr/>
      </w:pPr>
      <w:r>
        <w:rPr/>
        <w:fldChar w:fldCharType="begin"/>
      </w:r>
      <w:r>
        <w:rPr/>
        <w:instrText xml:space="preserve"> REF _Ref225605038 \h </w:instrText>
      </w:r>
      <w:r>
        <w:rPr/>
        <w:fldChar w:fldCharType="separate"/>
      </w:r>
      <w:r>
        <w:rPr/>
        <w:t>Tabela 1</w:t>
      </w:r>
      <w:r>
        <w:rPr/>
        <w:fldChar w:fldCharType="end"/>
      </w:r>
      <w:r>
        <w:rPr/>
        <w:t xml:space="preserve"> </w:t>
      </w:r>
      <w:r>
        <w:rPr/>
        <w:t>prezentuje szczegółowe zestawienie liczby próbek w zbiorze testowym, który stanowi 20 procent całkowitego wolumenu danych. Zbiór ten pozostał nienaruszony podczas procesu trenowania i służył wyłącznie do finalnej weryfikacji skuteczności klasyfikacji.</w:t>
      </w:r>
    </w:p>
    <w:p>
      <w:pPr>
        <w:pStyle w:val="Caption"/>
        <w:rPr/>
      </w:pPr>
      <w:bookmarkStart w:id="42" w:name="_Toc228645182"/>
      <w:bookmarkStart w:id="43" w:name="_Ref225604959"/>
      <w:bookmarkStart w:id="44" w:name="_Ref225605038"/>
      <w:r>
        <w:rPr/>
        <w:t xml:space="preserve">Tabela </w:t>
      </w:r>
      <w:r>
        <w:rPr/>
        <w:fldChar w:fldCharType="begin"/>
      </w:r>
      <w:r>
        <w:rPr/>
        <w:instrText xml:space="preserve"> SEQ Tabela \* ARABIC </w:instrText>
      </w:r>
      <w:r>
        <w:rPr/>
        <w:fldChar w:fldCharType="separate"/>
      </w:r>
      <w:r>
        <w:rPr/>
        <w:t>1</w:t>
      </w:r>
      <w:r>
        <w:rPr/>
        <w:fldChar w:fldCharType="end"/>
      </w:r>
      <w:bookmarkEnd w:id="44"/>
      <w:r>
        <w:rPr/>
        <w:t xml:space="preserve"> Liczba próbek w zbiorze testowym dla poszczególnych klas</w:t>
      </w:r>
      <w:bookmarkEnd w:id="42"/>
      <w:bookmarkEnd w:id="43"/>
    </w:p>
    <w:tbl>
      <w:tblPr>
        <w:tblW w:w="8788" w:type="dxa"/>
        <w:jc w:val="start"/>
        <w:tblInd w:w="0" w:type="dxa"/>
        <w:tblLayout w:type="fixed"/>
        <w:tblCellMar>
          <w:top w:w="80" w:type="dxa"/>
          <w:start w:w="120" w:type="dxa"/>
          <w:bottom w:w="80" w:type="dxa"/>
          <w:end w:w="120" w:type="dxa"/>
        </w:tblCellMar>
        <w:tblLook w:firstRow="1" w:noVBand="1" w:lastRow="0" w:firstColumn="1" w:lastColumn="0" w:noHBand="0" w:val="04a0"/>
      </w:tblPr>
      <w:tblGrid>
        <w:gridCol w:w="4834"/>
        <w:gridCol w:w="1976"/>
        <w:gridCol w:w="1978"/>
      </w:tblGrid>
      <w:tr>
        <w:trPr/>
        <w:tc>
          <w:tcPr>
            <w:tcW w:w="4834"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Klasa</w:t>
            </w:r>
          </w:p>
        </w:tc>
        <w:tc>
          <w:tcPr>
            <w:tcW w:w="1976"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Próbki testowe</w:t>
            </w:r>
          </w:p>
        </w:tc>
        <w:tc>
          <w:tcPr>
            <w:tcW w:w="1978" w:type="dxa"/>
            <w:tcBorders>
              <w:top w:val="single" w:sz="4" w:space="0" w:color="000000"/>
              <w:start w:val="single" w:sz="4" w:space="0" w:color="000000"/>
              <w:bottom w:val="single" w:sz="4" w:space="0" w:color="000000"/>
              <w:end w:val="single" w:sz="4" w:space="0" w:color="000000"/>
            </w:tcBorders>
            <w:shd w:color="auto" w:fill="CCCCCC" w:val="clear"/>
            <w:vAlign w:val="center"/>
          </w:tcPr>
          <w:p>
            <w:pPr>
              <w:pStyle w:val="Normal"/>
              <w:ind w:hanging="0"/>
              <w:rPr/>
            </w:pPr>
            <w:r>
              <w:rPr>
                <w:b/>
                <w:bCs/>
              </w:rPr>
              <w:t>Procent zbioru testowego</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Actinic keratoses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Basal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333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Benign keratosis-like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7.2%</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Chickenpox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Cowpox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99</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Dermatofibroma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25</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HFMD</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242</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Healthy</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171</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Measles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83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Melanocytic nevi</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1288</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35.1%</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Melanoma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453</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12.3%</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Monkeypox</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426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11.6%</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Squamous cell carcinoma</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64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1.7%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Vascular lesions</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26</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t>0.7%</w:t>
            </w:r>
          </w:p>
        </w:tc>
      </w:tr>
      <w:tr>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RAZEM</w:t>
            </w:r>
          </w:p>
        </w:tc>
        <w:tc>
          <w:tcPr>
            <w:tcW w:w="1976"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3 674</w:t>
            </w:r>
          </w:p>
        </w:tc>
        <w:tc>
          <w:tcPr>
            <w:tcW w:w="1978" w:type="dxa"/>
            <w:tcBorders>
              <w:top w:val="single" w:sz="4" w:space="0" w:color="000000"/>
              <w:start w:val="single" w:sz="4" w:space="0" w:color="000000"/>
              <w:bottom w:val="single" w:sz="4" w:space="0" w:color="000000"/>
              <w:end w:val="single" w:sz="4" w:space="0" w:color="000000"/>
            </w:tcBorders>
            <w:vAlign w:val="center"/>
          </w:tcPr>
          <w:p>
            <w:pPr>
              <w:pStyle w:val="Normal"/>
              <w:ind w:hanging="0"/>
              <w:rPr/>
            </w:pPr>
            <w:r>
              <w:rPr>
                <w:b/>
                <w:bCs/>
              </w:rPr>
              <w:t>100%</w:t>
            </w:r>
          </w:p>
        </w:tc>
      </w:tr>
    </w:tbl>
    <w:p>
      <w:pPr>
        <w:pStyle w:val="Heading2"/>
        <w:numPr>
          <w:ilvl w:val="0"/>
          <w:numId w:val="0"/>
        </w:numPr>
        <w:ind w:hanging="0" w:start="0"/>
        <w:rPr/>
      </w:pPr>
      <w:bookmarkStart w:id="45" w:name="_Toc228645095"/>
      <w:r>
        <w:rPr/>
        <w:t>2.4 Parametry treningu</w:t>
      </w:r>
      <w:bookmarkEnd w:id="45"/>
    </w:p>
    <w:p>
      <w:pPr>
        <w:pStyle w:val="Normal"/>
        <w:ind w:firstLine="708"/>
        <w:rPr/>
      </w:pPr>
      <w:r>
        <w:rPr/>
        <w:t>Proces uczenia każdego z modeli zaplanowano na maksymalnie 25 epok. W celu optymalizacji czasu obliczeń oraz zapobiegania zjawisku przeuczenia wykorzystano mechanizm wczesnego zatrzymywania z parametrem cierpliwości ustawionym na 5 epok. W praktyce oznaczało to przerwanie procedury treningowej w sytuacji, gdy przez pięć kolejnych cykli nie odnotowano poprawy wskaźnika dokładności na zbiorze walidacyjnym.</w:t>
      </w:r>
    </w:p>
    <w:p>
      <w:pPr>
        <w:pStyle w:val="Normal"/>
        <w:ind w:hanging="0"/>
        <w:jc w:val="start"/>
        <w:rPr/>
      </w:pPr>
      <w:r>
        <w:rPr/>
      </w:r>
    </w:p>
    <w:p>
      <w:pPr>
        <w:pStyle w:val="Normal"/>
        <w:ind w:firstLine="708"/>
        <w:rPr/>
      </w:pPr>
      <w:r>
        <w:rPr/>
        <w:t>Jako algorytm optymalizacji wykorzystano metodę Adam ze współczynnikiem uczenia równym 0,0001, natomiast do obliczania błędu posłużyła funkcja straty entropii krzyżowej. Funkcja ta uwzględniała wagi przypisane poszczególnym klasom, co stanowiło dopełnienie wcześniej opisanego sposobu losowania próbek. Wielkość pojedynczej paczki danych ustalono na 32 obrazy.</w:t>
      </w:r>
    </w:p>
    <w:p>
      <w:pPr>
        <w:pStyle w:val="Normal"/>
        <w:ind w:hanging="0"/>
        <w:jc w:val="start"/>
        <w:rPr/>
      </w:pPr>
      <w:r>
        <w:rPr/>
      </w:r>
    </w:p>
    <w:p>
      <w:pPr>
        <w:pStyle w:val="Normal"/>
        <w:ind w:firstLine="708"/>
        <w:rPr/>
      </w:pPr>
      <w:r>
        <w:rPr/>
        <w:t>W przypadku modeli korzystających z wag wstępnie wytrenowanych, za wyjątkiem autorskiej architektury sieci splotowej, zdecydowano się na pełne dostrajanie parametrów całej sieci bez blokowania poszczególnych warstw. Takie podejście było uzasadnione relatywnie niewielką liczbą przewidzianych epok treningowych, co pozwoliło na lepsze dopasowanie filtrów do specyfiki obrazów medycznych przy zachowaniu stabilności procesu uczenia.</w:t>
      </w:r>
    </w:p>
    <w:p>
      <w:pPr>
        <w:pStyle w:val="Heading2"/>
        <w:numPr>
          <w:ilvl w:val="0"/>
          <w:numId w:val="0"/>
        </w:numPr>
        <w:ind w:hanging="0" w:start="0"/>
        <w:rPr/>
      </w:pPr>
      <w:bookmarkStart w:id="46" w:name="_Toc228645096"/>
      <w:r>
        <w:rPr/>
        <w:t>2.5 Architektura własnego modelu CNN</w:t>
      </w:r>
      <w:bookmarkEnd w:id="46"/>
    </w:p>
    <w:p>
      <w:pPr>
        <w:pStyle w:val="Normal"/>
        <w:widowControl w:val="false"/>
        <w:rPr/>
      </w:pPr>
      <w:r>
        <w:rPr/>
        <w:t>W ramach przeprowadzonych badań opracowano autorską architekturę sieci splotowej, która została zaprojektowana jako dedykowane rozwiązanie dla analizowanego problemu klasyfikacji zmian skórnych. Głównym założeniem przy tworzeniu tego modelu było</w:t>
      </w:r>
    </w:p>
    <w:p>
      <w:pPr>
        <w:pStyle w:val="Normal"/>
        <w:widowControl w:val="false"/>
        <w:ind w:hanging="0"/>
        <w:rPr/>
      </w:pPr>
      <w:r>
        <w:rPr/>
        <w:t>przygotowanie stabilnej struktury uczonej od podstaw, bez wykorzystywania wag pochodzących z zewnętrznych zbiorów danych. Takie podejście pozwoliło na wyznaczenie obiektywnego punktu odniesienia dla pozostałych modeli bazujących na metodzie transferu wiedzy.</w:t>
      </w:r>
    </w:p>
    <w:p>
      <w:pPr>
        <w:pStyle w:val="Normal"/>
        <w:jc w:val="start"/>
        <w:rPr/>
      </w:pPr>
      <w:r>
        <w:rPr/>
      </w:r>
    </w:p>
    <w:p>
      <w:pPr>
        <w:pStyle w:val="Normal"/>
        <w:rPr/>
      </w:pPr>
      <w:r>
        <w:rPr/>
        <w:t>Struktura zaproponowanej sieci składa się z czterech bloków splotowych ułożonych sekwencyjnie. Każdy z tych bloków zawiera dwuwymiarową warstwę konwolucyjną, po której następuje operacja normalizacji wsadowej. Ma ona na celu przyspieszenie procesu zbieżności oraz stabilizację uczenia. Bezpośrednio po niej zastosowano funkcję aktywacji typu ReLU oraz warstwę podpróbkowania realizującą operację maksymalnego łączenia w oknie 2 na 2. Liczba filtrów w kolejnych segmentach sieci wzrasta w postępie geometrycznym, przyjmując wartości 32, 64, 128 oraz 256.</w:t>
      </w:r>
    </w:p>
    <w:p>
      <w:pPr>
        <w:pStyle w:val="Normal"/>
        <w:jc w:val="start"/>
        <w:rPr/>
      </w:pPr>
      <w:r>
        <w:rPr/>
      </w:r>
    </w:p>
    <w:p>
      <w:pPr>
        <w:pStyle w:val="Normal"/>
        <w:rPr/>
      </w:pPr>
      <w:r>
        <w:rPr/>
        <w:t>Po ostatnim bloku splotowym wprowadzono warstwę globalnego uśredniania cech, która zastępuje tradycyjne spłaszczanie wielowymiarowych map cech do postaci wektora. Rozwiązanie to pozwala na efektywną redukcję liczby parametrów modelu przy jednoczesnym zachowaniu kluczowych informacji przestrzennych. Końcowy etap architektury stanowią dwie warstwy w pełni połączone. Pierwsza z nich redukuje wymiarowość do pięciuset dwunastu neuronów, a w procesie tym wykorzystano technikę porzucania neuronów z prawdopodobieństwem wynoszącym pięćdziesiąt procent. Zabieg ten jest kluczowy dla ograniczenia ryzyka nadmiernego dopasowania modelu do danych treningowych. Ostatnia warstwa sieci realizuje finalną klasyfikację do 14 zdefiniowanych kategorii chorobowych.</w:t>
      </w:r>
    </w:p>
    <w:p>
      <w:pPr>
        <w:pStyle w:val="Normal"/>
        <w:jc w:val="start"/>
        <w:rPr/>
      </w:pPr>
      <w:r>
        <w:rPr/>
      </w:r>
    </w:p>
    <w:p>
      <w:pPr>
        <w:pStyle w:val="Normal"/>
        <w:ind w:firstLine="708"/>
        <w:rPr/>
      </w:pPr>
      <w:r>
        <w:rPr/>
        <w:t>Warto zaznaczyć, że uczenie sieci splotowej od podstaw na zbiorach medycznych o ograniczonej liczbie próbek jest zadaniem wymagającym. Model musi bowiem samodzielnie, bez wcześniejszego przygotowania na ogólnych zbiorach obrazów, wypracować zdolność detekcji cech na wszystkich poziomach abstrakcji, począwszy od prostych krawędzi i tekstur, aż po złożone wzorce kliniczne charakterystyczne dla konkretnych jednostek chorobowych.</w:t>
      </w:r>
    </w:p>
    <w:p>
      <w:pPr>
        <w:pStyle w:val="Normal"/>
        <w:rPr/>
      </w:pPr>
      <w:r>
        <w:rPr/>
        <w:drawing>
          <wp:inline distT="0" distB="0" distL="0" distR="0">
            <wp:extent cx="5760085" cy="6798310"/>
            <wp:effectExtent l="0" t="0" r="0" b="0"/>
            <wp:docPr id="1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29"/>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760085" cy="6798310"/>
                    </a:xfrm>
                    <a:prstGeom prst="rect">
                      <a:avLst/>
                    </a:prstGeom>
                    <a:noFill/>
                  </pic:spPr>
                </pic:pic>
              </a:graphicData>
            </a:graphic>
          </wp:inline>
        </w:drawing>
      </w:r>
    </w:p>
    <w:p>
      <w:pPr>
        <w:pStyle w:val="Normal"/>
        <w:keepNext w:val="true"/>
        <w:ind w:hanging="0"/>
        <w:rPr/>
      </w:pPr>
      <w:r>
        <w:rPr/>
      </w:r>
    </w:p>
    <w:p>
      <w:pPr>
        <w:pStyle w:val="Caption"/>
        <w:rPr/>
      </w:pPr>
      <w:bookmarkStart w:id="47" w:name="_Toc228645512"/>
      <w:r>
        <w:rPr/>
        <w:t xml:space="preserve">Rysunek </w:t>
      </w:r>
      <w:r>
        <w:rPr/>
        <w:fldChar w:fldCharType="begin"/>
      </w:r>
      <w:r>
        <w:rPr/>
        <w:instrText xml:space="preserve"> SEQ Rysunek \* ARABIC </w:instrText>
      </w:r>
      <w:r>
        <w:rPr/>
        <w:fldChar w:fldCharType="separate"/>
      </w:r>
      <w:r>
        <w:rPr/>
        <w:t>18</w:t>
      </w:r>
      <w:r>
        <w:rPr/>
        <w:fldChar w:fldCharType="end"/>
      </w:r>
      <w:r>
        <w:rPr/>
        <w:t xml:space="preserve"> CNN - architektura modelu</w:t>
      </w:r>
      <w:bookmarkEnd w:id="47"/>
    </w:p>
    <w:p>
      <w:pPr>
        <w:pStyle w:val="Heading2"/>
        <w:numPr>
          <w:ilvl w:val="0"/>
          <w:numId w:val="0"/>
        </w:numPr>
        <w:ind w:hanging="0" w:start="0"/>
        <w:rPr/>
      </w:pPr>
      <w:bookmarkStart w:id="48" w:name="_Toc228645097"/>
      <w:r>
        <w:rPr/>
        <w:t>2.6 Wizualizacja decyzji modelu za pomocą GRAD-CAM</w:t>
      </w:r>
      <w:bookmarkEnd w:id="48"/>
    </w:p>
    <w:p>
      <w:pPr>
        <w:pStyle w:val="Normal"/>
        <w:rPr/>
      </w:pPr>
      <w:r>
        <w:rPr/>
        <w:t>Ważnym aspektem oceny działania głębokich sieci neuronowych, szczególnie w zastosowaniach medycznych, jest zrozumienie procesów decyzyjnych zachodzących wewnątrz modelu. W niniejszej pracy do tego celu wykorzystano metodę Gradient-weighted</w:t>
      </w:r>
      <w:sdt>
        <w:sdtPr>
          <w:citation/>
        </w:sdtPr>
        <w:sdtContent>
          <w:r>
            <w:rPr/>
            <w:fldChar w:fldCharType="begin"/>
          </w:r>
          <w:r>
            <w:rPr/>
            <w:instrText xml:space="preserve"> CITATION Sel17 \l 1045 </w:instrText>
          </w:r>
          <w:r>
            <w:rPr/>
            <w:fldChar w:fldCharType="separate"/>
          </w:r>
          <w:r>
            <w:rPr/>
            <w:t xml:space="preserve"> [20]</w:t>
          </w:r>
          <w:r>
            <w:rPr/>
            <w:fldChar w:fldCharType="end"/>
          </w:r>
        </w:sdtContent>
      </w:sdt>
      <w:r>
        <w:rPr/>
        <w:t xml:space="preserve"> Class Activation Mapping, opracowaną</w:t>
      </w:r>
      <w:sdt>
        <w:sdtPr>
          <w:citation/>
        </w:sdtPr>
        <w:sdtContent>
          <w:r>
            <w:rPr/>
            <w:fldChar w:fldCharType="begin"/>
          </w:r>
          <w:r>
            <w:rPr/>
            <w:instrText xml:space="preserve"> CITATION Sel17 \l 1045 </w:instrText>
          </w:r>
          <w:r>
            <w:rPr/>
            <w:fldChar w:fldCharType="separate"/>
          </w:r>
          <w:r>
            <w:rPr/>
            <w:t xml:space="preserve"> [20]</w:t>
          </w:r>
          <w:r>
            <w:rPr/>
            <w:fldChar w:fldCharType="end"/>
          </w:r>
        </w:sdtContent>
      </w:sdt>
      <w:r>
        <w:rPr/>
        <w:t xml:space="preserve"> przez zespół Selvaraju. Technika ta pozwala na generowanie wizualnych map aktywacji, które wskazują konkretne obszary obrazu wejściowego mające największy wpływ na końcowy wynik klasyfikacji. Z punktu widzenia diagnostyki dermatologicznej jest to narzędzie kluczowe, ponieważ umożliwia weryfikację czy model poprawnie identyfikuje cechy kliniczne, takie jak asymetryczne granice czerniaka czy nieregularne struktury naczyniowe w raku podstawnokomórkowym. Pozwala to również wykluczyć sytuacje, w których algorytm podejmuje decyzję na podstawie artefaktów tła, do których należą włosy, odblaski żelu dermatoskopowego czy oznaczenia skali linijki.</w:t>
      </w:r>
    </w:p>
    <w:p>
      <w:pPr>
        <w:pStyle w:val="Normal"/>
        <w:jc w:val="start"/>
        <w:rPr/>
      </w:pPr>
      <w:r>
        <w:rPr/>
      </w:r>
    </w:p>
    <w:p>
      <w:pPr>
        <w:pStyle w:val="Normal"/>
        <w:rPr/>
      </w:pPr>
      <w:r>
        <w:rPr/>
        <w:t>Działanie algorytmu opiera się na analizie przepływu gradientów klasy docelowej do ostatniej warstwy konwolucyjnej sieci. W pierwszym etapie obliczane jest globalne uśrednienie gradientów względem map aktywacji tej warstwy, co pozwala na wyznaczenie współczynników wagowych dla każdego kanału. Wagi te reprezentują relatywne znaczenie poszczególnych cech dla rozpoznania konkretnej jednostki chorobowej. Następnie wykonywana jest sumacja ważona map aktywacji, a uzyskany wynik poddawany jest funkcji prostowniczej, która eliminuje wartości ujemne, pozostawiając jedynie te obszary, które pozytywnie korelują z wybraną klasą. Ostateczna mapa cieplna jest nakładana na oryginalne zdjęcie, tworząc czytelną dla człowieka interpretację obszarów zainteresowania modelu.</w:t>
      </w:r>
    </w:p>
    <w:p>
      <w:pPr>
        <w:pStyle w:val="Normal"/>
        <w:ind w:hanging="0"/>
        <w:rPr/>
      </w:pPr>
      <w:r>
        <w:rPr/>
      </w:r>
    </w:p>
    <w:p>
      <w:pPr>
        <w:pStyle w:val="Normal"/>
        <w:ind w:hanging="0"/>
        <w:rPr/>
      </w:pPr>
      <w:r>
        <w:rPr/>
        <w:t>Matematyczny opis powyższej procedury przedstawiają poniższe zależności:</w:t>
      </w:r>
    </w:p>
    <w:p>
      <w:pPr>
        <w:pStyle w:val="Normal"/>
        <w:ind w:hanging="0"/>
        <w:rPr/>
      </w:pPr>
      <w:r>
        <w:rPr/>
      </w:r>
    </w:p>
    <w:p>
      <w:pPr>
        <w:pStyle w:val="Caption"/>
        <w:rPr/>
      </w:pPr>
      <w:r>
        <w:rPr/>
        <w:t xml:space="preserve">Równanie </w:t>
      </w:r>
      <w:r>
        <w:rPr/>
        <w:fldChar w:fldCharType="begin"/>
      </w:r>
      <w:r>
        <w:rPr/>
        <w:instrText xml:space="preserve"> SEQ Równanie \* ARABIC </w:instrText>
      </w:r>
      <w:r>
        <w:rPr/>
        <w:fldChar w:fldCharType="separate"/>
      </w:r>
      <w:r>
        <w:rPr/>
        <w:t>1</w:t>
      </w:r>
      <w:r>
        <w:rPr/>
        <w:fldChar w:fldCharType="end"/>
      </w:r>
      <w:r>
        <w:rPr/>
        <w:t xml:space="preserve"> Współczynnik ważenia mapy cech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α</m:t>
              </m:r>
            </m:e>
            <m:sub>
              <m:r>
                <m:t xml:space="preserve">k</m:t>
              </m:r>
            </m:sub>
            <m:sup>
              <m:r>
                <m:t xml:space="preserve">c</m:t>
              </m:r>
            </m:sup>
          </m:sSubSup>
          <m:r>
            <m:rPr>
              <m:lit/>
              <m:nor/>
            </m:rPr>
            <m:t xml:space="preserve">=</m:t>
          </m:r>
          <m:f>
            <m:num>
              <m:r>
                <m:t xml:space="preserve">1</m:t>
              </m:r>
            </m:num>
            <m:den>
              <m:r>
                <m:t xml:space="preserve">Z</m:t>
              </m:r>
            </m:den>
          </m:f>
          <m:nary>
            <m:naryPr>
              <m:chr m:val="∑"/>
              <m:supHide m:val="1"/>
            </m:naryPr>
            <m:sub>
              <m:r>
                <m:t xml:space="preserve">i</m:t>
              </m:r>
            </m:sub>
            <m:sup/>
            <m:e>
              <m:nary>
                <m:naryPr>
                  <m:chr m:val="∑"/>
                  <m:supHide m:val="1"/>
                </m:naryPr>
                <m:sub>
                  <m:r>
                    <m:t xml:space="preserve">j</m:t>
                  </m:r>
                </m:sub>
                <m:sup/>
                <m:e>
                  <m:f>
                    <m:num>
                      <m:r>
                        <m:t xml:space="preserve">∂</m:t>
                      </m:r>
                      <m:sSup>
                        <m:e>
                          <m:r>
                            <m:t xml:space="preserve">y</m:t>
                          </m:r>
                        </m:e>
                        <m:sup>
                          <m:r>
                            <m:t xml:space="preserve">c</m:t>
                          </m:r>
                        </m:sup>
                      </m:sSup>
                    </m:num>
                    <m:den>
                      <m:r>
                        <m:t xml:space="preserve">∂</m:t>
                      </m:r>
                      <m:sSubSup>
                        <m:e>
                          <m:r>
                            <m:t xml:space="preserve">A</m:t>
                          </m:r>
                        </m:e>
                        <m:sub>
                          <m:d>
                            <m:dPr>
                              <m:begChr m:val="{"/>
                              <m:endChr m:val="}"/>
                            </m:dPr>
                            <m:e>
                              <m:r>
                                <m:t xml:space="preserve">ij</m:t>
                              </m:r>
                            </m:e>
                          </m:d>
                        </m:sub>
                        <m:sup>
                          <m:r>
                            <m:t xml:space="preserve">k</m:t>
                          </m:r>
                        </m:sup>
                      </m:sSubSup>
                    </m:den>
                  </m:f>
                </m:e>
              </m:nary>
            </m:e>
          </m:nary>
        </m:oMath>
      </m:oMathPara>
    </w:p>
    <w:p>
      <w:pPr>
        <w:pStyle w:val="Caption"/>
        <w:rPr/>
      </w:pPr>
      <w:r>
        <w:rPr/>
        <w:t xml:space="preserve">Równanie </w:t>
      </w:r>
      <w:r>
        <w:rPr/>
        <w:fldChar w:fldCharType="begin"/>
      </w:r>
      <w:r>
        <w:rPr/>
        <w:instrText xml:space="preserve"> SEQ Równanie \* ARABIC </w:instrText>
      </w:r>
      <w:r>
        <w:rPr/>
        <w:fldChar w:fldCharType="separate"/>
      </w:r>
      <w:r>
        <w:rPr/>
        <w:t>2</w:t>
      </w:r>
      <w:r>
        <w:rPr/>
        <w:fldChar w:fldCharType="end"/>
      </w:r>
      <w:r>
        <w:rPr/>
        <w:t xml:space="preserve"> Mapa aktywacji klasy w metodzie Grad-CAM</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L</m:t>
              </m:r>
            </m:e>
            <m:sub>
              <m:d>
                <m:dPr>
                  <m:begChr m:val="{"/>
                  <m:endChr m:val="}"/>
                </m:dPr>
                <m:e>
                  <m:r>
                    <m:t xml:space="preserve">Grad</m:t>
                  </m:r>
                  <m:r>
                    <m:rPr>
                      <m:lit/>
                      <m:nor/>
                    </m:rPr>
                    <m:t xml:space="preserve">-</m:t>
                  </m:r>
                  <m:r>
                    <m:t xml:space="preserve">CAM</m:t>
                  </m:r>
                </m:e>
              </m:d>
            </m:sub>
            <m:sup>
              <m:r>
                <m:t xml:space="preserve">c</m:t>
              </m:r>
            </m:sup>
          </m:sSubSup>
          <m:r>
            <m:rPr>
              <m:lit/>
              <m:nor/>
            </m:rPr>
            <m:t xml:space="preserve">=</m:t>
          </m:r>
          <m:r>
            <m:t xml:space="preserve">ReLU</m:t>
          </m:r>
          <m:d>
            <m:dPr>
              <m:begChr m:val="("/>
              <m:endChr m:val=")"/>
            </m:dPr>
            <m:e>
              <m:nary>
                <m:naryPr>
                  <m:chr m:val="∑"/>
                  <m:supHide m:val="1"/>
                </m:naryPr>
                <m:sub>
                  <m:r>
                    <m:t xml:space="preserve">k</m:t>
                  </m:r>
                </m:sub>
                <m:sup/>
                <m:e>
                  <m:sSubSup>
                    <m:e>
                      <m:r>
                        <m:t xml:space="preserve">α</m:t>
                      </m:r>
                    </m:e>
                    <m:sub>
                      <m:r>
                        <m:t xml:space="preserve">k</m:t>
                      </m:r>
                    </m:sub>
                    <m:sup>
                      <m:r>
                        <m:t xml:space="preserve">c</m:t>
                      </m:r>
                    </m:sup>
                  </m:sSubSup>
                  <m:sSup>
                    <m:e>
                      <m:r>
                        <m:t xml:space="preserve">A</m:t>
                      </m:r>
                    </m:e>
                    <m:sup>
                      <m:r>
                        <m:t xml:space="preserve">k</m:t>
                      </m:r>
                    </m:sup>
                  </m:sSup>
                </m:e>
              </m:nary>
            </m:e>
          </m:d>
        </m:oMath>
      </m:oMathPara>
    </w:p>
    <w:p>
      <w:pPr>
        <w:pStyle w:val="Normal"/>
        <w:ind w:hanging="0"/>
        <w:rPr/>
      </w:pPr>
      <w:r>
        <w:rPr/>
        <w:t>W powyższych równaniach przyjęto następujące oznaczenia zmiennych:</w:t>
      </w:r>
    </w:p>
    <w:p>
      <w:pPr>
        <w:pStyle w:val="ListParagraph"/>
        <w:numPr>
          <w:ilvl w:val="0"/>
          <w:numId w:val="14"/>
        </w:numPr>
        <w:rPr>
          <w:rFonts w:eastAsia="游明朝" w:eastAsiaTheme="minorEastAsia"/>
        </w:rPr>
      </w:pPr>
      <w:r>
        <w:rPr/>
      </w:r>
      <m:oMath xmlns:m="http://schemas.openxmlformats.org/officeDocument/2006/math">
        <m:sSup>
          <m:e>
            <m:r>
              <m:t xml:space="preserve">y</m:t>
            </m:r>
          </m:e>
          <m:sup>
            <m:r>
              <m:t xml:space="preserve">c</m:t>
            </m:r>
          </m:sup>
        </m:sSup>
      </m:oMath>
      <w:r>
        <w:rPr>
          <w:rFonts w:eastAsia="游明朝" w:eastAsiaTheme="minorEastAsia"/>
        </w:rPr>
        <w:t xml:space="preserve"> </w:t>
      </w:r>
      <w:r>
        <w:rPr>
          <w:rFonts w:eastAsia="游明朝" w:eastAsiaTheme="minorEastAsia"/>
        </w:rPr>
        <w:t xml:space="preserve">oznacza wynik surowy (logit) uzyskany przez sieć dla analizowanej klasy </w:t>
      </w:r>
      <w:r>
        <w:rPr/>
      </w:r>
      <m:oMath xmlns:m="http://schemas.openxmlformats.org/officeDocument/2006/math">
        <m:r>
          <m:t xml:space="preserve">c</m:t>
        </m:r>
      </m:oMath>
    </w:p>
    <w:p>
      <w:pPr>
        <w:pStyle w:val="ListParagraph"/>
        <w:numPr>
          <w:ilvl w:val="0"/>
          <w:numId w:val="14"/>
        </w:numPr>
        <w:rPr>
          <w:rFonts w:eastAsia="游明朝" w:eastAsiaTheme="minorEastAsia"/>
        </w:rPr>
      </w:pPr>
      <w:r>
        <w:rPr/>
      </w:r>
      <m:oMath xmlns:m="http://schemas.openxmlformats.org/officeDocument/2006/math">
        <m:sSup>
          <m:e>
            <m:r>
              <m:t xml:space="preserve">A</m:t>
            </m:r>
          </m:e>
          <m:sup>
            <m:r>
              <m:t xml:space="preserve">k</m:t>
            </m:r>
          </m:sup>
        </m:sSup>
      </m:oMath>
      <w:r>
        <w:rPr>
          <w:rFonts w:eastAsia="游明朝" w:eastAsiaTheme="minorEastAsia"/>
        </w:rPr>
        <w:t xml:space="preserve">  </w:t>
      </w:r>
      <w:r>
        <w:rPr>
          <w:rFonts w:eastAsia="游明朝" w:eastAsiaTheme="minorEastAsia"/>
        </w:rPr>
        <w:t>reprezentuje aktywację k-tej mapy cech w ostatniej warstwie splotowej.</w:t>
      </w:r>
    </w:p>
    <w:p>
      <w:pPr>
        <w:pStyle w:val="ListParagraph"/>
        <w:numPr>
          <w:ilvl w:val="0"/>
          <w:numId w:val="14"/>
        </w:numPr>
        <w:rPr>
          <w:rFonts w:eastAsia="游明朝" w:eastAsiaTheme="minorEastAsia"/>
        </w:rPr>
      </w:pPr>
      <w:r>
        <w:rPr/>
      </w:r>
      <m:oMath xmlns:m="http://schemas.openxmlformats.org/officeDocument/2006/math">
        <m:r>
          <m:t xml:space="preserve">i</m:t>
        </m:r>
      </m:oMath>
      <w:r>
        <w:rPr>
          <w:rFonts w:eastAsia="游明朝" w:eastAsiaTheme="minorEastAsia"/>
        </w:rPr>
        <w:t xml:space="preserve"> </w:t>
      </w:r>
      <w:r>
        <w:rPr>
          <w:rFonts w:eastAsia="游明朝" w:eastAsiaTheme="minorEastAsia"/>
        </w:rPr>
        <w:t xml:space="preserve">oraz </w:t>
      </w:r>
      <w:r>
        <w:rPr/>
      </w:r>
      <m:oMath xmlns:m="http://schemas.openxmlformats.org/officeDocument/2006/math">
        <m:r>
          <m:t xml:space="preserve">j</m:t>
        </m:r>
      </m:oMath>
      <w:r>
        <w:rPr>
          <w:rFonts w:eastAsia="游明朝" w:eastAsiaTheme="minorEastAsia"/>
        </w:rPr>
        <w:t xml:space="preserve">  to współrzędne przestrzenne pikseli w obrębie mapy cech.</w:t>
      </w:r>
    </w:p>
    <w:p>
      <w:pPr>
        <w:pStyle w:val="ListParagraph"/>
        <w:numPr>
          <w:ilvl w:val="0"/>
          <w:numId w:val="14"/>
        </w:numPr>
        <w:rPr>
          <w:rFonts w:eastAsia="游明朝" w:eastAsiaTheme="minorEastAsia"/>
        </w:rPr>
      </w:pPr>
      <w:r>
        <w:rPr/>
      </w:r>
      <m:oMath xmlns:m="http://schemas.openxmlformats.org/officeDocument/2006/math">
        <m:r>
          <m:t xml:space="preserve">Z</m:t>
        </m:r>
      </m:oMath>
      <w:r>
        <w:rPr>
          <w:rFonts w:eastAsia="游明朝" w:eastAsiaTheme="minorEastAsia"/>
        </w:rPr>
        <w:t xml:space="preserve"> </w:t>
      </w:r>
      <w:r>
        <w:rPr>
          <w:rFonts w:eastAsia="游明朝" w:eastAsiaTheme="minorEastAsia"/>
        </w:rPr>
        <w:t>określa całkowitą liczbę pikseli w mapie aktywacji, co wynika z operacji uśredniania.</w:t>
      </w:r>
    </w:p>
    <w:p>
      <w:pPr>
        <w:pStyle w:val="ListParagraph"/>
        <w:numPr>
          <w:ilvl w:val="0"/>
          <w:numId w:val="14"/>
        </w:numPr>
        <w:rPr>
          <w:rFonts w:eastAsia="游明朝" w:eastAsiaTheme="minorEastAsia"/>
        </w:rPr>
      </w:pPr>
      <w:r>
        <w:rPr/>
      </w:r>
      <m:oMath xmlns:m="http://schemas.openxmlformats.org/officeDocument/2006/math">
        <m:sSubSup>
          <m:e>
            <m:r>
              <m:t xml:space="preserve">α</m:t>
            </m:r>
          </m:e>
          <m:sub>
            <m:r>
              <m:t xml:space="preserve">k</m:t>
            </m:r>
          </m:sub>
          <m:sup>
            <m:r>
              <m:t xml:space="preserve">c</m:t>
            </m:r>
          </m:sup>
        </m:sSubSup>
      </m:oMath>
      <w:r>
        <w:rPr>
          <w:rFonts w:eastAsia="游明朝" w:eastAsiaTheme="minorEastAsia"/>
        </w:rPr>
        <w:t xml:space="preserve"> </w:t>
      </w:r>
      <w:r>
        <w:rPr>
          <w:rFonts w:eastAsia="游明朝" w:eastAsiaTheme="minorEastAsia"/>
        </w:rPr>
        <w:t xml:space="preserve">stanowi wagę przypisaną k-tej mapie cech dla klasy </w:t>
      </w:r>
      <w:r>
        <w:rPr/>
      </w:r>
      <m:oMath xmlns:m="http://schemas.openxmlformats.org/officeDocument/2006/math">
        <m:r>
          <m:t xml:space="preserve">c</m:t>
        </m:r>
      </m:oMath>
      <w:r>
        <w:rPr>
          <w:rFonts w:eastAsia="游明朝" w:eastAsiaTheme="minorEastAsia"/>
        </w:rPr>
        <w:t>, określającą jej istotność.</w:t>
      </w:r>
    </w:p>
    <w:p>
      <w:pPr>
        <w:pStyle w:val="Normal"/>
        <w:keepNext w:val="true"/>
        <w:ind w:hanging="0" w:start="360"/>
        <w:rPr/>
      </w:pPr>
      <w:r>
        <w:rPr/>
      </w:r>
      <m:oMath xmlns:m="http://schemas.openxmlformats.org/officeDocument/2006/math">
        <m:r>
          <m:t xml:space="preserve">ReLU</m:t>
        </m:r>
      </m:oMath>
      <w:r>
        <w:rPr>
          <w:rFonts w:eastAsia="游明朝" w:ascii="Cambria Math" w:hAnsi="Cambria Math" w:eastAsiaTheme="minorEastAsia"/>
          <w:i/>
        </w:rPr>
        <w:t xml:space="preserve"> </w:t>
      </w:r>
      <w:r>
        <w:rPr>
          <w:rFonts w:eastAsia="游明朝" w:ascii="Cambria Math" w:hAnsi="Cambria Math" w:eastAsiaTheme="minorEastAsia"/>
          <w:iCs/>
        </w:rPr>
        <w:t>to funkcja aktywacji odcinająca wartości mniejsze od zera, co pozwala na uwzględnienie wyłącznie cech wspierających decyzję o przynależności do danej klasy.</w:t>
      </w:r>
      <w:r>
        <w:rPr/>
        <w:t xml:space="preserve"> </w:t>
      </w:r>
    </w:p>
    <w:p>
      <w:pPr>
        <w:pStyle w:val="Caption"/>
        <w:rPr/>
      </w:pPr>
      <w:r>
        <w:rPr/>
        <w:drawing>
          <wp:inline distT="0" distB="0" distL="0" distR="0">
            <wp:extent cx="5760720" cy="2373630"/>
            <wp:effectExtent l="0" t="0" r="0" b="0"/>
            <wp:docPr id="20"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30"/>
                    <pic:cNvPicPr>
                      <a:picLocks noChangeAspect="1" noChangeArrowheads="1"/>
                    </pic:cNvPicPr>
                  </pic:nvPicPr>
                  <pic:blipFill>
                    <a:blip r:embed="rId22"/>
                    <a:stretch>
                      <a:fillRect/>
                    </a:stretch>
                  </pic:blipFill>
                  <pic:spPr bwMode="auto">
                    <a:xfrm>
                      <a:off x="0" y="0"/>
                      <a:ext cx="5760720" cy="2373630"/>
                    </a:xfrm>
                    <a:prstGeom prst="rect">
                      <a:avLst/>
                    </a:prstGeom>
                    <a:noFill/>
                  </pic:spPr>
                </pic:pic>
              </a:graphicData>
            </a:graphic>
          </wp:inline>
        </w:drawing>
      </w:r>
    </w:p>
    <w:p>
      <w:pPr>
        <w:pStyle w:val="Caption"/>
        <w:rPr/>
      </w:pPr>
      <w:bookmarkStart w:id="49" w:name="_Toc228645513"/>
      <w:r>
        <w:rPr/>
        <w:t xml:space="preserve">Rysunek </w:t>
      </w:r>
      <w:r>
        <w:rPr/>
        <w:fldChar w:fldCharType="begin"/>
      </w:r>
      <w:r>
        <w:rPr/>
        <w:instrText xml:space="preserve"> SEQ Rysunek \* ARABIC </w:instrText>
      </w:r>
      <w:r>
        <w:rPr/>
        <w:fldChar w:fldCharType="separate"/>
      </w:r>
      <w:r>
        <w:rPr/>
        <w:t>19</w:t>
      </w:r>
      <w:r>
        <w:rPr/>
        <w:fldChar w:fldCharType="end"/>
      </w:r>
      <w:r>
        <w:rPr/>
        <w:t xml:space="preserve"> Z lewej strony oryginalne zdjęcie pacjenta z Krowianką, po lewej GRAD-CAM modelu mobilNetV3, pokazujący, gdzie skupił największą uwagę podczas oceny.</w:t>
      </w:r>
      <w:bookmarkEnd w:id="49"/>
    </w:p>
    <w:p>
      <w:pPr>
        <w:pStyle w:val="Caption"/>
        <w:rPr/>
      </w:pPr>
      <w:bookmarkStart w:id="50" w:name="_Toc137420675"/>
      <w:r>
        <w:rPr/>
        <w:t xml:space="preserve"> </w:t>
      </w:r>
      <w:bookmarkEnd w:id="25"/>
      <w:bookmarkEnd w:id="50"/>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2"/>
        </w:numPr>
        <w:spacing w:before="0" w:after="840"/>
        <w:ind w:hanging="851" w:start="851"/>
        <w:rPr/>
      </w:pPr>
      <w:bookmarkStart w:id="51" w:name="_Toc228645098"/>
      <w:r>
        <w:rPr/>
        <w:t>Implementacja</w:t>
      </w:r>
      <w:bookmarkEnd w:id="51"/>
    </w:p>
    <w:p>
      <w:pPr>
        <w:pStyle w:val="Normal"/>
        <w:rPr/>
      </w:pPr>
      <w:r>
        <w:rPr/>
        <w:t>Niniejszy rozdział stanowi szczegółowy opis procesu praktycznej realizacji założeń projektowych przedstawionych w poprzedniej części pracy. Głównym celem etapu implementacji było stworzenie spójnego ekosystemu informatycznego, który łączy zaawansowane metody analizy obrazu z przystępnym i responsywnym interfejsem użytkownika.</w:t>
      </w:r>
    </w:p>
    <w:p>
      <w:pPr>
        <w:pStyle w:val="Normal"/>
        <w:ind w:hanging="0"/>
        <w:jc w:val="start"/>
        <w:rPr/>
      </w:pPr>
      <w:r>
        <w:rPr/>
        <w:t>Proces budowy systemu został podzielony na trzy kluczowe obszary:</w:t>
      </w:r>
    </w:p>
    <w:p>
      <w:pPr>
        <w:pStyle w:val="ListParagraph"/>
        <w:numPr>
          <w:ilvl w:val="0"/>
          <w:numId w:val="16"/>
        </w:numPr>
        <w:rPr/>
      </w:pPr>
      <w:r>
        <w:rPr/>
        <w:t>Moduł analityczny: Obejmujący definicję architektur sieciowych w środowisku PyTorch, proces ich douczania oraz implementację algorytmów wyjaśnialności (Grad-CAM).</w:t>
      </w:r>
    </w:p>
    <w:p>
      <w:pPr>
        <w:pStyle w:val="ListParagraph"/>
        <w:numPr>
          <w:ilvl w:val="0"/>
          <w:numId w:val="16"/>
        </w:numPr>
        <w:rPr/>
      </w:pPr>
      <w:r>
        <w:rPr/>
        <w:t>Warstwa serwerowa (Backend): Zrealizowana w frameworku FastAPI, pełniąca rolę pośrednika między modelami matematycznymi a aplikacją końcową.</w:t>
      </w:r>
    </w:p>
    <w:p>
      <w:pPr>
        <w:pStyle w:val="ListParagraph"/>
        <w:numPr>
          <w:ilvl w:val="0"/>
          <w:numId w:val="16"/>
        </w:numPr>
        <w:rPr/>
      </w:pPr>
      <w:r>
        <w:rPr/>
        <w:t>Warstwa prezentacji (Frontend): Stworzona w technologii React, umożliwiająca interakcję z systemem, obsługę aparatu oraz wizualizację wyników diagnostycznych.</w:t>
      </w:r>
    </w:p>
    <w:p>
      <w:pPr>
        <w:pStyle w:val="Normal"/>
        <w:rPr/>
      </w:pPr>
      <w:r>
        <w:rPr/>
        <w:t>W dalszej części rozdziału szczegółowo omówiono strukturę kodu źródłowego, sposób integracji poszczególnych komponentów oraz techniczne rozwiązania problemów napotkanych podczas programowania, takich jak optymalizacja czasu odpowiedzi API czy obsługa strumienia wideo w przeglądarce. Całość prac została przeprowadzona zgodnie z zasadami czystego kodu oraz wzorcami projektowymi, co zapewnia łatwą rozbudowę systemu w przyszłości.</w:t>
      </w:r>
    </w:p>
    <w:p>
      <w:pPr>
        <w:pStyle w:val="Heading2"/>
        <w:numPr>
          <w:ilvl w:val="1"/>
          <w:numId w:val="8"/>
        </w:numPr>
        <w:rPr/>
      </w:pPr>
      <w:bookmarkStart w:id="52" w:name="_Toc137420687"/>
      <w:bookmarkStart w:id="53" w:name="_Toc228645099"/>
      <w:r>
        <w:rPr/>
        <w:t>Struktura projektu i modułowość</w:t>
      </w:r>
      <w:bookmarkEnd w:id="53"/>
    </w:p>
    <w:p>
      <w:pPr>
        <w:pStyle w:val="Normal"/>
        <w:ind w:firstLine="708"/>
        <w:rPr/>
      </w:pPr>
      <w:r>
        <w:rPr/>
        <w:t>Architektura systemu została zaprojektowana w sposób modułowy, co pozwala na wyraźne rozdzielenie odpowiedzialności poszczególnych komponentów oraz zapewnia elastyczność w dalszym rozwoju aplikacji. Całość opiera się na trójwarstwowym modelu obejmującym warstwę analityczną, warstwę serwerową oraz warstwę prezentacji, które współpracują ze sobą w ramach jednolitego procesu diagnostycznego.</w:t>
      </w:r>
    </w:p>
    <w:p>
      <w:pPr>
        <w:pStyle w:val="Normal"/>
        <w:ind w:hanging="0"/>
        <w:rPr/>
      </w:pPr>
      <w:r>
        <w:rPr/>
        <w:br/>
      </w:r>
    </w:p>
    <w:p>
      <w:pPr>
        <w:pStyle w:val="Normal"/>
        <w:ind w:firstLine="708"/>
        <w:rPr/>
      </w:pPr>
      <w:r>
        <w:rPr/>
        <w:t>System przetwarza dane obrazowe w sposób sekwencyjny, rozpoczynając od ich analizy przez modele uczenia maszynowego, następnie przekazując wyniki przez warstwę backendową, aż do ich prezentacji użytkownikowi końcowemu w interfejsie graficznym. Takie podejście umożliwia zarówno skalowalność, jak i łatwiejsze utrzymanie oraz rozwój poszczególnych komponentów.</w:t>
      </w:r>
    </w:p>
    <w:p>
      <w:pPr>
        <w:pStyle w:val="Heading3"/>
        <w:numPr>
          <w:ilvl w:val="2"/>
          <w:numId w:val="8"/>
        </w:numPr>
        <w:rPr/>
      </w:pPr>
      <w:bookmarkStart w:id="54" w:name="_Toc228645100"/>
      <w:r>
        <w:rPr/>
        <w:t>Środowisko treningowe</w:t>
      </w:r>
      <w:bookmarkEnd w:id="54"/>
    </w:p>
    <w:p>
      <w:pPr>
        <w:pStyle w:val="Normal"/>
        <w:ind w:hanging="0"/>
        <w:rPr/>
      </w:pPr>
      <w:r>
        <w:rPr/>
        <w:t>Proces badawczy i treningowy został odizolowany od głównej aplikacji. Wykorzystanie środowiska Kaggle pozwoliło na:</w:t>
      </w:r>
    </w:p>
    <w:p>
      <w:pPr>
        <w:pStyle w:val="ListParagraph"/>
        <w:numPr>
          <w:ilvl w:val="0"/>
          <w:numId w:val="17"/>
        </w:numPr>
        <w:rPr/>
      </w:pPr>
      <w:r>
        <w:rPr/>
        <w:t>Przeprowadzenie czyszczenia i augmentacji danych w izolowanym kontenerze.</w:t>
      </w:r>
    </w:p>
    <w:p>
      <w:pPr>
        <w:pStyle w:val="ListParagraph"/>
        <w:numPr>
          <w:ilvl w:val="0"/>
          <w:numId w:val="17"/>
        </w:numPr>
        <w:rPr/>
      </w:pPr>
      <w:r>
        <w:rPr/>
        <w:t>Wykorzystanie akceleracji GPU do trenowania pięciu różnych architektur sieciowych.</w:t>
      </w:r>
    </w:p>
    <w:p>
      <w:pPr>
        <w:pStyle w:val="ListParagraph"/>
        <w:numPr>
          <w:ilvl w:val="0"/>
          <w:numId w:val="17"/>
        </w:numPr>
        <w:rPr/>
      </w:pPr>
      <w:r>
        <w:rPr/>
        <w:t>Eksport wytrenowanych wag modeli do formatu „.pth”, które następnie zostały zaimplementowane w warstwie produkcyjnej backendu.</w:t>
      </w:r>
    </w:p>
    <w:p>
      <w:pPr>
        <w:pStyle w:val="Heading3"/>
        <w:numPr>
          <w:ilvl w:val="2"/>
          <w:numId w:val="8"/>
        </w:numPr>
        <w:rPr/>
      </w:pPr>
      <w:bookmarkStart w:id="55" w:name="_Toc228645101"/>
      <w:r>
        <w:rPr/>
        <w:t>Architektura warstwy serwerowej</w:t>
      </w:r>
      <w:bookmarkEnd w:id="55"/>
    </w:p>
    <w:p>
      <w:pPr>
        <w:pStyle w:val="Normal"/>
        <w:ind w:hanging="0"/>
        <w:rPr/>
      </w:pPr>
      <w:r>
        <w:rPr/>
        <w:t>Backend aplikacji został ustrukturyzowany w sposób modularny, co odzwierciedla struktura plików i folderów. Zastosowano podział na logiczne pakiety, co minimalizuje powiązania między modułami:</w:t>
      </w:r>
    </w:p>
    <w:p>
      <w:pPr>
        <w:pStyle w:val="ListParagraph"/>
        <w:numPr>
          <w:ilvl w:val="0"/>
          <w:numId w:val="18"/>
        </w:numPr>
        <w:rPr/>
      </w:pPr>
      <w:r>
        <w:rPr/>
        <w:t>api/: Zawiera definicje punktów końcowych (routes) oraz zależności (deps.py). Moduł ten odpowiada za obsługę żądań HTTP i walidację danych wejściowych.</w:t>
      </w:r>
    </w:p>
    <w:p>
      <w:pPr>
        <w:pStyle w:val="ListParagraph"/>
        <w:numPr>
          <w:ilvl w:val="0"/>
          <w:numId w:val="18"/>
        </w:numPr>
        <w:rPr/>
      </w:pPr>
      <w:r>
        <w:rPr/>
        <w:t>core/: Miejsce konfiguracji globalnej aplikacji (config.py), obsługi wyjątków oraz logowania zdarzeń. Zapewnia spójne działanie systemu niezależnie od środowiska.</w:t>
      </w:r>
    </w:p>
    <w:p>
      <w:pPr>
        <w:pStyle w:val="ListParagraph"/>
        <w:numPr>
          <w:ilvl w:val="0"/>
          <w:numId w:val="18"/>
        </w:numPr>
        <w:rPr/>
      </w:pPr>
      <w:r>
        <w:rPr/>
        <w:t>ml/: Kluczowy moduł zawierający definicje architektur sieciowych oraz logikę ładowania wag modeli. To tutaj odbywa się właściwa inferencja i generowanie map Grad-CAM.</w:t>
      </w:r>
    </w:p>
    <w:p>
      <w:pPr>
        <w:pStyle w:val="ListParagraph"/>
        <w:numPr>
          <w:ilvl w:val="0"/>
          <w:numId w:val="18"/>
        </w:numPr>
        <w:rPr/>
      </w:pPr>
      <w:r>
        <w:rPr/>
        <w:t>db/: Warstwa dostępu do danych, odpowiedzialna za komunikację z bazą SQLite (skinscanner.db). Przechowuje ona historię badań i metadane użytkowników.</w:t>
      </w:r>
    </w:p>
    <w:p>
      <w:pPr>
        <w:pStyle w:val="ListParagraph"/>
        <w:numPr>
          <w:ilvl w:val="0"/>
          <w:numId w:val="18"/>
        </w:numPr>
        <w:rPr/>
      </w:pPr>
      <w:r>
        <w:rPr/>
        <w:t>schemas/: Definicje modeli Pydantic, które zapewniają ścisłe typowanie danych przesyłanych w formacie JSON między klientem a serwerem.</w:t>
      </w:r>
    </w:p>
    <w:p>
      <w:pPr>
        <w:pStyle w:val="ListParagraph"/>
        <w:numPr>
          <w:ilvl w:val="0"/>
          <w:numId w:val="18"/>
        </w:numPr>
        <w:rPr/>
      </w:pPr>
      <w:r>
        <w:rPr/>
        <w:t>services/: Warstwa logiki biznesowej, która agreguje funkcjonalności z modułów ML i bazy danych, dostarczając gotowe dane do warstwy API.</w:t>
      </w:r>
    </w:p>
    <w:p>
      <w:pPr>
        <w:pStyle w:val="Heading3"/>
        <w:numPr>
          <w:ilvl w:val="2"/>
          <w:numId w:val="8"/>
        </w:numPr>
        <w:rPr/>
      </w:pPr>
      <w:bookmarkStart w:id="56" w:name="_Toc228645102"/>
      <w:r>
        <w:rPr/>
        <w:t>Architektura warstwy klienta</w:t>
      </w:r>
      <w:bookmarkEnd w:id="56"/>
    </w:p>
    <w:p>
      <w:pPr>
        <w:pStyle w:val="Normal"/>
        <w:ind w:hanging="0"/>
        <w:rPr/>
      </w:pPr>
      <w:r>
        <w:rPr/>
        <w:t>Frontend został zbudowany z wykorzystaniem narzędzia Vite, co zapewnia szybkie budowanie aplikacji i nowoczesne podejście do modułowości JavaScript. Struktura katalogu frontend/src opiera się na komponentach funkcyjnych:</w:t>
      </w:r>
    </w:p>
    <w:p>
      <w:pPr>
        <w:pStyle w:val="ListParagraph"/>
        <w:numPr>
          <w:ilvl w:val="0"/>
          <w:numId w:val="19"/>
        </w:numPr>
        <w:jc w:val="start"/>
        <w:rPr/>
      </w:pPr>
      <w:r>
        <w:rPr/>
        <w:t>components/: Reużywalne elementy interfejsu (np. przyciski, modale).</w:t>
      </w:r>
    </w:p>
    <w:p>
      <w:pPr>
        <w:pStyle w:val="ListParagraph"/>
        <w:numPr>
          <w:ilvl w:val="0"/>
          <w:numId w:val="19"/>
        </w:numPr>
        <w:jc w:val="start"/>
        <w:rPr/>
      </w:pPr>
      <w:r>
        <w:rPr/>
        <w:t>pages/: Główne widoki aplikacji, takie jak ekran diagnostyczny, historia badań czy schemat anatomiczny.</w:t>
      </w:r>
    </w:p>
    <w:p>
      <w:pPr>
        <w:pStyle w:val="ListParagraph"/>
        <w:numPr>
          <w:ilvl w:val="0"/>
          <w:numId w:val="19"/>
        </w:numPr>
        <w:jc w:val="start"/>
        <w:rPr/>
      </w:pPr>
      <w:r>
        <w:rPr/>
        <w:t>hooks/: Autorskie funkcje Reactowe, izolujące logikę (np. obsługę aparatu czy komunikację z API) od warstwy wizualnej.</w:t>
      </w:r>
    </w:p>
    <w:p>
      <w:pPr>
        <w:pStyle w:val="ListParagraph"/>
        <w:numPr>
          <w:ilvl w:val="0"/>
          <w:numId w:val="19"/>
        </w:numPr>
        <w:jc w:val="start"/>
        <w:rPr/>
      </w:pPr>
      <w:r>
        <w:rPr/>
        <w:t>api/: Centralny moduł obsługujący zapytania asynchroniczne do backendu, zapewniający spójną strukturę przesyłania zdjęć.</w:t>
      </w:r>
    </w:p>
    <w:p>
      <w:pPr>
        <w:pStyle w:val="ListParagraph"/>
        <w:numPr>
          <w:ilvl w:val="0"/>
          <w:numId w:val="19"/>
        </w:numPr>
        <w:jc w:val="start"/>
        <w:rPr/>
      </w:pPr>
      <w:r>
        <w:rPr/>
        <w:t>store/: Zarządzanie stanem globalnym aplikacji (wyniki ostatniego badania).</w:t>
      </w:r>
    </w:p>
    <w:p>
      <w:pPr>
        <w:pStyle w:val="ListParagraph"/>
        <w:numPr>
          <w:ilvl w:val="0"/>
          <w:numId w:val="19"/>
        </w:numPr>
        <w:jc w:val="start"/>
        <w:rPr/>
      </w:pPr>
      <w:r>
        <w:rPr/>
        <w:t>i18n/: Moduł internacjonalizacji, umożliwiający łatwą zmianę języka interfejsu.</w:t>
      </w:r>
    </w:p>
    <w:p>
      <w:pPr>
        <w:pStyle w:val="ListParagraph"/>
        <w:numPr>
          <w:ilvl w:val="0"/>
          <w:numId w:val="19"/>
        </w:numPr>
        <w:jc w:val="start"/>
        <w:rPr/>
      </w:pPr>
      <w:r>
        <w:rPr/>
        <w:t>types/: Definicje interfejsów TypeScript, które odzwierciedlają schematy z backendu, eliminując błędy niezgodności danych na etapie kompilacji.</w:t>
      </w:r>
    </w:p>
    <w:p>
      <w:pPr>
        <w:pStyle w:val="Heading3"/>
        <w:numPr>
          <w:ilvl w:val="2"/>
          <w:numId w:val="8"/>
        </w:numPr>
        <w:rPr/>
      </w:pPr>
      <w:bookmarkStart w:id="57" w:name="_Toc228645103"/>
      <w:r>
        <w:rPr/>
        <w:t>Warstwa persystencji</w:t>
      </w:r>
      <w:bookmarkEnd w:id="57"/>
    </w:p>
    <w:p>
      <w:pPr>
        <w:pStyle w:val="Normal"/>
        <w:rPr/>
      </w:pPr>
      <w:r>
        <w:rPr/>
        <w:t>Jako silnik bazy danych wybrano SQLite (</w:t>
      </w:r>
      <w:r>
        <w:rPr/>
        <w:fldChar w:fldCharType="begin"/>
      </w:r>
      <w:r>
        <w:rPr/>
        <w:instrText xml:space="preserve"> REF _Ref225790753 \h </w:instrText>
      </w:r>
      <w:r>
        <w:rPr/>
        <w:fldChar w:fldCharType="separate"/>
      </w:r>
      <w:r>
        <w:rPr/>
        <w:t>Rysunek 20</w:t>
      </w:r>
      <w:r>
        <w:rPr/>
        <w:fldChar w:fldCharType="end"/>
      </w:r>
      <w:r>
        <w:rPr/>
        <w:t>). Jest to rozwiązanie bezserwerowe, co w kontekście niniejszej pracy magisterskiej pozwala na pełną przenośność systemu bez konieczności konfiguracji zewnętrznych klastrów bazodanowych. Baza przechowuje relacje między użytkownikami, ich badaniami oraz lokalizacją zmian skórnych na modelu 3D/schemacie.</w:t>
      </w:r>
    </w:p>
    <w:p>
      <w:pPr>
        <w:pStyle w:val="Normal"/>
        <w:keepNext w:val="true"/>
        <w:jc w:val="center"/>
        <w:rPr/>
      </w:pPr>
      <w:r>
        <w:rPr/>
        <w:drawing>
          <wp:inline distT="0" distB="0" distL="0" distR="0">
            <wp:extent cx="5613400" cy="5934710"/>
            <wp:effectExtent l="0" t="0" r="0" b="0"/>
            <wp:docPr id="21"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15"/>
                    <pic:cNvPicPr>
                      <a:picLocks noChangeAspect="1" noChangeArrowheads="1"/>
                    </pic:cNvPicPr>
                  </pic:nvPicPr>
                  <pic:blipFill>
                    <a:blip r:embed="rId23"/>
                    <a:stretch>
                      <a:fillRect/>
                    </a:stretch>
                  </pic:blipFill>
                  <pic:spPr bwMode="auto">
                    <a:xfrm>
                      <a:off x="0" y="0"/>
                      <a:ext cx="5613400" cy="5934710"/>
                    </a:xfrm>
                    <a:prstGeom prst="rect">
                      <a:avLst/>
                    </a:prstGeom>
                    <a:noFill/>
                  </pic:spPr>
                </pic:pic>
              </a:graphicData>
            </a:graphic>
          </wp:inline>
        </w:drawing>
      </w:r>
    </w:p>
    <w:p>
      <w:pPr>
        <w:pStyle w:val="Caption"/>
        <w:rPr/>
      </w:pPr>
      <w:bookmarkStart w:id="58" w:name="_Toc228645514"/>
      <w:bookmarkStart w:id="59" w:name="_Ref225790746"/>
      <w:bookmarkStart w:id="60" w:name="_Ref225790753"/>
      <w:r>
        <w:rPr/>
        <w:t xml:space="preserve">Rysunek </w:t>
      </w:r>
      <w:r>
        <w:rPr/>
        <w:fldChar w:fldCharType="begin"/>
      </w:r>
      <w:r>
        <w:rPr/>
        <w:instrText xml:space="preserve"> SEQ Rysunek \* ARABIC </w:instrText>
      </w:r>
      <w:r>
        <w:rPr/>
        <w:fldChar w:fldCharType="separate"/>
      </w:r>
      <w:r>
        <w:rPr/>
        <w:t>20</w:t>
      </w:r>
      <w:r>
        <w:rPr/>
        <w:fldChar w:fldCharType="end"/>
      </w:r>
      <w:bookmarkEnd w:id="60"/>
      <w:r>
        <w:rPr/>
        <w:t xml:space="preserve"> Model bazy danych</w:t>
      </w:r>
      <w:bookmarkEnd w:id="58"/>
      <w:bookmarkEnd w:id="59"/>
    </w:p>
    <w:p>
      <w:pPr>
        <w:pStyle w:val="Heading3"/>
        <w:numPr>
          <w:ilvl w:val="2"/>
          <w:numId w:val="8"/>
        </w:numPr>
        <w:rPr/>
      </w:pPr>
      <w:bookmarkStart w:id="61" w:name="_Toc228645104"/>
      <w:r>
        <w:rPr/>
        <w:t>Użyte biblioteki</w:t>
      </w:r>
      <w:bookmarkEnd w:id="61"/>
    </w:p>
    <w:p>
      <w:pPr>
        <w:pStyle w:val="Normal"/>
        <w:ind w:hanging="0"/>
        <w:rPr/>
      </w:pPr>
      <w:r>
        <w:rPr/>
        <w:t>W celu realizacji założonych funkcjonalności systemu, wykorzystano ekosystem bibliotek języka Python oraz środowiska JavaScript, które stanowią standard w dziedzinie inżynierii oprogramowania i uczenia maszynowego.</w:t>
      </w:r>
    </w:p>
    <w:p>
      <w:pPr>
        <w:pStyle w:val="ListParagraph"/>
        <w:numPr>
          <w:ilvl w:val="0"/>
          <w:numId w:val="20"/>
        </w:numPr>
        <w:jc w:val="start"/>
        <w:rPr/>
      </w:pPr>
      <w:r>
        <w:rPr/>
        <w:t>PyTorch (torch): Główny framework wykorzystany do budowy, trenowania i inferencji modeli głębokiego uczenia. Wybór PyTorcha podyktowany był jego dynamicznym grafem obliczeniowym oraz szerokim wsparciem dla badań naukowych, co ułatwiło implementację autorskiej architektury Custom CNN.</w:t>
      </w:r>
    </w:p>
    <w:p>
      <w:pPr>
        <w:pStyle w:val="ListParagraph"/>
        <w:numPr>
          <w:ilvl w:val="0"/>
          <w:numId w:val="20"/>
        </w:numPr>
        <w:jc w:val="start"/>
        <w:rPr/>
      </w:pPr>
      <w:r>
        <w:rPr/>
        <w:t>Torchvision: Biblioteka pomocnicza dla PyTorch, która dostarczyła gotowe architektury modeli (ResNet, EfficientNet, MobileNet) oraz zaawansowane algorytmy transformacji obrazu, wykorzystane w procesie augmentacji danych.</w:t>
      </w:r>
    </w:p>
    <w:p>
      <w:pPr>
        <w:pStyle w:val="ListParagraph"/>
        <w:numPr>
          <w:ilvl w:val="0"/>
          <w:numId w:val="20"/>
        </w:numPr>
        <w:jc w:val="start"/>
        <w:rPr/>
      </w:pPr>
      <w:r>
        <w:rPr/>
        <w:t>Grad-cam: Kluczowa biblioteka z punktu widzenia medycznego aspektu pracy. Umożliwiła ona implementację mechanizmów wyjaśnialnej sztucznej inteligencji (XAI), generując mapy aktywacji, które wskazują obszary obrazu determinujące decyzję modelu.</w:t>
      </w:r>
    </w:p>
    <w:p>
      <w:pPr>
        <w:pStyle w:val="ListParagraph"/>
        <w:numPr>
          <w:ilvl w:val="0"/>
          <w:numId w:val="20"/>
        </w:numPr>
        <w:jc w:val="start"/>
        <w:rPr/>
      </w:pPr>
      <w:r>
        <w:rPr/>
        <w:t>OpenCV i Pillow: Zestaw narzędzi do niskopoziomowego przetwarzania obrazów. OpenCV wykorzystano do nakładania map ciepła na zdjęcia oryginalne oraz do obsługi strumienia wideo, natomiast Pillow posłużyło do podstawowych operacji na formatach plików graficznych.</w:t>
      </w:r>
    </w:p>
    <w:p>
      <w:pPr>
        <w:pStyle w:val="ListParagraph"/>
        <w:numPr>
          <w:ilvl w:val="0"/>
          <w:numId w:val="20"/>
        </w:numPr>
        <w:jc w:val="start"/>
        <w:rPr/>
      </w:pPr>
      <w:r>
        <w:rPr/>
        <w:t>NumPy: Biblioteka do obliczeń macierzowych, stanowiąca fundament dla wszystkich operacji na wagach sieci oraz reprezentacji obrazów w formie numerycznej.</w:t>
      </w:r>
    </w:p>
    <w:p>
      <w:pPr>
        <w:pStyle w:val="ListParagraph"/>
        <w:numPr>
          <w:ilvl w:val="0"/>
          <w:numId w:val="20"/>
        </w:numPr>
        <w:jc w:val="start"/>
        <w:rPr/>
      </w:pPr>
      <w:r>
        <w:rPr/>
        <w:t>FastAPI: Nowoczesny framework webowy wykorzystany do budowy interfejsu API. Wybrano go ze względu na natywne wsparcie dla asynchroniczności (async/await), co pozwala na wydajną obsługę żądań klasyfikacji bez blokowania zasobów serwera.</w:t>
      </w:r>
    </w:p>
    <w:p>
      <w:pPr>
        <w:pStyle w:val="ListParagraph"/>
        <w:numPr>
          <w:ilvl w:val="0"/>
          <w:numId w:val="20"/>
        </w:numPr>
        <w:jc w:val="start"/>
        <w:rPr/>
      </w:pPr>
      <w:r>
        <w:rPr/>
        <w:t>SQLAlchemy: Warstwa abstrakcji bazy danych (ORM), która umożliwiła zarządzanie bazą SQLite w sposób obiektowy. Dzięki niej zaimplementowano moduł historii badań, zapewniając spójność danych między sesjami użytkownika.</w:t>
      </w:r>
    </w:p>
    <w:p>
      <w:pPr>
        <w:pStyle w:val="ListParagraph"/>
        <w:numPr>
          <w:ilvl w:val="0"/>
          <w:numId w:val="20"/>
        </w:numPr>
        <w:jc w:val="start"/>
        <w:rPr/>
      </w:pPr>
      <w:r>
        <w:rPr/>
        <w:t>Pydantic: Biblioteka wykorzystana do walidacji danych wejściowych oraz zarządzania konfiguracją systemu (zmienne środowiskowe), co zwiększyło bezpieczeństwo i odporność aplikacji na błędne dane.</w:t>
      </w:r>
    </w:p>
    <w:p>
      <w:pPr>
        <w:pStyle w:val="ListParagraph"/>
        <w:numPr>
          <w:ilvl w:val="0"/>
          <w:numId w:val="20"/>
        </w:numPr>
        <w:jc w:val="start"/>
        <w:rPr/>
      </w:pPr>
      <w:r>
        <w:rPr/>
        <w:t>React i TypeScript: Główna biblioteka budowy interfejsu. Zastosowanie TypeScriptu pozwoliło na wprowadzenie silnego typowania, co było kluczowe przy przesyłaniu złożonych obiektów diagnostycznych między frontendem a backendem.</w:t>
      </w:r>
    </w:p>
    <w:p>
      <w:pPr>
        <w:pStyle w:val="ListParagraph"/>
        <w:numPr>
          <w:ilvl w:val="0"/>
          <w:numId w:val="20"/>
        </w:numPr>
        <w:jc w:val="start"/>
        <w:rPr/>
      </w:pPr>
      <w:r>
        <w:rPr/>
        <w:t>Zustand: Lekki system zarządzania stanem aplikacji, wykorzystany do przechowywania wyników bieżącej analizy oraz ustawień użytkownika (np. motyw graficzny, język).</w:t>
      </w:r>
    </w:p>
    <w:p>
      <w:pPr>
        <w:pStyle w:val="ListParagraph"/>
        <w:numPr>
          <w:ilvl w:val="0"/>
          <w:numId w:val="20"/>
        </w:numPr>
        <w:jc w:val="start"/>
        <w:rPr/>
      </w:pPr>
      <w:r>
        <w:rPr/>
        <w:t>TanStack Query: Narzędzie do obsługi asynchronicznych zapytań do API. Zapewnia ono automatyczne zarządzanie stanem ładowania oraz buforowanie wyników, co znacząco poprawiło komfort użytkowania aplikacji (UX).</w:t>
      </w:r>
    </w:p>
    <w:p>
      <w:pPr>
        <w:pStyle w:val="ListParagraph"/>
        <w:numPr>
          <w:ilvl w:val="0"/>
          <w:numId w:val="20"/>
        </w:numPr>
        <w:jc w:val="start"/>
        <w:rPr/>
      </w:pPr>
      <w:r>
        <w:rPr/>
        <w:t>Tailwind CSS: Framework CSS wykorzystany do stworzenia responsywnego interfejsu użytkownika (RWD), zapewniającego poprawną prezentację schematów anatomicznych zarówno na komputerach, jak i urządzeniach mobilnych.</w:t>
      </w:r>
    </w:p>
    <w:p>
      <w:pPr>
        <w:pStyle w:val="Caption"/>
        <w:jc w:val="both"/>
        <w:rPr/>
      </w:pPr>
      <w:r>
        <w:rPr/>
      </w:r>
    </w:p>
    <w:p>
      <w:pPr>
        <w:pStyle w:val="Heading2"/>
        <w:numPr>
          <w:ilvl w:val="1"/>
          <w:numId w:val="8"/>
        </w:numPr>
        <w:rPr/>
      </w:pPr>
      <w:bookmarkStart w:id="62" w:name="_Toc228645105"/>
      <w:r>
        <w:rPr/>
        <w:t>Architektura systemu i przepływ danych</w:t>
      </w:r>
      <w:bookmarkEnd w:id="62"/>
    </w:p>
    <w:p>
      <w:pPr>
        <w:pStyle w:val="Normal"/>
        <w:rPr/>
      </w:pPr>
      <w:r>
        <w:rPr/>
        <w:t>System został zaprojektowany w modelu klient-serwer, gdzie kluczowym aspektem jest separacja ciężkich obliczeń AI od lekkiego interfejsu użytkownika. Przepływ danych (</w:t>
      </w:r>
      <w:r>
        <w:rPr/>
        <w:fldChar w:fldCharType="begin"/>
      </w:r>
      <w:r>
        <w:rPr/>
        <w:instrText xml:space="preserve"> REF _Ref228641417 \h </w:instrText>
      </w:r>
      <w:r>
        <w:rPr/>
        <w:fldChar w:fldCharType="separate"/>
      </w:r>
      <w:r>
        <w:rPr/>
        <w:t>Rysunek 21</w:t>
      </w:r>
      <w:r>
        <w:rPr/>
        <w:fldChar w:fldCharType="end"/>
      </w:r>
      <w:r>
        <w:rPr/>
        <w:t>) w aplikacji przebiega w następujących etapach:</w:t>
      </w:r>
    </w:p>
    <w:p>
      <w:pPr>
        <w:pStyle w:val="ListParagraph"/>
        <w:numPr>
          <w:ilvl w:val="0"/>
          <w:numId w:val="21"/>
        </w:numPr>
        <w:jc w:val="start"/>
        <w:rPr/>
      </w:pPr>
      <w:r>
        <w:rPr/>
        <w:t>Akwizycja i przygotowanie: Użytkownik pozyskuje obraz (upload, kamera live lub stream z telefonu). Przed wysyłką obraz jest kadrowany w przeglądarce (Crop tool), co redukuje szum informacyjny i zmniejsza rozmiar przesyłanego pliku.</w:t>
      </w:r>
    </w:p>
    <w:p>
      <w:pPr>
        <w:pStyle w:val="ListParagraph"/>
        <w:numPr>
          <w:ilvl w:val="0"/>
          <w:numId w:val="21"/>
        </w:numPr>
        <w:jc w:val="start"/>
        <w:rPr/>
      </w:pPr>
      <w:r>
        <w:rPr/>
        <w:t>Żądanie API: Obraz w formie binarnej trafia do endpointu /predict w FastAPI.</w:t>
      </w:r>
    </w:p>
    <w:p>
      <w:pPr>
        <w:pStyle w:val="ListParagraph"/>
        <w:numPr>
          <w:ilvl w:val="0"/>
          <w:numId w:val="21"/>
        </w:numPr>
        <w:jc w:val="start"/>
        <w:rPr/>
      </w:pPr>
      <w:r>
        <w:rPr/>
        <w:t>Przetwarzanie i Inferencja: Backend normalizuje zdjęcie i przekazuje je do zespołu pięciu modeli. Każdy model generuje niezależną predykcję oraz mapę aktywacji Grad-CAM.</w:t>
      </w:r>
    </w:p>
    <w:p>
      <w:pPr>
        <w:pStyle w:val="ListParagraph"/>
        <w:numPr>
          <w:ilvl w:val="0"/>
          <w:numId w:val="21"/>
        </w:numPr>
        <w:jc w:val="start"/>
        <w:rPr/>
      </w:pPr>
      <w:r>
        <w:rPr/>
        <w:t>Persystencja i Odpowiedź: Wyniki (diagnoza, pewność, heatmapy) są zapisywane w bazie SQLite, a następnie zwracane do frontendu w formacie JSON.</w:t>
      </w:r>
    </w:p>
    <w:p>
      <w:pPr>
        <w:pStyle w:val="Normal"/>
        <w:rPr/>
      </w:pPr>
      <w:r>
        <w:rPr/>
      </w:r>
    </w:p>
    <w:p>
      <w:pPr>
        <w:pStyle w:val="Normal"/>
        <w:keepNext w:val="true"/>
        <w:jc w:val="center"/>
        <w:rPr/>
      </w:pPr>
      <w:r>
        <w:rPr/>
        <w:drawing>
          <wp:inline distT="0" distB="0" distL="0" distR="0">
            <wp:extent cx="5760720" cy="5330825"/>
            <wp:effectExtent l="0" t="0" r="0" b="0"/>
            <wp:docPr id="22"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16"/>
                    <pic:cNvPicPr>
                      <a:picLocks noChangeAspect="1" noChangeArrowheads="1"/>
                    </pic:cNvPicPr>
                  </pic:nvPicPr>
                  <pic:blipFill>
                    <a:blip r:embed="rId24"/>
                    <a:stretch>
                      <a:fillRect/>
                    </a:stretch>
                  </pic:blipFill>
                  <pic:spPr bwMode="auto">
                    <a:xfrm>
                      <a:off x="0" y="0"/>
                      <a:ext cx="5760720" cy="5330825"/>
                    </a:xfrm>
                    <a:prstGeom prst="rect">
                      <a:avLst/>
                    </a:prstGeom>
                    <a:noFill/>
                  </pic:spPr>
                </pic:pic>
              </a:graphicData>
            </a:graphic>
          </wp:inline>
        </w:drawing>
      </w:r>
    </w:p>
    <w:p>
      <w:pPr>
        <w:pStyle w:val="Caption"/>
        <w:rPr/>
      </w:pPr>
      <w:bookmarkStart w:id="63" w:name="_Toc228645515"/>
      <w:bookmarkStart w:id="64" w:name="_Ref228641417"/>
      <w:r>
        <w:rPr/>
        <w:t xml:space="preserve">Rysunek </w:t>
      </w:r>
      <w:r>
        <w:rPr/>
        <w:fldChar w:fldCharType="begin"/>
      </w:r>
      <w:r>
        <w:rPr/>
        <w:instrText xml:space="preserve"> SEQ Rysunek \* ARABIC </w:instrText>
      </w:r>
      <w:r>
        <w:rPr/>
        <w:fldChar w:fldCharType="separate"/>
      </w:r>
      <w:r>
        <w:rPr/>
        <w:t>21</w:t>
      </w:r>
      <w:r>
        <w:rPr/>
        <w:fldChar w:fldCharType="end"/>
      </w:r>
      <w:bookmarkEnd w:id="64"/>
      <w:r>
        <w:rPr/>
        <w:t xml:space="preserve"> Schemat przepływu danych</w:t>
      </w:r>
      <w:bookmarkEnd w:id="63"/>
    </w:p>
    <w:p>
      <w:pPr>
        <w:pStyle w:val="Normal"/>
        <w:ind w:hanging="0"/>
        <w:rPr/>
      </w:pPr>
      <w:r>
        <w:rPr/>
      </w:r>
    </w:p>
    <w:p>
      <w:pPr>
        <w:pStyle w:val="Heading2"/>
        <w:numPr>
          <w:ilvl w:val="1"/>
          <w:numId w:val="8"/>
        </w:numPr>
        <w:rPr/>
      </w:pPr>
      <w:bookmarkStart w:id="65" w:name="_Toc228645106"/>
      <w:r>
        <w:rPr/>
        <w:t>Zbiór danych i przygotowanie materiału badawczego</w:t>
      </w:r>
      <w:bookmarkEnd w:id="65"/>
    </w:p>
    <w:p>
      <w:pPr>
        <w:pStyle w:val="Normal"/>
        <w:rPr/>
      </w:pPr>
      <w:r>
        <w:rPr/>
        <w:t>Do treningu oraz ewaluacji opracowanych modeli wykorzystano publicznie dostępny zbiór Skin Lesions Classification Dataset</w:t>
      </w:r>
      <w:sdt>
        <w:sdtPr>
          <w:citation/>
        </w:sdtPr>
        <w:sdtContent>
          <w:r>
            <w:rPr/>
            <w:fldChar w:fldCharType="begin"/>
          </w:r>
          <w:r>
            <w:rPr/>
            <w:instrText xml:space="preserve"> CITATION ahm23 \l 1045 </w:instrText>
          </w:r>
          <w:r>
            <w:rPr/>
            <w:fldChar w:fldCharType="separate"/>
          </w:r>
          <w:r>
            <w:rPr/>
            <w:t xml:space="preserve"> [3]</w:t>
          </w:r>
          <w:r>
            <w:rPr/>
            <w:fldChar w:fldCharType="end"/>
          </w:r>
        </w:sdtContent>
      </w:sdt>
      <w:r>
        <w:rPr/>
        <w:t>. Zbiór ten obejmuje około 29 000 obrazów dermatologicznych sklasyfikowanych w 14 kategoriach. Tak szeroki zakres klas sprawia, że zbiór obejmuje zarówno schorzenia łagodne i zakaźne, jak i zmiany o charakterze nowotworowym, co czyni zadanie klasyfikacji szczególnie wymagającym.</w:t>
      </w:r>
    </w:p>
    <w:p>
      <w:pPr>
        <w:pStyle w:val="Normal"/>
        <w:rPr/>
      </w:pPr>
      <w:r>
        <w:rPr/>
        <w:t>Istotnym wyzwaniem podczas pracy z tym zbiorem był znaczący brak równowagi klas. Najliczniej reprezentowaną kategorią są znamiona melanocytarne liczące ponad 10 000 przykładów, podczas gdy włókniak skóry zawiera jedynie 193 obrazy (</w:t>
      </w:r>
      <w:r>
        <w:rPr/>
        <w:fldChar w:fldCharType="begin"/>
      </w:r>
      <w:r>
        <w:rPr/>
        <w:instrText xml:space="preserve"> REF _Ref228207578 \h </w:instrText>
      </w:r>
      <w:r>
        <w:rPr/>
        <w:fldChar w:fldCharType="separate"/>
      </w:r>
      <w:r>
        <w:rPr/>
        <w:t>Tabela 2</w:t>
      </w:r>
      <w:r>
        <w:rPr/>
        <w:fldChar w:fldCharType="end"/>
      </w:r>
      <w:r>
        <w:rPr/>
        <w:t>). Podobna dysproporcja dotyczy również kilku innych klas, co w standardowych warunkach treningu prowadziłoby do systematycznego faworyzowania klas większościowych przez model. Aby temu przeciw-działać, zastosowano ważone losowanie próbek za pomocą mechanizmu WeightedRandomSampler. Każdej próbce treningowej przypisano wagę odwrotnie proporcjonalną do liczebności jej klasy, dzięki czemu w kolejnych epokach model stykał się z przykładami rzadkich klas równie często jak z klasami dominującymi.</w:t>
      </w:r>
    </w:p>
    <w:p>
      <w:pPr>
        <w:pStyle w:val="Normal"/>
        <w:rPr/>
      </w:pPr>
      <w:r>
        <w:rPr/>
      </w:r>
    </w:p>
    <w:p>
      <w:pPr>
        <w:pStyle w:val="Normal"/>
        <w:rPr/>
      </w:pPr>
      <w:r>
        <w:rPr/>
        <w:t>Przed przystąpieniem do treningu przeprowadzono preprocessing danych. Wszystkie obrazy zostały przeskalowane do rozmiaru 224x224 pikseli, a następnie znormalizowane z użyciem wartości średniej i odchylenia standardowego wyznaczonych na zbiorze ImageNet, co jest standardową praktyką przy stosowaniu uczenia transferowego. W celu zwiększenia różnorodności materiału treningowego i ograniczenia zjawiska przeuczenia zastosowano augmentację danych</w:t>
      </w:r>
      <w:sdt>
        <w:sdtPr>
          <w:citation/>
        </w:sdtPr>
        <w:sdtContent>
          <w:r>
            <w:rPr/>
            <w:fldChar w:fldCharType="begin"/>
          </w:r>
          <w:r>
            <w:rPr/>
            <w:instrText xml:space="preserve"> CITATION Sho19 \l 1045 </w:instrText>
          </w:r>
          <w:r>
            <w:rPr/>
            <w:fldChar w:fldCharType="separate"/>
          </w:r>
          <w:r>
            <w:rPr/>
            <w:t xml:space="preserve"> [19]</w:t>
          </w:r>
          <w:r>
            <w:rPr/>
            <w:fldChar w:fldCharType="end"/>
          </w:r>
        </w:sdtContent>
      </w:sdt>
      <w:r>
        <w:rPr/>
        <w:t>. Obejmowała ona losowe odbicia poziome i pionowe, obroty o losowy kąt do 30 stopni, a także modyfikację jasności, kontrastu i nasycenia barw za pomocą transformacji ColorJitter. Ta ostatnia technika okazuje się szczególnie uzasadniona w kontekście dermatologicznym, gdzie warunki oświetleniowe i sprzęt fotograficzny używany podczas rejestracji zmian skórnych mogą się znacznie różnić między sobą. Podzbiory walidacyjny i testowy poddano wyłącznie przeskalowaniu i normalizacji, bez żadnych przekształceń losowych, aby zapewnić powtarzalność i obiektywność oceny</w:t>
      </w:r>
      <w:r>
        <w:rPr/>
        <w:t>.</w:t>
      </w:r>
    </w:p>
    <w:p>
      <w:pPr>
        <w:pStyle w:val="Caption"/>
        <w:rPr/>
      </w:pPr>
      <w:bookmarkStart w:id="66" w:name="_Toc228645183"/>
      <w:bookmarkStart w:id="67" w:name="_Ref228207578"/>
      <w:r>
        <w:rPr/>
        <w:t xml:space="preserve">Tabela </w:t>
      </w:r>
      <w:r>
        <w:rPr/>
        <w:fldChar w:fldCharType="begin"/>
      </w:r>
      <w:r>
        <w:rPr/>
        <w:instrText xml:space="preserve"> SEQ Tabela \* ARABIC </w:instrText>
      </w:r>
      <w:r>
        <w:rPr/>
        <w:fldChar w:fldCharType="separate"/>
      </w:r>
      <w:r>
        <w:rPr/>
        <w:t>2</w:t>
      </w:r>
      <w:r>
        <w:rPr/>
        <w:fldChar w:fldCharType="end"/>
      </w:r>
      <w:bookmarkEnd w:id="67"/>
      <w:r>
        <w:rPr/>
        <w:t xml:space="preserve"> Klasy wraz z ilością zdjęć</w:t>
      </w:r>
      <w:bookmarkEnd w:id="66"/>
    </w:p>
    <w:tbl>
      <w:tblPr>
        <w:tblW w:w="9067" w:type="dxa"/>
        <w:jc w:val="start"/>
        <w:tblInd w:w="55" w:type="dxa"/>
        <w:tblLayout w:type="fixed"/>
        <w:tblCellMar>
          <w:top w:w="55" w:type="dxa"/>
          <w:start w:w="55" w:type="dxa"/>
          <w:bottom w:w="55" w:type="dxa"/>
          <w:end w:w="55" w:type="dxa"/>
        </w:tblCellMar>
        <w:tblLook w:firstRow="1" w:noVBand="1" w:lastRow="0" w:firstColumn="1" w:lastColumn="0" w:noHBand="0" w:val="04a0"/>
      </w:tblPr>
      <w:tblGrid>
        <w:gridCol w:w="505"/>
        <w:gridCol w:w="4031"/>
        <w:gridCol w:w="2266"/>
        <w:gridCol w:w="2265"/>
      </w:tblGrid>
      <w:tr>
        <w:trPr/>
        <w:tc>
          <w:tcPr>
            <w:tcW w:w="505" w:type="dxa"/>
            <w:tcBorders>
              <w:top w:val="single" w:sz="4" w:space="0" w:color="000000"/>
              <w:start w:val="single" w:sz="4" w:space="0" w:color="000000"/>
              <w:bottom w:val="single" w:sz="4" w:space="0" w:color="000000"/>
            </w:tcBorders>
          </w:tcPr>
          <w:p>
            <w:pPr>
              <w:pStyle w:val="Zawartotabeliuser"/>
              <w:ind w:hanging="0"/>
              <w:rPr/>
            </w:pPr>
            <w:r>
              <w:rPr/>
              <w:t xml:space="preserve">  </w:t>
            </w:r>
            <w:r>
              <w:rPr/>
              <w:t>#</w:t>
            </w:r>
          </w:p>
        </w:tc>
        <w:tc>
          <w:tcPr>
            <w:tcW w:w="4031" w:type="dxa"/>
            <w:tcBorders>
              <w:top w:val="single" w:sz="4" w:space="0" w:color="000000"/>
              <w:start w:val="single" w:sz="4" w:space="0" w:color="000000"/>
              <w:bottom w:val="single" w:sz="4" w:space="0" w:color="000000"/>
            </w:tcBorders>
          </w:tcPr>
          <w:p>
            <w:pPr>
              <w:pStyle w:val="Zawartotabeliuser"/>
              <w:ind w:hanging="0"/>
              <w:rPr/>
            </w:pPr>
            <w:r>
              <w:rPr/>
              <w:t>Nazwa polska</w:t>
            </w:r>
          </w:p>
        </w:tc>
        <w:tc>
          <w:tcPr>
            <w:tcW w:w="2266" w:type="dxa"/>
            <w:tcBorders>
              <w:top w:val="single" w:sz="4" w:space="0" w:color="000000"/>
              <w:start w:val="single" w:sz="4" w:space="0" w:color="000000"/>
              <w:bottom w:val="single" w:sz="4" w:space="0" w:color="000000"/>
            </w:tcBorders>
          </w:tcPr>
          <w:p>
            <w:pPr>
              <w:pStyle w:val="Zawartotabeliuser"/>
              <w:ind w:hanging="0"/>
              <w:rPr/>
            </w:pPr>
            <w:r>
              <w:rPr/>
              <w:t>Nazwa angielska (oryginalna)</w:t>
            </w:r>
          </w:p>
        </w:tc>
        <w:tc>
          <w:tcPr>
            <w:tcW w:w="2265" w:type="dxa"/>
            <w:tcBorders>
              <w:top w:val="single" w:sz="4" w:space="0" w:color="000000"/>
              <w:start w:val="single" w:sz="4" w:space="0" w:color="000000"/>
              <w:bottom w:val="single" w:sz="4" w:space="0" w:color="000000"/>
              <w:end w:val="single" w:sz="4" w:space="0" w:color="000000"/>
            </w:tcBorders>
          </w:tcPr>
          <w:p>
            <w:pPr>
              <w:pStyle w:val="Zawartotabeliuser"/>
              <w:ind w:hanging="0"/>
              <w:rPr/>
            </w:pPr>
            <w:r>
              <w:rPr/>
              <w:t>Liczba obrazów</w:t>
            </w:r>
          </w:p>
        </w:tc>
      </w:tr>
      <w:tr>
        <w:trPr/>
        <w:tc>
          <w:tcPr>
            <w:tcW w:w="505" w:type="dxa"/>
            <w:tcBorders>
              <w:start w:val="single" w:sz="4" w:space="0" w:color="000000"/>
              <w:bottom w:val="single" w:sz="4" w:space="0" w:color="000000"/>
            </w:tcBorders>
          </w:tcPr>
          <w:p>
            <w:pPr>
              <w:pStyle w:val="Zawartotabeliuser"/>
              <w:ind w:hanging="0"/>
              <w:jc w:val="center"/>
              <w:rPr/>
            </w:pPr>
            <w:r>
              <w:rPr/>
              <w:t>1</w:t>
            </w:r>
          </w:p>
        </w:tc>
        <w:tc>
          <w:tcPr>
            <w:tcW w:w="4031" w:type="dxa"/>
            <w:tcBorders>
              <w:start w:val="single" w:sz="4" w:space="0" w:color="000000"/>
              <w:bottom w:val="single" w:sz="4" w:space="0" w:color="000000"/>
            </w:tcBorders>
          </w:tcPr>
          <w:p>
            <w:pPr>
              <w:pStyle w:val="Zawartotabeliuser"/>
              <w:ind w:hanging="0"/>
              <w:rPr/>
            </w:pPr>
            <w:r>
              <w:rPr/>
              <w:t>Znamiona melanocytarne</w:t>
            </w:r>
          </w:p>
        </w:tc>
        <w:tc>
          <w:tcPr>
            <w:tcW w:w="2266" w:type="dxa"/>
            <w:tcBorders>
              <w:start w:val="single" w:sz="4" w:space="0" w:color="000000"/>
              <w:bottom w:val="single" w:sz="4" w:space="0" w:color="000000"/>
            </w:tcBorders>
          </w:tcPr>
          <w:p>
            <w:pPr>
              <w:pStyle w:val="Zawartotabeliuser"/>
              <w:ind w:hanging="0"/>
              <w:rPr/>
            </w:pPr>
            <w:r>
              <w:rPr/>
              <w:t>Melanocytic nevi</w:t>
            </w:r>
          </w:p>
        </w:tc>
        <w:tc>
          <w:tcPr>
            <w:tcW w:w="2265" w:type="dxa"/>
            <w:tcBorders>
              <w:start w:val="single" w:sz="4" w:space="0" w:color="000000"/>
              <w:bottom w:val="single" w:sz="4" w:space="0" w:color="000000"/>
              <w:end w:val="single" w:sz="4" w:space="0" w:color="000000"/>
            </w:tcBorders>
          </w:tcPr>
          <w:p>
            <w:pPr>
              <w:pStyle w:val="Zawartotabeliuser"/>
              <w:ind w:hanging="0"/>
              <w:rPr/>
            </w:pPr>
            <w:r>
              <w:rPr/>
              <w:t>10 300</w:t>
            </w:r>
          </w:p>
        </w:tc>
      </w:tr>
      <w:tr>
        <w:trPr/>
        <w:tc>
          <w:tcPr>
            <w:tcW w:w="505" w:type="dxa"/>
            <w:tcBorders>
              <w:start w:val="single" w:sz="4" w:space="0" w:color="000000"/>
              <w:bottom w:val="single" w:sz="4" w:space="0" w:color="000000"/>
            </w:tcBorders>
          </w:tcPr>
          <w:p>
            <w:pPr>
              <w:pStyle w:val="Zawartotabeliuser"/>
              <w:ind w:hanging="0"/>
              <w:jc w:val="center"/>
              <w:rPr/>
            </w:pPr>
            <w:r>
              <w:rPr/>
              <w:t>2</w:t>
            </w:r>
          </w:p>
        </w:tc>
        <w:tc>
          <w:tcPr>
            <w:tcW w:w="4031" w:type="dxa"/>
            <w:tcBorders>
              <w:start w:val="single" w:sz="4" w:space="0" w:color="000000"/>
              <w:bottom w:val="single" w:sz="4" w:space="0" w:color="000000"/>
            </w:tcBorders>
          </w:tcPr>
          <w:p>
            <w:pPr>
              <w:pStyle w:val="Zawartotabeliuser"/>
              <w:ind w:hanging="0"/>
              <w:rPr/>
            </w:pPr>
            <w:r>
              <w:rPr/>
              <w:t>Czerniak złośliwy</w:t>
            </w:r>
          </w:p>
        </w:tc>
        <w:tc>
          <w:tcPr>
            <w:tcW w:w="2266" w:type="dxa"/>
            <w:tcBorders>
              <w:start w:val="single" w:sz="4" w:space="0" w:color="000000"/>
              <w:bottom w:val="single" w:sz="4" w:space="0" w:color="000000"/>
            </w:tcBorders>
          </w:tcPr>
          <w:p>
            <w:pPr>
              <w:pStyle w:val="Zawartotabeliuser"/>
              <w:ind w:hanging="0"/>
              <w:rPr>
                <w:color w:val="000000"/>
                <w:szCs w:val="24"/>
              </w:rPr>
            </w:pPr>
            <w:r>
              <w:rPr>
                <w:color w:val="000000"/>
                <w:szCs w:val="24"/>
              </w:rPr>
              <w:t>Melanoma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3617</w:t>
            </w:r>
          </w:p>
        </w:tc>
      </w:tr>
      <w:tr>
        <w:trPr/>
        <w:tc>
          <w:tcPr>
            <w:tcW w:w="505" w:type="dxa"/>
            <w:tcBorders>
              <w:start w:val="single" w:sz="4" w:space="0" w:color="000000"/>
              <w:bottom w:val="single" w:sz="4" w:space="0" w:color="000000"/>
            </w:tcBorders>
          </w:tcPr>
          <w:p>
            <w:pPr>
              <w:pStyle w:val="Zawartotabeliuser"/>
              <w:ind w:hanging="0"/>
              <w:jc w:val="center"/>
              <w:rPr/>
            </w:pPr>
            <w:r>
              <w:rPr/>
              <w:t>3</w:t>
            </w:r>
          </w:p>
        </w:tc>
        <w:tc>
          <w:tcPr>
            <w:tcW w:w="4031" w:type="dxa"/>
            <w:tcBorders>
              <w:start w:val="single" w:sz="4" w:space="0" w:color="000000"/>
              <w:bottom w:val="single" w:sz="4" w:space="0" w:color="000000"/>
            </w:tcBorders>
          </w:tcPr>
          <w:p>
            <w:pPr>
              <w:pStyle w:val="Zawartotabeliuser"/>
              <w:ind w:hanging="0"/>
              <w:rPr/>
            </w:pPr>
            <w:r>
              <w:rPr/>
              <w:t>Małpia ospa</w:t>
            </w:r>
          </w:p>
        </w:tc>
        <w:tc>
          <w:tcPr>
            <w:tcW w:w="2266" w:type="dxa"/>
            <w:tcBorders>
              <w:start w:val="single" w:sz="4" w:space="0" w:color="000000"/>
              <w:bottom w:val="single" w:sz="4" w:space="0" w:color="000000"/>
            </w:tcBorders>
          </w:tcPr>
          <w:p>
            <w:pPr>
              <w:pStyle w:val="Zawartotabeliuser"/>
              <w:ind w:hanging="0"/>
              <w:rPr/>
            </w:pPr>
            <w:r>
              <w:rPr/>
              <w:t>Monkeypox</w:t>
            </w:r>
          </w:p>
        </w:tc>
        <w:tc>
          <w:tcPr>
            <w:tcW w:w="2265" w:type="dxa"/>
            <w:tcBorders>
              <w:start w:val="single" w:sz="4" w:space="0" w:color="000000"/>
              <w:bottom w:val="single" w:sz="4" w:space="0" w:color="000000"/>
              <w:end w:val="single" w:sz="4" w:space="0" w:color="000000"/>
            </w:tcBorders>
          </w:tcPr>
          <w:p>
            <w:pPr>
              <w:pStyle w:val="Zawartotabeliuser"/>
              <w:ind w:hanging="0"/>
              <w:rPr/>
            </w:pPr>
            <w:r>
              <w:rPr/>
              <w:t>3408</w:t>
            </w:r>
          </w:p>
        </w:tc>
      </w:tr>
      <w:tr>
        <w:trPr/>
        <w:tc>
          <w:tcPr>
            <w:tcW w:w="505" w:type="dxa"/>
            <w:tcBorders>
              <w:start w:val="single" w:sz="4" w:space="0" w:color="000000"/>
              <w:bottom w:val="single" w:sz="4" w:space="0" w:color="000000"/>
            </w:tcBorders>
          </w:tcPr>
          <w:p>
            <w:pPr>
              <w:pStyle w:val="Zawartotabeliuser"/>
              <w:ind w:hanging="0"/>
              <w:jc w:val="center"/>
              <w:rPr/>
            </w:pPr>
            <w:r>
              <w:rPr/>
              <w:t>4</w:t>
            </w:r>
          </w:p>
        </w:tc>
        <w:tc>
          <w:tcPr>
            <w:tcW w:w="4031" w:type="dxa"/>
            <w:tcBorders>
              <w:start w:val="single" w:sz="4" w:space="0" w:color="000000"/>
              <w:bottom w:val="single" w:sz="4" w:space="0" w:color="000000"/>
            </w:tcBorders>
          </w:tcPr>
          <w:p>
            <w:pPr>
              <w:pStyle w:val="Zawartotabeliuser"/>
              <w:ind w:hanging="0"/>
              <w:rPr/>
            </w:pPr>
            <w:r>
              <w:rPr/>
              <w:t>Rak podstawnokomórkowy</w:t>
            </w:r>
          </w:p>
        </w:tc>
        <w:tc>
          <w:tcPr>
            <w:tcW w:w="2266" w:type="dxa"/>
            <w:tcBorders>
              <w:start w:val="single" w:sz="4" w:space="0" w:color="000000"/>
              <w:bottom w:val="single" w:sz="4" w:space="0" w:color="000000"/>
            </w:tcBorders>
          </w:tcPr>
          <w:p>
            <w:pPr>
              <w:pStyle w:val="Zawartotabeliuser"/>
              <w:ind w:hanging="0"/>
              <w:rPr/>
            </w:pPr>
            <w:r>
              <w:rPr/>
              <w:t>Basal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2658</w:t>
            </w:r>
          </w:p>
        </w:tc>
      </w:tr>
      <w:tr>
        <w:trPr/>
        <w:tc>
          <w:tcPr>
            <w:tcW w:w="505" w:type="dxa"/>
            <w:tcBorders>
              <w:start w:val="single" w:sz="4" w:space="0" w:color="000000"/>
              <w:bottom w:val="single" w:sz="4" w:space="0" w:color="000000"/>
            </w:tcBorders>
          </w:tcPr>
          <w:p>
            <w:pPr>
              <w:pStyle w:val="Zawartotabeliuser"/>
              <w:ind w:hanging="0"/>
              <w:jc w:val="center"/>
              <w:rPr/>
            </w:pPr>
            <w:r>
              <w:rPr/>
              <w:t>5</w:t>
            </w:r>
          </w:p>
        </w:tc>
        <w:tc>
          <w:tcPr>
            <w:tcW w:w="4031" w:type="dxa"/>
            <w:tcBorders>
              <w:start w:val="single" w:sz="4" w:space="0" w:color="000000"/>
              <w:bottom w:val="single" w:sz="4" w:space="0" w:color="000000"/>
            </w:tcBorders>
          </w:tcPr>
          <w:p>
            <w:pPr>
              <w:pStyle w:val="Zawartotabeliuser"/>
              <w:ind w:hanging="0"/>
              <w:rPr/>
            </w:pPr>
            <w:r>
              <w:rPr/>
              <w:t>Łagodne zmiany rogowaciejące</w:t>
            </w:r>
          </w:p>
        </w:tc>
        <w:tc>
          <w:tcPr>
            <w:tcW w:w="2266" w:type="dxa"/>
            <w:tcBorders>
              <w:start w:val="single" w:sz="4" w:space="0" w:color="000000"/>
              <w:bottom w:val="single" w:sz="4" w:space="0" w:color="000000"/>
            </w:tcBorders>
          </w:tcPr>
          <w:p>
            <w:pPr>
              <w:pStyle w:val="Zawartotabeliuser"/>
              <w:ind w:hanging="0"/>
              <w:rPr/>
            </w:pPr>
            <w:r>
              <w:rPr/>
              <w:t>Benign keratosis-like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2099</w:t>
            </w:r>
          </w:p>
        </w:tc>
      </w:tr>
      <w:tr>
        <w:trPr/>
        <w:tc>
          <w:tcPr>
            <w:tcW w:w="505" w:type="dxa"/>
            <w:tcBorders>
              <w:start w:val="single" w:sz="4" w:space="0" w:color="000000"/>
              <w:bottom w:val="single" w:sz="4" w:space="0" w:color="000000"/>
            </w:tcBorders>
          </w:tcPr>
          <w:p>
            <w:pPr>
              <w:pStyle w:val="Zawartotabeliuser"/>
              <w:ind w:hanging="0"/>
              <w:jc w:val="center"/>
              <w:rPr/>
            </w:pPr>
            <w:r>
              <w:rPr/>
              <w:t>6</w:t>
            </w:r>
          </w:p>
        </w:tc>
        <w:tc>
          <w:tcPr>
            <w:tcW w:w="4031" w:type="dxa"/>
            <w:tcBorders>
              <w:start w:val="single" w:sz="4" w:space="0" w:color="000000"/>
              <w:bottom w:val="single" w:sz="4" w:space="0" w:color="000000"/>
            </w:tcBorders>
          </w:tcPr>
          <w:p>
            <w:pPr>
              <w:pStyle w:val="Zawartotabeliuser"/>
              <w:ind w:hanging="0"/>
              <w:rPr/>
            </w:pPr>
            <w:r>
              <w:rPr/>
              <w:t>Choroba dłoni, stóp i ust</w:t>
            </w:r>
          </w:p>
        </w:tc>
        <w:tc>
          <w:tcPr>
            <w:tcW w:w="2266" w:type="dxa"/>
            <w:tcBorders>
              <w:start w:val="single" w:sz="4" w:space="0" w:color="000000"/>
              <w:bottom w:val="single" w:sz="4" w:space="0" w:color="000000"/>
            </w:tcBorders>
          </w:tcPr>
          <w:p>
            <w:pPr>
              <w:pStyle w:val="Zawartotabeliuser"/>
              <w:ind w:hanging="0"/>
              <w:rPr/>
            </w:pPr>
            <w:r>
              <w:rPr/>
              <w:t>HFMD</w:t>
            </w:r>
          </w:p>
        </w:tc>
        <w:tc>
          <w:tcPr>
            <w:tcW w:w="2265" w:type="dxa"/>
            <w:tcBorders>
              <w:start w:val="single" w:sz="4" w:space="0" w:color="000000"/>
              <w:bottom w:val="single" w:sz="4" w:space="0" w:color="000000"/>
              <w:end w:val="single" w:sz="4" w:space="0" w:color="000000"/>
            </w:tcBorders>
          </w:tcPr>
          <w:p>
            <w:pPr>
              <w:pStyle w:val="Zawartotabeliuser"/>
              <w:ind w:hanging="0"/>
              <w:rPr/>
            </w:pPr>
            <w:r>
              <w:rPr/>
              <w:t>1932</w:t>
            </w:r>
          </w:p>
        </w:tc>
      </w:tr>
      <w:tr>
        <w:trPr/>
        <w:tc>
          <w:tcPr>
            <w:tcW w:w="505" w:type="dxa"/>
            <w:tcBorders>
              <w:start w:val="single" w:sz="4" w:space="0" w:color="000000"/>
              <w:bottom w:val="single" w:sz="4" w:space="0" w:color="000000"/>
            </w:tcBorders>
          </w:tcPr>
          <w:p>
            <w:pPr>
              <w:pStyle w:val="Zawartotabeliuser"/>
              <w:ind w:hanging="0"/>
              <w:jc w:val="center"/>
              <w:rPr/>
            </w:pPr>
            <w:r>
              <w:rPr/>
              <w:t>7</w:t>
            </w:r>
          </w:p>
        </w:tc>
        <w:tc>
          <w:tcPr>
            <w:tcW w:w="4031" w:type="dxa"/>
            <w:tcBorders>
              <w:start w:val="single" w:sz="4" w:space="0" w:color="000000"/>
              <w:bottom w:val="single" w:sz="4" w:space="0" w:color="000000"/>
            </w:tcBorders>
          </w:tcPr>
          <w:p>
            <w:pPr>
              <w:pStyle w:val="Zawartotabeliuser"/>
              <w:ind w:hanging="0"/>
              <w:rPr/>
            </w:pPr>
            <w:r>
              <w:rPr/>
              <w:t>Skóra zdrowa</w:t>
            </w:r>
          </w:p>
        </w:tc>
        <w:tc>
          <w:tcPr>
            <w:tcW w:w="2266" w:type="dxa"/>
            <w:tcBorders>
              <w:start w:val="single" w:sz="4" w:space="0" w:color="000000"/>
              <w:bottom w:val="single" w:sz="4" w:space="0" w:color="000000"/>
            </w:tcBorders>
          </w:tcPr>
          <w:p>
            <w:pPr>
              <w:pStyle w:val="Zawartotabeliuser"/>
              <w:ind w:hanging="0"/>
              <w:rPr/>
            </w:pPr>
            <w:r>
              <w:rPr/>
              <w:t>Healthy</w:t>
            </w:r>
          </w:p>
        </w:tc>
        <w:tc>
          <w:tcPr>
            <w:tcW w:w="2265" w:type="dxa"/>
            <w:tcBorders>
              <w:start w:val="single" w:sz="4" w:space="0" w:color="000000"/>
              <w:bottom w:val="single" w:sz="4" w:space="0" w:color="000000"/>
              <w:end w:val="single" w:sz="4" w:space="0" w:color="000000"/>
            </w:tcBorders>
          </w:tcPr>
          <w:p>
            <w:pPr>
              <w:pStyle w:val="Zawartotabeliuser"/>
              <w:ind w:hanging="0"/>
              <w:rPr/>
            </w:pPr>
            <w:r>
              <w:rPr/>
              <w:t>1368</w:t>
            </w:r>
          </w:p>
        </w:tc>
      </w:tr>
      <w:tr>
        <w:trPr/>
        <w:tc>
          <w:tcPr>
            <w:tcW w:w="505" w:type="dxa"/>
            <w:tcBorders>
              <w:start w:val="single" w:sz="4" w:space="0" w:color="000000"/>
              <w:bottom w:val="single" w:sz="4" w:space="0" w:color="000000"/>
            </w:tcBorders>
          </w:tcPr>
          <w:p>
            <w:pPr>
              <w:pStyle w:val="Zawartotabeliuser"/>
              <w:ind w:hanging="0"/>
              <w:jc w:val="center"/>
              <w:rPr/>
            </w:pPr>
            <w:r>
              <w:rPr/>
              <w:t>8</w:t>
            </w:r>
          </w:p>
        </w:tc>
        <w:tc>
          <w:tcPr>
            <w:tcW w:w="4031" w:type="dxa"/>
            <w:tcBorders>
              <w:start w:val="single" w:sz="4" w:space="0" w:color="000000"/>
              <w:bottom w:val="single" w:sz="4" w:space="0" w:color="000000"/>
            </w:tcBorders>
          </w:tcPr>
          <w:p>
            <w:pPr>
              <w:pStyle w:val="Zawartotabeliuser"/>
              <w:ind w:hanging="0"/>
              <w:rPr/>
            </w:pPr>
            <w:r>
              <w:rPr/>
              <w:t>Ospa wietrzna</w:t>
            </w:r>
          </w:p>
        </w:tc>
        <w:tc>
          <w:tcPr>
            <w:tcW w:w="2266" w:type="dxa"/>
            <w:tcBorders>
              <w:start w:val="single" w:sz="4" w:space="0" w:color="000000"/>
              <w:bottom w:val="single" w:sz="4" w:space="0" w:color="000000"/>
            </w:tcBorders>
          </w:tcPr>
          <w:p>
            <w:pPr>
              <w:pStyle w:val="Zawartotabeliuser"/>
              <w:ind w:hanging="0"/>
              <w:rPr/>
            </w:pPr>
            <w:r>
              <w:rPr/>
              <w:t>Chickenpox</w:t>
            </w:r>
          </w:p>
        </w:tc>
        <w:tc>
          <w:tcPr>
            <w:tcW w:w="2265" w:type="dxa"/>
            <w:tcBorders>
              <w:start w:val="single" w:sz="4" w:space="0" w:color="000000"/>
              <w:bottom w:val="single" w:sz="4" w:space="0" w:color="000000"/>
              <w:end w:val="single" w:sz="4" w:space="0" w:color="000000"/>
            </w:tcBorders>
          </w:tcPr>
          <w:p>
            <w:pPr>
              <w:pStyle w:val="Zawartotabeliuser"/>
              <w:ind w:hanging="0"/>
              <w:rPr/>
            </w:pPr>
            <w:r>
              <w:rPr/>
              <w:t>900</w:t>
            </w:r>
          </w:p>
        </w:tc>
      </w:tr>
      <w:tr>
        <w:trPr/>
        <w:tc>
          <w:tcPr>
            <w:tcW w:w="505" w:type="dxa"/>
            <w:tcBorders>
              <w:start w:val="single" w:sz="4" w:space="0" w:color="000000"/>
              <w:bottom w:val="single" w:sz="4" w:space="0" w:color="000000"/>
            </w:tcBorders>
          </w:tcPr>
          <w:p>
            <w:pPr>
              <w:pStyle w:val="Zawartotabeliuser"/>
              <w:ind w:hanging="0"/>
              <w:jc w:val="center"/>
              <w:rPr/>
            </w:pPr>
            <w:r>
              <w:rPr/>
              <w:t>9</w:t>
            </w:r>
          </w:p>
        </w:tc>
        <w:tc>
          <w:tcPr>
            <w:tcW w:w="4031" w:type="dxa"/>
            <w:tcBorders>
              <w:start w:val="single" w:sz="4" w:space="0" w:color="000000"/>
              <w:bottom w:val="single" w:sz="4" w:space="0" w:color="000000"/>
            </w:tcBorders>
          </w:tcPr>
          <w:p>
            <w:pPr>
              <w:pStyle w:val="Zawartotabeliuser"/>
              <w:ind w:hanging="0"/>
              <w:rPr/>
            </w:pPr>
            <w:r>
              <w:rPr/>
              <w:t>Krowianka</w:t>
            </w:r>
          </w:p>
        </w:tc>
        <w:tc>
          <w:tcPr>
            <w:tcW w:w="2266" w:type="dxa"/>
            <w:tcBorders>
              <w:start w:val="single" w:sz="4" w:space="0" w:color="000000"/>
              <w:bottom w:val="single" w:sz="4" w:space="0" w:color="000000"/>
            </w:tcBorders>
          </w:tcPr>
          <w:p>
            <w:pPr>
              <w:pStyle w:val="Zawartotabeliuser"/>
              <w:ind w:hanging="0"/>
              <w:rPr/>
            </w:pPr>
            <w:r>
              <w:rPr/>
              <w:t>Cowpox</w:t>
            </w:r>
          </w:p>
        </w:tc>
        <w:tc>
          <w:tcPr>
            <w:tcW w:w="2265" w:type="dxa"/>
            <w:tcBorders>
              <w:start w:val="single" w:sz="4" w:space="0" w:color="000000"/>
              <w:bottom w:val="single" w:sz="4" w:space="0" w:color="000000"/>
              <w:end w:val="single" w:sz="4" w:space="0" w:color="000000"/>
            </w:tcBorders>
          </w:tcPr>
          <w:p>
            <w:pPr>
              <w:pStyle w:val="Zawartotabeliuser"/>
              <w:ind w:hanging="0"/>
              <w:rPr/>
            </w:pPr>
            <w:r>
              <w:rPr/>
              <w:t>792</w:t>
            </w:r>
          </w:p>
        </w:tc>
      </w:tr>
      <w:tr>
        <w:trPr/>
        <w:tc>
          <w:tcPr>
            <w:tcW w:w="505" w:type="dxa"/>
            <w:tcBorders>
              <w:start w:val="single" w:sz="4" w:space="0" w:color="000000"/>
              <w:bottom w:val="single" w:sz="4" w:space="0" w:color="000000"/>
            </w:tcBorders>
          </w:tcPr>
          <w:p>
            <w:pPr>
              <w:pStyle w:val="Zawartotabeliuser"/>
              <w:ind w:hanging="0"/>
              <w:jc w:val="center"/>
              <w:rPr/>
            </w:pPr>
            <w:r>
              <w:rPr/>
              <w:t>10</w:t>
            </w:r>
          </w:p>
        </w:tc>
        <w:tc>
          <w:tcPr>
            <w:tcW w:w="4031" w:type="dxa"/>
            <w:tcBorders>
              <w:start w:val="single" w:sz="4" w:space="0" w:color="000000"/>
              <w:bottom w:val="single" w:sz="4" w:space="0" w:color="000000"/>
            </w:tcBorders>
          </w:tcPr>
          <w:p>
            <w:pPr>
              <w:pStyle w:val="Zawartotabeliuser"/>
              <w:ind w:hanging="0"/>
              <w:rPr/>
            </w:pPr>
            <w:r>
              <w:rPr/>
              <w:t>Rogowacenie słoneczne</w:t>
            </w:r>
          </w:p>
        </w:tc>
        <w:tc>
          <w:tcPr>
            <w:tcW w:w="2266" w:type="dxa"/>
            <w:tcBorders>
              <w:start w:val="single" w:sz="4" w:space="0" w:color="000000"/>
              <w:bottom w:val="single" w:sz="4" w:space="0" w:color="000000"/>
            </w:tcBorders>
          </w:tcPr>
          <w:p>
            <w:pPr>
              <w:pStyle w:val="Zawartotabeliuser"/>
              <w:ind w:hanging="0"/>
              <w:rPr/>
            </w:pPr>
            <w:r>
              <w:rPr/>
              <w:t>Actinic keratoses</w:t>
            </w:r>
          </w:p>
        </w:tc>
        <w:tc>
          <w:tcPr>
            <w:tcW w:w="2265" w:type="dxa"/>
            <w:tcBorders>
              <w:start w:val="single" w:sz="4" w:space="0" w:color="000000"/>
              <w:bottom w:val="single" w:sz="4" w:space="0" w:color="000000"/>
              <w:end w:val="single" w:sz="4" w:space="0" w:color="000000"/>
            </w:tcBorders>
          </w:tcPr>
          <w:p>
            <w:pPr>
              <w:pStyle w:val="Zawartotabeliuser"/>
              <w:ind w:hanging="0"/>
              <w:rPr/>
            </w:pPr>
            <w:r>
              <w:rPr/>
              <w:t>693</w:t>
            </w:r>
          </w:p>
        </w:tc>
      </w:tr>
      <w:tr>
        <w:trPr/>
        <w:tc>
          <w:tcPr>
            <w:tcW w:w="505" w:type="dxa"/>
            <w:tcBorders>
              <w:start w:val="single" w:sz="4" w:space="0" w:color="000000"/>
              <w:bottom w:val="single" w:sz="4" w:space="0" w:color="000000"/>
            </w:tcBorders>
          </w:tcPr>
          <w:p>
            <w:pPr>
              <w:pStyle w:val="Zawartotabeliuser"/>
              <w:ind w:hanging="0"/>
              <w:jc w:val="center"/>
              <w:rPr/>
            </w:pPr>
            <w:r>
              <w:rPr/>
              <w:t>11</w:t>
            </w:r>
          </w:p>
        </w:tc>
        <w:tc>
          <w:tcPr>
            <w:tcW w:w="4031" w:type="dxa"/>
            <w:tcBorders>
              <w:start w:val="single" w:sz="4" w:space="0" w:color="000000"/>
              <w:bottom w:val="single" w:sz="4" w:space="0" w:color="000000"/>
            </w:tcBorders>
          </w:tcPr>
          <w:p>
            <w:pPr>
              <w:pStyle w:val="Zawartotabeliuser"/>
              <w:ind w:hanging="0"/>
              <w:rPr/>
            </w:pPr>
            <w:r>
              <w:rPr/>
              <w:t>Odra</w:t>
            </w:r>
          </w:p>
        </w:tc>
        <w:tc>
          <w:tcPr>
            <w:tcW w:w="2266" w:type="dxa"/>
            <w:tcBorders>
              <w:start w:val="single" w:sz="4" w:space="0" w:color="000000"/>
              <w:bottom w:val="single" w:sz="4" w:space="0" w:color="000000"/>
            </w:tcBorders>
          </w:tcPr>
          <w:p>
            <w:pPr>
              <w:pStyle w:val="Zawartotabeliuser"/>
              <w:ind w:hanging="0"/>
              <w:rPr/>
            </w:pPr>
            <w:r>
              <w:rPr/>
              <w:t>Measles</w:t>
            </w:r>
          </w:p>
        </w:tc>
        <w:tc>
          <w:tcPr>
            <w:tcW w:w="2265" w:type="dxa"/>
            <w:tcBorders>
              <w:start w:val="single" w:sz="4" w:space="0" w:color="000000"/>
              <w:bottom w:val="single" w:sz="4" w:space="0" w:color="000000"/>
              <w:end w:val="single" w:sz="4" w:space="0" w:color="000000"/>
            </w:tcBorders>
          </w:tcPr>
          <w:p>
            <w:pPr>
              <w:pStyle w:val="Zawartotabeliuser"/>
              <w:ind w:hanging="0"/>
              <w:rPr/>
            </w:pPr>
            <w:r>
              <w:rPr/>
              <w:t>660</w:t>
            </w:r>
          </w:p>
        </w:tc>
      </w:tr>
      <w:tr>
        <w:trPr/>
        <w:tc>
          <w:tcPr>
            <w:tcW w:w="505" w:type="dxa"/>
            <w:tcBorders>
              <w:start w:val="single" w:sz="4" w:space="0" w:color="000000"/>
              <w:bottom w:val="single" w:sz="4" w:space="0" w:color="000000"/>
            </w:tcBorders>
          </w:tcPr>
          <w:p>
            <w:pPr>
              <w:pStyle w:val="Zawartotabeliuser"/>
              <w:ind w:hanging="0"/>
              <w:jc w:val="center"/>
              <w:rPr/>
            </w:pPr>
            <w:r>
              <w:rPr/>
              <w:t>12</w:t>
            </w:r>
          </w:p>
        </w:tc>
        <w:tc>
          <w:tcPr>
            <w:tcW w:w="4031" w:type="dxa"/>
            <w:tcBorders>
              <w:start w:val="single" w:sz="4" w:space="0" w:color="000000"/>
              <w:bottom w:val="single" w:sz="4" w:space="0" w:color="000000"/>
            </w:tcBorders>
          </w:tcPr>
          <w:p>
            <w:pPr>
              <w:pStyle w:val="Zawartotabeliuser"/>
              <w:ind w:hanging="0"/>
              <w:rPr/>
            </w:pPr>
            <w:r>
              <w:rPr/>
              <w:t>Rak płaskonabłonkowy</w:t>
            </w:r>
          </w:p>
        </w:tc>
        <w:tc>
          <w:tcPr>
            <w:tcW w:w="2266" w:type="dxa"/>
            <w:tcBorders>
              <w:start w:val="single" w:sz="4" w:space="0" w:color="000000"/>
              <w:bottom w:val="single" w:sz="4" w:space="0" w:color="000000"/>
            </w:tcBorders>
          </w:tcPr>
          <w:p>
            <w:pPr>
              <w:pStyle w:val="Zawartotabeliuser"/>
              <w:ind w:hanging="0"/>
              <w:rPr/>
            </w:pPr>
            <w:r>
              <w:rPr/>
              <w:t>Squamous cell carcinoma</w:t>
            </w:r>
          </w:p>
        </w:tc>
        <w:tc>
          <w:tcPr>
            <w:tcW w:w="2265" w:type="dxa"/>
            <w:tcBorders>
              <w:start w:val="single" w:sz="4" w:space="0" w:color="000000"/>
              <w:bottom w:val="single" w:sz="4" w:space="0" w:color="000000"/>
              <w:end w:val="single" w:sz="4" w:space="0" w:color="000000"/>
            </w:tcBorders>
          </w:tcPr>
          <w:p>
            <w:pPr>
              <w:pStyle w:val="Zawartotabeliuser"/>
              <w:ind w:hanging="0"/>
              <w:rPr/>
            </w:pPr>
            <w:r>
              <w:rPr/>
              <w:t>502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13</w:t>
            </w:r>
          </w:p>
        </w:tc>
        <w:tc>
          <w:tcPr>
            <w:tcW w:w="4031" w:type="dxa"/>
            <w:tcBorders>
              <w:start w:val="single" w:sz="4" w:space="0" w:color="000000"/>
              <w:bottom w:val="single" w:sz="4" w:space="0" w:color="000000"/>
            </w:tcBorders>
          </w:tcPr>
          <w:p>
            <w:pPr>
              <w:pStyle w:val="Zawartotabeliuser"/>
              <w:ind w:hanging="0"/>
              <w:rPr/>
            </w:pPr>
            <w:r>
              <w:rPr/>
              <w:t>Zmiany naczyniowe</w:t>
            </w:r>
          </w:p>
        </w:tc>
        <w:tc>
          <w:tcPr>
            <w:tcW w:w="2266" w:type="dxa"/>
            <w:tcBorders>
              <w:start w:val="single" w:sz="4" w:space="0" w:color="000000"/>
              <w:bottom w:val="single" w:sz="4" w:space="0" w:color="000000"/>
            </w:tcBorders>
          </w:tcPr>
          <w:p>
            <w:pPr>
              <w:pStyle w:val="Zawartotabeliuser"/>
              <w:ind w:hanging="0"/>
              <w:rPr/>
            </w:pPr>
            <w:r>
              <w:rPr/>
              <w:t>Vascular lesions</w:t>
            </w:r>
          </w:p>
        </w:tc>
        <w:tc>
          <w:tcPr>
            <w:tcW w:w="2265" w:type="dxa"/>
            <w:tcBorders>
              <w:start w:val="single" w:sz="4" w:space="0" w:color="000000"/>
              <w:bottom w:val="single" w:sz="4" w:space="0" w:color="000000"/>
              <w:end w:val="single" w:sz="4" w:space="0" w:color="000000"/>
            </w:tcBorders>
          </w:tcPr>
          <w:p>
            <w:pPr>
              <w:pStyle w:val="Zawartotabeliuser"/>
              <w:ind w:hanging="0"/>
              <w:rPr/>
            </w:pPr>
            <w:r>
              <w:rPr/>
              <w:t>202</w:t>
            </w:r>
          </w:p>
        </w:tc>
      </w:tr>
      <w:tr>
        <w:trPr>
          <w:trHeight w:val="548" w:hRule="atLeast"/>
        </w:trPr>
        <w:tc>
          <w:tcPr>
            <w:tcW w:w="505" w:type="dxa"/>
            <w:tcBorders>
              <w:start w:val="single" w:sz="4" w:space="0" w:color="000000"/>
              <w:bottom w:val="single" w:sz="4" w:space="0" w:color="000000"/>
            </w:tcBorders>
          </w:tcPr>
          <w:p>
            <w:pPr>
              <w:pStyle w:val="Zawartotabeliuser"/>
              <w:ind w:hanging="0"/>
              <w:jc w:val="center"/>
              <w:rPr/>
            </w:pPr>
            <w:r>
              <w:rPr/>
              <w:t>14</w:t>
            </w:r>
          </w:p>
        </w:tc>
        <w:tc>
          <w:tcPr>
            <w:tcW w:w="4031" w:type="dxa"/>
            <w:tcBorders>
              <w:start w:val="single" w:sz="4" w:space="0" w:color="000000"/>
              <w:bottom w:val="single" w:sz="4" w:space="0" w:color="000000"/>
            </w:tcBorders>
          </w:tcPr>
          <w:p>
            <w:pPr>
              <w:pStyle w:val="Zawartotabeliuser"/>
              <w:ind w:hanging="0"/>
              <w:rPr/>
            </w:pPr>
            <w:r>
              <w:rPr/>
              <w:t>Włókniak skóry</w:t>
            </w:r>
          </w:p>
        </w:tc>
        <w:tc>
          <w:tcPr>
            <w:tcW w:w="2266" w:type="dxa"/>
            <w:tcBorders>
              <w:start w:val="single" w:sz="4" w:space="0" w:color="000000"/>
              <w:bottom w:val="single" w:sz="4" w:space="0" w:color="000000"/>
            </w:tcBorders>
          </w:tcPr>
          <w:p>
            <w:pPr>
              <w:pStyle w:val="Zawartotabeliuser"/>
              <w:ind w:hanging="0"/>
              <w:rPr/>
            </w:pPr>
            <w:r>
              <w:rPr/>
              <w:t>Dermatofibroma</w:t>
            </w:r>
          </w:p>
        </w:tc>
        <w:tc>
          <w:tcPr>
            <w:tcW w:w="2265" w:type="dxa"/>
            <w:tcBorders>
              <w:start w:val="single" w:sz="4" w:space="0" w:color="000000"/>
              <w:bottom w:val="single" w:sz="4" w:space="0" w:color="000000"/>
              <w:end w:val="single" w:sz="4" w:space="0" w:color="000000"/>
            </w:tcBorders>
          </w:tcPr>
          <w:p>
            <w:pPr>
              <w:pStyle w:val="Zawartotabeliuser"/>
              <w:ind w:hanging="0"/>
              <w:rPr/>
            </w:pPr>
            <w:r>
              <w:rPr/>
              <w:t>191</w:t>
            </w:r>
          </w:p>
        </w:tc>
      </w:tr>
      <w:tr>
        <w:trPr>
          <w:trHeight w:val="548" w:hRule="atLeast"/>
        </w:trPr>
        <w:tc>
          <w:tcPr>
            <w:tcW w:w="505" w:type="dxa"/>
            <w:tcBorders>
              <w:top w:val="single" w:sz="4" w:space="0" w:color="000000"/>
              <w:start w:val="single" w:sz="4" w:space="0" w:color="000000"/>
              <w:bottom w:val="single" w:sz="4" w:space="0" w:color="000000"/>
            </w:tcBorders>
          </w:tcPr>
          <w:p>
            <w:pPr>
              <w:pStyle w:val="Zawartotabeliuser"/>
              <w:ind w:hanging="0"/>
              <w:rPr/>
            </w:pPr>
            <w:r>
              <w:rPr/>
            </w:r>
          </w:p>
        </w:tc>
        <w:tc>
          <w:tcPr>
            <w:tcW w:w="4031" w:type="dxa"/>
            <w:tcBorders>
              <w:top w:val="single" w:sz="4" w:space="0" w:color="000000"/>
              <w:bottom w:val="single" w:sz="4" w:space="0" w:color="000000"/>
            </w:tcBorders>
          </w:tcPr>
          <w:p>
            <w:pPr>
              <w:pStyle w:val="Zawartotabeliuser"/>
              <w:ind w:hanging="0"/>
              <w:rPr/>
            </w:pPr>
            <w:r>
              <w:rPr/>
              <w:t>Łącznie</w:t>
            </w:r>
          </w:p>
        </w:tc>
        <w:tc>
          <w:tcPr>
            <w:tcW w:w="4531" w:type="dxa"/>
            <w:gridSpan w:val="2"/>
            <w:tcBorders>
              <w:start w:val="single" w:sz="4" w:space="0" w:color="000000"/>
              <w:bottom w:val="single" w:sz="4" w:space="0" w:color="000000"/>
              <w:end w:val="single" w:sz="4" w:space="0" w:color="000000"/>
            </w:tcBorders>
          </w:tcPr>
          <w:p>
            <w:pPr>
              <w:pStyle w:val="Zawartotabeliuser"/>
              <w:ind w:hanging="0"/>
              <w:jc w:val="center"/>
              <w:rPr/>
            </w:pPr>
            <w:r>
              <w:rPr/>
              <w:t>29 322</w:t>
            </w:r>
          </w:p>
        </w:tc>
      </w:tr>
    </w:tbl>
    <w:p>
      <w:pPr>
        <w:pStyle w:val="Normal"/>
        <w:ind w:hanging="0"/>
        <w:rPr/>
      </w:pPr>
      <w:r>
        <w:rPr/>
      </w:r>
    </w:p>
    <w:p>
      <w:pPr>
        <w:pStyle w:val="Heading2"/>
        <w:numPr>
          <w:ilvl w:val="1"/>
          <w:numId w:val="8"/>
        </w:numPr>
        <w:rPr/>
      </w:pPr>
      <w:bookmarkStart w:id="68" w:name="_Toc228645107"/>
      <w:r>
        <w:rPr/>
        <w:t>Środowisko treningowe i konfiguracja eksperymentów</w:t>
      </w:r>
      <w:bookmarkEnd w:id="68"/>
    </w:p>
    <w:p>
      <w:pPr>
        <w:pStyle w:val="Normal"/>
        <w:rPr/>
      </w:pPr>
      <w:r>
        <w:rPr/>
        <w:t>Proces treningu został przeprowadzony w środowisku Kaggle, z wykorzystaniem dwóch akceleratorów GPU NVIDIA T4 dostępnych na platformie. Takie podejście pozwoliło na odizolowanie etapu badawczego od warstwy produkcyjnej aplikacji oraz zapewniło powtarzalność warunków eksperymentu. Łączny czas treningu wszystkich pięciu architektur wyniósł około 9 godzin (</w:t>
      </w:r>
      <w:r>
        <w:rPr/>
        <w:fldChar w:fldCharType="begin"/>
      </w:r>
      <w:r>
        <w:rPr/>
        <w:instrText xml:space="preserve"> REF _Ref228207419 \h </w:instrText>
      </w:r>
      <w:r>
        <w:rPr/>
        <w:fldChar w:fldCharType="separate"/>
      </w:r>
      <w:r>
        <w:rPr/>
        <w:t>Rysunek 22</w:t>
      </w:r>
      <w:r>
        <w:rPr/>
        <w:fldChar w:fldCharType="end"/>
      </w:r>
      <w:r>
        <w:rPr/>
        <w:t>).</w:t>
      </w:r>
    </w:p>
    <w:p>
      <w:pPr>
        <w:pStyle w:val="Normal"/>
        <w:jc w:val="start"/>
        <w:rPr/>
      </w:pPr>
      <w:r>
        <w:rPr/>
      </w:r>
    </w:p>
    <w:p>
      <w:pPr>
        <w:pStyle w:val="Normal"/>
        <w:rPr/>
      </w:pPr>
      <w:r>
        <w:rPr/>
        <w:t>Każdy model trenowany był przez 25 epok z zastosowaniem mechanizmu wczesnego zatrzymania o cierpliwości równej 5 epokom, co chroniło przed nadmiernym dopasowaniem do zbioru treningowego. Jako funkcję straty przyjęto entropię krzyżową, natomiast optyma-lizację parametrów realizował algorytm Adam. Z uwagi na specyfikę architektur opartych na mechanizmie uwagi, dla modeli ViT oraz EfficientNet przyjęto mniejszy współczynnik uczenia wynoszący 0,0001, podczas gdy dla pozostałych modeli zastosowano wartość 0,001. Po zakończeniu treningu wagi każdego modelu zostały wyeksportowane do formatu „.pth” i zintegrowane z warstwą serwerową aplikacji.</w:t>
      </w:r>
    </w:p>
    <w:p>
      <w:pPr>
        <w:pStyle w:val="Normal"/>
        <w:keepNext w:val="true"/>
        <w:jc w:val="center"/>
        <w:rPr/>
      </w:pPr>
      <w:r>
        <w:rPr/>
        <w:drawing>
          <wp:inline distT="0" distB="0" distL="0" distR="0">
            <wp:extent cx="2686050" cy="3162300"/>
            <wp:effectExtent l="0" t="0" r="0" b="0"/>
            <wp:docPr id="2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3"/>
                    <pic:cNvPicPr>
                      <a:picLocks noChangeAspect="1" noChangeArrowheads="1"/>
                    </pic:cNvPicPr>
                  </pic:nvPicPr>
                  <pic:blipFill>
                    <a:blip r:embed="rId25"/>
                    <a:stretch>
                      <a:fillRect/>
                    </a:stretch>
                  </pic:blipFill>
                  <pic:spPr bwMode="auto">
                    <a:xfrm>
                      <a:off x="0" y="0"/>
                      <a:ext cx="2686050" cy="3162300"/>
                    </a:xfrm>
                    <a:prstGeom prst="rect">
                      <a:avLst/>
                    </a:prstGeom>
                    <a:noFill/>
                  </pic:spPr>
                </pic:pic>
              </a:graphicData>
            </a:graphic>
          </wp:inline>
        </w:drawing>
      </w:r>
    </w:p>
    <w:p>
      <w:pPr>
        <w:pStyle w:val="Caption"/>
        <w:rPr/>
      </w:pPr>
      <w:bookmarkStart w:id="69" w:name="_Toc228645516"/>
      <w:bookmarkStart w:id="70" w:name="_Ref228207405"/>
      <w:bookmarkStart w:id="71" w:name="_Ref228207419"/>
      <w:r>
        <w:rPr/>
        <w:t xml:space="preserve">Rysunek </w:t>
      </w:r>
      <w:r>
        <w:rPr/>
        <w:fldChar w:fldCharType="begin"/>
      </w:r>
      <w:r>
        <w:rPr/>
        <w:instrText xml:space="preserve"> SEQ Rysunek \* ARABIC </w:instrText>
      </w:r>
      <w:r>
        <w:rPr/>
        <w:fldChar w:fldCharType="separate"/>
      </w:r>
      <w:r>
        <w:rPr/>
        <w:t>22</w:t>
      </w:r>
      <w:r>
        <w:rPr/>
        <w:fldChar w:fldCharType="end"/>
      </w:r>
      <w:bookmarkEnd w:id="71"/>
      <w:r>
        <w:rPr/>
        <w:t xml:space="preserve"> Czas trwania treningu oraz ilość użytych GPU</w:t>
      </w:r>
      <w:bookmarkEnd w:id="69"/>
      <w:bookmarkEnd w:id="70"/>
      <w:r>
        <w:rPr/>
        <w:t xml:space="preserve"> </w:t>
      </w:r>
    </w:p>
    <w:p>
      <w:pPr>
        <w:pStyle w:val="Heading2"/>
        <w:numPr>
          <w:ilvl w:val="1"/>
          <w:numId w:val="8"/>
        </w:numPr>
        <w:rPr/>
      </w:pPr>
      <w:bookmarkStart w:id="72" w:name="_Toc228645108"/>
      <w:r>
        <w:rPr/>
        <w:t>Implementacja i adaptacja architektur sieciowych</w:t>
      </w:r>
      <w:bookmarkEnd w:id="72"/>
    </w:p>
    <w:p>
      <w:pPr>
        <w:pStyle w:val="Normal"/>
        <w:ind w:firstLine="708"/>
        <w:rPr/>
      </w:pPr>
      <w:r>
        <w:rPr/>
        <w:t>Wszystkie pięć modeli zostało przygotowanych w ramach jednego wspólnego rozwiązania, które na podstawie wybranego wariantu tworzy odpowiednią sieć i uruchamia ją na dostępnym sprzęcie obliczeniowym. Wykorzystano równoległe użycie dwóch kart graficznych, co pozwoliło podzielić obliczenia i skrócić łączny czas treningu.</w:t>
      </w:r>
    </w:p>
    <w:p>
      <w:pPr>
        <w:pStyle w:val="Normal"/>
        <w:ind w:hanging="0"/>
        <w:rPr/>
      </w:pPr>
      <w:r>
        <w:rPr/>
      </w:r>
    </w:p>
    <w:p>
      <w:pPr>
        <w:pStyle w:val="Heading3"/>
        <w:numPr>
          <w:ilvl w:val="2"/>
          <w:numId w:val="8"/>
        </w:numPr>
        <w:rPr/>
      </w:pPr>
      <w:bookmarkStart w:id="73" w:name="_Toc228645109"/>
      <w:r>
        <w:rPr/>
        <w:t>Custom CNN</w:t>
      </w:r>
      <w:bookmarkEnd w:id="73"/>
    </w:p>
    <w:p>
      <w:pPr>
        <w:pStyle w:val="Normal"/>
        <w:ind w:firstLine="708"/>
        <w:rPr/>
      </w:pPr>
      <w:r>
        <w:rPr/>
        <w:t>Jedyną architekturą zbudowaną od podstaw bez wstępnych wag jest CustomCNN. Sieć składa się z dwóch bloków funkcjonalnych. Część konwolucyjna zawiera trzy warstwy splotowe z filtrami o rozmiarze 3x3 i narastającą liczbą kanałów (32, 64, 128), z których każda poprzedzona jest funkcją aktywacji ReLU i zakończona warstwą MaxPooling redukującą wymiarowość przestrzenną o połowę. Część klasyfikacyjna spłaszcza wynikową mapę cech do wektora o 512 elementach, po czym stosuje regularyzację Dropout (p=0,5) i warstwę liniową mapującą na 14 klas wyjściowych. Sieć ta pełni rolę punktu odniesienia dla modeli pretrenowanych.</w:t>
      </w:r>
    </w:p>
    <w:p>
      <w:pPr>
        <w:pStyle w:val="Heading3"/>
        <w:numPr>
          <w:ilvl w:val="2"/>
          <w:numId w:val="8"/>
        </w:numPr>
        <w:rPr/>
      </w:pPr>
      <w:bookmarkStart w:id="74" w:name="_Toc228645110"/>
      <w:r>
        <w:rPr/>
        <w:t>ResNet-50</w:t>
      </w:r>
      <w:bookmarkEnd w:id="74"/>
    </w:p>
    <w:p>
      <w:pPr>
        <w:pStyle w:val="Normal"/>
        <w:ind w:firstLine="708"/>
        <w:rPr/>
      </w:pPr>
      <w:r>
        <w:rPr/>
        <w:t>Model został załadowany z wykorzystaniem wag ResNet50_Weights.DEFAULT, czyli wstępnie wytrenowanych na zbiorze ImageNet. Dostosowanie do zadania klasyfikacji 14 klas polegało na zastąpieniu oryginalnej warstwy końcowej nową warstwą liniową o liczbie wyjść równej liczbie klas. Pozostałe warstwy sieci były w pełni odmrożone, co pozwoliło na dostrojenie wszystkich wag podczas dotrenowania.</w:t>
      </w:r>
    </w:p>
    <w:p>
      <w:pPr>
        <w:pStyle w:val="Heading3"/>
        <w:numPr>
          <w:ilvl w:val="2"/>
          <w:numId w:val="8"/>
        </w:numPr>
        <w:rPr/>
      </w:pPr>
      <w:bookmarkStart w:id="75" w:name="_Toc228645111"/>
      <w:r>
        <w:rPr/>
        <w:t>MobileNetV3-Large</w:t>
      </w:r>
      <w:bookmarkEnd w:id="75"/>
    </w:p>
    <w:p>
      <w:pPr>
        <w:pStyle w:val="Normal"/>
        <w:ind w:firstLine="708"/>
        <w:rPr/>
      </w:pPr>
      <w:r>
        <w:rPr/>
        <w:t>W przypadku tej architektury warstwa klasyfikacyjna znajduje się wewnątrz głębszego modułu sekwencyjnego, dlatego zmodyfikowano jedynie jej wybrany element zamiast całego bloku. Takie podejście pozwala zachować oryginalną strukturę warstw normalizacji i aktywacji poprzedzających klasyfikator, co jest zalecane przy dostrajaniu tego modelu.</w:t>
      </w:r>
    </w:p>
    <w:p>
      <w:pPr>
        <w:pStyle w:val="Heading3"/>
        <w:numPr>
          <w:ilvl w:val="2"/>
          <w:numId w:val="8"/>
        </w:numPr>
        <w:rPr/>
      </w:pPr>
      <w:bookmarkStart w:id="76" w:name="_Toc228645112"/>
      <w:r>
        <w:rPr/>
        <w:t>EfficientNet-B0</w:t>
      </w:r>
      <w:bookmarkEnd w:id="76"/>
    </w:p>
    <w:p>
      <w:pPr>
        <w:pStyle w:val="Normal"/>
        <w:ind w:firstLine="708"/>
        <w:rPr/>
      </w:pPr>
      <w:r>
        <w:rPr/>
        <w:t>Zastosowano analogiczne podejście, polegające na modyfikacji końcowej części klasyfikatora przy jednoczesnym zachowaniu wbudowanej warstwy Dropout.</w:t>
      </w:r>
    </w:p>
    <w:p>
      <w:pPr>
        <w:pStyle w:val="Heading3"/>
        <w:numPr>
          <w:ilvl w:val="2"/>
          <w:numId w:val="8"/>
        </w:numPr>
        <w:rPr>
          <w:lang w:val="en-US"/>
        </w:rPr>
      </w:pPr>
      <w:bookmarkStart w:id="77" w:name="_Toc228645113"/>
      <w:r>
        <w:rPr>
          <w:lang w:val="en-US"/>
        </w:rPr>
        <w:t>Vision Transformer (ViT-B/16)</w:t>
      </w:r>
      <w:bookmarkEnd w:id="77"/>
    </w:p>
    <w:p>
      <w:pPr>
        <w:pStyle w:val="Normal"/>
        <w:ind w:firstLine="708"/>
        <w:rPr/>
      </w:pPr>
      <w:r>
        <w:rPr/>
        <w:t>Dostosowanie modelu wymagało ingerencji w moduł odpowiedzialny za warstwy klasyfikacyjne. Zmieniono końcową warstwę generującą predykcje, tak aby odpowiadała liczbie klas w rozpatrywanym zadaniu.</w:t>
      </w:r>
    </w:p>
    <w:p>
      <w:pPr>
        <w:pStyle w:val="Normal"/>
        <w:ind w:hanging="0"/>
        <w:rPr/>
      </w:pPr>
      <w:r>
        <w:rPr/>
      </w:r>
    </w:p>
    <w:p>
      <w:pPr>
        <w:pStyle w:val="Normal"/>
        <w:ind w:firstLine="708"/>
        <w:rPr/>
      </w:pPr>
      <w:r>
        <w:rPr/>
        <w:t>Podczas eksportu modelu do formatu TorchScript konieczne było wyłączenie standardowej weryfikacji śladu, co wynika z niedeterministycznego charakteru operacji związanych z mechanizmem uwagi stosowanym w tej architekturze.</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Caption"/>
        <w:rPr/>
      </w:pPr>
      <w:bookmarkStart w:id="78" w:name="_Toc228645184"/>
      <w:r>
        <w:rPr/>
        <w:t xml:space="preserve">Tabela </w:t>
      </w:r>
      <w:r>
        <w:rPr/>
        <w:fldChar w:fldCharType="begin"/>
      </w:r>
      <w:r>
        <w:rPr/>
        <w:instrText xml:space="preserve"> SEQ Tabela \* ARABIC </w:instrText>
      </w:r>
      <w:r>
        <w:rPr/>
        <w:fldChar w:fldCharType="separate"/>
      </w:r>
      <w:r>
        <w:rPr/>
        <w:t>3</w:t>
      </w:r>
      <w:r>
        <w:rPr/>
        <w:fldChar w:fldCharType="end"/>
      </w:r>
      <w:r>
        <w:rPr/>
        <w:t xml:space="preserve"> Porównanie architektury i parametrów wybranych modeli sieci neuronowych.</w:t>
      </w:r>
      <w:bookmarkEnd w:id="78"/>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0"/>
        <w:gridCol w:w="1819"/>
      </w:tblGrid>
      <w:tr>
        <w:trPr/>
        <w:tc>
          <w:tcPr>
            <w:tcW w:w="1814" w:type="dxa"/>
            <w:tcBorders>
              <w:top w:val="single" w:sz="4" w:space="0" w:color="000000"/>
              <w:start w:val="single" w:sz="4" w:space="0" w:color="000000"/>
              <w:bottom w:val="single" w:sz="4" w:space="0" w:color="000000"/>
            </w:tcBorders>
          </w:tcPr>
          <w:p>
            <w:pPr>
              <w:pStyle w:val="Zawartotabeli"/>
              <w:ind w:hanging="0"/>
              <w:rPr/>
            </w:pPr>
            <w:r>
              <w:rPr/>
              <w:t>Model</w:t>
            </w:r>
          </w:p>
        </w:tc>
        <w:tc>
          <w:tcPr>
            <w:tcW w:w="1812" w:type="dxa"/>
            <w:tcBorders>
              <w:top w:val="single" w:sz="4" w:space="0" w:color="000000"/>
              <w:start w:val="single" w:sz="4" w:space="0" w:color="000000"/>
              <w:bottom w:val="single" w:sz="4" w:space="0" w:color="000000"/>
            </w:tcBorders>
          </w:tcPr>
          <w:p>
            <w:pPr>
              <w:pStyle w:val="Zawartotabeli"/>
              <w:ind w:hanging="0"/>
              <w:rPr/>
            </w:pPr>
            <w:r>
              <w:rPr/>
              <w:t>Parametry</w:t>
            </w:r>
          </w:p>
        </w:tc>
        <w:tc>
          <w:tcPr>
            <w:tcW w:w="1817" w:type="dxa"/>
            <w:tcBorders>
              <w:top w:val="single" w:sz="4" w:space="0" w:color="000000"/>
              <w:start w:val="single" w:sz="4" w:space="0" w:color="000000"/>
              <w:bottom w:val="single" w:sz="4" w:space="0" w:color="000000"/>
            </w:tcBorders>
          </w:tcPr>
          <w:p>
            <w:pPr>
              <w:pStyle w:val="Zawartotabeli"/>
              <w:ind w:hanging="0"/>
              <w:rPr/>
            </w:pPr>
            <w:r>
              <w:rPr/>
              <w:t>Pretrenowany</w:t>
            </w:r>
          </w:p>
        </w:tc>
        <w:tc>
          <w:tcPr>
            <w:tcW w:w="1810" w:type="dxa"/>
            <w:tcBorders>
              <w:top w:val="single" w:sz="4" w:space="0" w:color="000000"/>
              <w:start w:val="single" w:sz="4" w:space="0" w:color="000000"/>
              <w:bottom w:val="single" w:sz="4" w:space="0" w:color="000000"/>
            </w:tcBorders>
          </w:tcPr>
          <w:p>
            <w:pPr>
              <w:pStyle w:val="Zawartotabeli"/>
              <w:ind w:hanging="0"/>
              <w:rPr/>
            </w:pPr>
            <w:r>
              <w:rPr/>
              <w:t xml:space="preserve"> </w:t>
            </w:r>
            <w:r>
              <w:rPr/>
              <w:t>Warstwy</w:t>
            </w:r>
          </w:p>
        </w:tc>
        <w:tc>
          <w:tcPr>
            <w:tcW w:w="1819"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Learning rate</w:t>
            </w:r>
          </w:p>
        </w:tc>
      </w:tr>
      <w:tr>
        <w:trPr/>
        <w:tc>
          <w:tcPr>
            <w:tcW w:w="1814" w:type="dxa"/>
            <w:tcBorders>
              <w:start w:val="single" w:sz="4" w:space="0" w:color="000000"/>
              <w:bottom w:val="single" w:sz="4" w:space="0" w:color="000000"/>
            </w:tcBorders>
          </w:tcPr>
          <w:p>
            <w:pPr>
              <w:pStyle w:val="Zawartotabeli"/>
              <w:ind w:hanging="0"/>
              <w:rPr/>
            </w:pPr>
            <w:r>
              <w:rPr/>
              <w:t>CustomCNN</w:t>
            </w:r>
          </w:p>
        </w:tc>
        <w:tc>
          <w:tcPr>
            <w:tcW w:w="1812" w:type="dxa"/>
            <w:tcBorders>
              <w:start w:val="single" w:sz="4" w:space="0" w:color="000000"/>
              <w:bottom w:val="single" w:sz="4" w:space="0" w:color="000000"/>
            </w:tcBorders>
          </w:tcPr>
          <w:p>
            <w:pPr>
              <w:pStyle w:val="Zawartotabeli"/>
              <w:ind w:hanging="0"/>
              <w:rPr/>
            </w:pPr>
            <w:r>
              <w:rPr/>
              <w:t>51.48M</w:t>
            </w:r>
          </w:p>
        </w:tc>
        <w:tc>
          <w:tcPr>
            <w:tcW w:w="1817" w:type="dxa"/>
            <w:tcBorders>
              <w:start w:val="single" w:sz="4" w:space="0" w:color="000000"/>
              <w:bottom w:val="single" w:sz="4" w:space="0" w:color="000000"/>
            </w:tcBorders>
          </w:tcPr>
          <w:p>
            <w:pPr>
              <w:pStyle w:val="Zawartotabeli"/>
              <w:ind w:hanging="0"/>
              <w:rPr/>
            </w:pPr>
            <w:r>
              <w:rPr/>
              <w:t>Uczony od zera</w:t>
            </w:r>
          </w:p>
        </w:tc>
        <w:tc>
          <w:tcPr>
            <w:tcW w:w="1810" w:type="dxa"/>
            <w:tcBorders>
              <w:start w:val="single" w:sz="4" w:space="0" w:color="000000"/>
              <w:bottom w:val="single" w:sz="4" w:space="0" w:color="000000"/>
            </w:tcBorders>
          </w:tcPr>
          <w:p>
            <w:pPr>
              <w:pStyle w:val="Zawartotabeli"/>
              <w:ind w:hanging="0"/>
              <w:rPr/>
            </w:pPr>
            <w:r>
              <w:rPr/>
              <w:t>5</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ResNet50</w:t>
            </w:r>
          </w:p>
        </w:tc>
        <w:tc>
          <w:tcPr>
            <w:tcW w:w="1812" w:type="dxa"/>
            <w:tcBorders>
              <w:start w:val="single" w:sz="4" w:space="0" w:color="000000"/>
              <w:bottom w:val="single" w:sz="4" w:space="0" w:color="000000"/>
            </w:tcBorders>
          </w:tcPr>
          <w:p>
            <w:pPr>
              <w:pStyle w:val="Zawartotabeli"/>
              <w:ind w:hanging="0"/>
              <w:rPr/>
            </w:pPr>
            <w:r>
              <w:rPr/>
              <w:t>23.59M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107</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MobileNetV3-Large</w:t>
            </w:r>
          </w:p>
        </w:tc>
        <w:tc>
          <w:tcPr>
            <w:tcW w:w="1812" w:type="dxa"/>
            <w:tcBorders>
              <w:start w:val="single" w:sz="4" w:space="0" w:color="000000"/>
              <w:bottom w:val="single" w:sz="4" w:space="0" w:color="000000"/>
            </w:tcBorders>
          </w:tcPr>
          <w:p>
            <w:pPr>
              <w:pStyle w:val="Zawartotabeli"/>
              <w:ind w:hanging="0"/>
              <w:rPr/>
            </w:pPr>
            <w:r>
              <w:rPr/>
              <w:t>4.24M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110</w:t>
            </w:r>
          </w:p>
        </w:tc>
        <w:tc>
          <w:tcPr>
            <w:tcW w:w="1819" w:type="dxa"/>
            <w:tcBorders>
              <w:start w:val="single" w:sz="4" w:space="0" w:color="000000"/>
              <w:bottom w:val="single" w:sz="4" w:space="0" w:color="000000"/>
              <w:end w:val="single" w:sz="4" w:space="0" w:color="000000"/>
            </w:tcBorders>
          </w:tcPr>
          <w:p>
            <w:pPr>
              <w:pStyle w:val="Zawartotabeli"/>
              <w:ind w:hanging="0"/>
              <w:rPr/>
            </w:pPr>
            <w:r>
              <w:rPr/>
              <w:t>0.001</w:t>
            </w:r>
          </w:p>
        </w:tc>
      </w:tr>
      <w:tr>
        <w:trPr/>
        <w:tc>
          <w:tcPr>
            <w:tcW w:w="1814" w:type="dxa"/>
            <w:tcBorders>
              <w:start w:val="single" w:sz="4" w:space="0" w:color="000000"/>
              <w:bottom w:val="single" w:sz="4" w:space="0" w:color="000000"/>
            </w:tcBorders>
          </w:tcPr>
          <w:p>
            <w:pPr>
              <w:pStyle w:val="Zawartotabeli"/>
              <w:ind w:hanging="0"/>
              <w:rPr/>
            </w:pPr>
            <w:r>
              <w:rPr/>
              <w:t>EfficientNet-B0</w:t>
            </w:r>
          </w:p>
        </w:tc>
        <w:tc>
          <w:tcPr>
            <w:tcW w:w="1812" w:type="dxa"/>
            <w:tcBorders>
              <w:start w:val="single" w:sz="4" w:space="0" w:color="000000"/>
              <w:bottom w:val="single" w:sz="4" w:space="0" w:color="000000"/>
            </w:tcBorders>
          </w:tcPr>
          <w:p>
            <w:pPr>
              <w:pStyle w:val="Zawartotabeli"/>
              <w:ind w:hanging="0"/>
              <w:rPr/>
            </w:pPr>
            <w:r>
              <w:rPr/>
              <w:t>4.07M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131</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r>
        <w:trPr/>
        <w:tc>
          <w:tcPr>
            <w:tcW w:w="1814" w:type="dxa"/>
            <w:tcBorders>
              <w:start w:val="single" w:sz="4" w:space="0" w:color="000000"/>
              <w:bottom w:val="single" w:sz="4" w:space="0" w:color="000000"/>
            </w:tcBorders>
          </w:tcPr>
          <w:p>
            <w:pPr>
              <w:pStyle w:val="Zawartotabeli"/>
              <w:ind w:hanging="0"/>
              <w:rPr/>
            </w:pPr>
            <w:r>
              <w:rPr/>
              <w:t>ViT-B/16</w:t>
            </w:r>
          </w:p>
        </w:tc>
        <w:tc>
          <w:tcPr>
            <w:tcW w:w="1812" w:type="dxa"/>
            <w:tcBorders>
              <w:start w:val="single" w:sz="4" w:space="0" w:color="000000"/>
              <w:bottom w:val="single" w:sz="4" w:space="0" w:color="000000"/>
            </w:tcBorders>
          </w:tcPr>
          <w:p>
            <w:pPr>
              <w:pStyle w:val="Zawartotabeli"/>
              <w:ind w:hanging="0"/>
              <w:rPr/>
            </w:pPr>
            <w:r>
              <w:rPr/>
              <w:t>85.81M</w:t>
            </w:r>
          </w:p>
        </w:tc>
        <w:tc>
          <w:tcPr>
            <w:tcW w:w="1817" w:type="dxa"/>
            <w:tcBorders>
              <w:start w:val="single" w:sz="4" w:space="0" w:color="000000"/>
              <w:bottom w:val="single" w:sz="4" w:space="0" w:color="000000"/>
            </w:tcBorders>
          </w:tcPr>
          <w:p>
            <w:pPr>
              <w:pStyle w:val="Zawartotabeli"/>
              <w:ind w:hanging="0"/>
              <w:rPr/>
            </w:pPr>
            <w:r>
              <w:rPr/>
              <w:t>Tak, zbór ImageNet</w:t>
            </w:r>
          </w:p>
        </w:tc>
        <w:tc>
          <w:tcPr>
            <w:tcW w:w="1810" w:type="dxa"/>
            <w:tcBorders>
              <w:start w:val="single" w:sz="4" w:space="0" w:color="000000"/>
              <w:bottom w:val="single" w:sz="4" w:space="0" w:color="000000"/>
            </w:tcBorders>
          </w:tcPr>
          <w:p>
            <w:pPr>
              <w:pStyle w:val="Zawartotabeli"/>
              <w:ind w:hanging="0"/>
              <w:rPr/>
            </w:pPr>
            <w:r>
              <w:rPr/>
              <w:t>77</w:t>
            </w:r>
          </w:p>
        </w:tc>
        <w:tc>
          <w:tcPr>
            <w:tcW w:w="1819" w:type="dxa"/>
            <w:tcBorders>
              <w:start w:val="single" w:sz="4" w:space="0" w:color="000000"/>
              <w:bottom w:val="single" w:sz="4" w:space="0" w:color="000000"/>
              <w:end w:val="single" w:sz="4" w:space="0" w:color="000000"/>
            </w:tcBorders>
          </w:tcPr>
          <w:p>
            <w:pPr>
              <w:pStyle w:val="Zawartotabeli"/>
              <w:ind w:hanging="0"/>
              <w:rPr/>
            </w:pPr>
            <w:r>
              <w:rPr/>
              <w:t>0.0001</w:t>
            </w:r>
          </w:p>
        </w:tc>
      </w:tr>
    </w:tbl>
    <w:p>
      <w:pPr>
        <w:pStyle w:val="Normal"/>
        <w:ind w:hanging="0"/>
        <w:rPr/>
      </w:pPr>
      <w:r>
        <w:rPr/>
      </w:r>
    </w:p>
    <w:p>
      <w:pPr>
        <w:pStyle w:val="Heading2"/>
        <w:numPr>
          <w:ilvl w:val="1"/>
          <w:numId w:val="8"/>
        </w:numPr>
        <w:rPr/>
      </w:pPr>
      <w:bookmarkStart w:id="79" w:name="_Toc228645114"/>
      <w:r>
        <w:rPr/>
        <w:t>Implementacja testu odporności modeli na lekkie zniekształcenia zdjęć</w:t>
      </w:r>
      <w:bookmarkEnd w:id="79"/>
    </w:p>
    <w:p>
      <w:pPr>
        <w:pStyle w:val="Normal"/>
        <w:keepNext w:val="true"/>
        <w:ind w:firstLine="708"/>
        <w:rPr/>
      </w:pPr>
      <w:r>
        <w:rPr/>
        <w:t>Po zakończeniu procesu treningu przeprowadzono dodatkowy test mający na celu ocenę oporności wytrenowanych modeli na typowe zniekształcenia, które mogą wystąpić w rzeczywistych warunkach klinicznych (np. podczas wykonywania zdjęć dermatoskopowych). Celem analizy było sprawdzenie, w jakim stopniu wprowadzenie lekkich zakłóceń wpływa na skuteczność klasyfikacji.</w:t>
      </w:r>
    </w:p>
    <w:p>
      <w:pPr>
        <w:pStyle w:val="Normal"/>
        <w:keepNext w:val="true"/>
        <w:ind w:hanging="0"/>
        <w:jc w:val="start"/>
        <w:rPr/>
      </w:pPr>
      <w:r>
        <w:rPr/>
        <w:t>W tym celu zaimplementowano dwa rodzaje sztucznych deformacji obrazu:</w:t>
      </w:r>
    </w:p>
    <w:p>
      <w:pPr>
        <w:pStyle w:val="ListParagraph"/>
        <w:keepNext w:val="true"/>
        <w:numPr>
          <w:ilvl w:val="0"/>
          <w:numId w:val="22"/>
        </w:numPr>
        <w:jc w:val="start"/>
        <w:rPr/>
      </w:pPr>
      <w:r>
        <w:rPr/>
        <w:t>szum Gaussowski: symulujący drobne zakłócenia wynikające z jakości sensora aparatu lub warunków oświetleniowych,</w:t>
      </w:r>
    </w:p>
    <w:p>
      <w:pPr>
        <w:pStyle w:val="ListParagraph"/>
        <w:keepNext w:val="true"/>
        <w:numPr>
          <w:ilvl w:val="0"/>
          <w:numId w:val="22"/>
        </w:numPr>
        <w:jc w:val="start"/>
        <w:rPr/>
      </w:pPr>
      <w:r>
        <w:rPr/>
        <w:t>rozmycie Gaussa: odpowiadające nieostremu ustawieniu ostrości lub niewielkim ruchom ręki podczas wykonywania zdjęcia.</w:t>
      </w:r>
    </w:p>
    <w:p>
      <w:pPr>
        <w:pStyle w:val="Normal"/>
        <w:keepNext w:val="true"/>
        <w:ind w:firstLine="360"/>
        <w:jc w:val="start"/>
        <w:rPr/>
      </w:pPr>
      <w:r>
        <w:rPr/>
      </w:r>
    </w:p>
    <w:p>
      <w:pPr>
        <w:pStyle w:val="Normal"/>
        <w:keepNext w:val="true"/>
        <w:ind w:firstLine="360"/>
        <w:rPr/>
      </w:pPr>
      <w:r>
        <w:rPr/>
        <w:t>Dla każdego typu zniekształcenia przygotowano oddzielny pipeline transformacji, który obejmował zmianę rozmiaru obrazu, normalizację oraz zastosowanie odpowiedniego filtra. Testy przeprowadzono na zbiorze testowym przy użyciu tych samych wag modeli, które uzyskano po treningu. Podczas testu modele pracowały w trybie ewaluacji, bez obliczania gradientów.</w:t>
      </w:r>
    </w:p>
    <w:p>
      <w:pPr>
        <w:pStyle w:val="Normal"/>
        <w:keepNext w:val="true"/>
        <w:ind w:firstLine="360"/>
        <w:jc w:val="start"/>
        <w:rPr/>
      </w:pPr>
      <w:r>
        <w:rPr/>
      </w:r>
    </w:p>
    <w:p>
      <w:pPr>
        <w:pStyle w:val="Normal"/>
        <w:keepNext w:val="true"/>
        <w:ind w:firstLine="360"/>
        <w:rPr/>
      </w:pPr>
      <w:r>
        <w:rPr/>
        <w:t>Wyniki testu odporności zestawiono w postaci tabeli porównawczej, prezentującej dokładność klasyfikacji uzyskaną na oryginalnym zbiorze testowym oraz po zastosowaniu poszczególnych zniekształceń. Dzięki temu możliwe było bezpośrednie porównanie spadku wydajności każdego modelu pod wpływem szumu i rozmycia.</w:t>
      </w:r>
    </w:p>
    <w:p>
      <w:pPr>
        <w:pStyle w:val="Heading2"/>
        <w:numPr>
          <w:ilvl w:val="1"/>
          <w:numId w:val="8"/>
        </w:numPr>
        <w:rPr/>
      </w:pPr>
      <w:bookmarkStart w:id="80" w:name="_Toc228645115"/>
      <w:r>
        <w:rPr/>
        <w:t>Implementacja mechanizmu Grad-CAM i generowa-nia map aktywacji</w:t>
      </w:r>
      <w:bookmarkEnd w:id="80"/>
    </w:p>
    <w:p>
      <w:pPr>
        <w:pStyle w:val="Normal"/>
        <w:ind w:hanging="0"/>
        <w:rPr/>
      </w:pPr>
      <w:r>
        <w:rPr/>
        <w:t xml:space="preserve">  </w:t>
      </w:r>
      <w:r>
        <w:rPr/>
        <w:tab/>
        <w:t>Istotnym elementem warstwy uczenia maszynowego w projektowanym systemie jest moduł objaśnialności, zaimplementowany w ramach klasy ImageProcessor. Jego zadaniem jest nie tylko klasyfikacja obrazu, lecz także wskazanie obszarów, które w największym stopniu determinowały decyzję modelu. W diagnostyce medycznej ma to kluczowe znaczenie, ponieważ pozwala lekarzowi lub użytkownikowi zweryfikować, czy sieć neuronowa skupia się na faktycznej zmianie skórnej, czy jedynie na artefaktach wizualnych w tle (np. włosach lub oświetleniu).</w:t>
      </w:r>
    </w:p>
    <w:p>
      <w:pPr>
        <w:pStyle w:val="Normal"/>
        <w:ind w:hanging="0"/>
        <w:jc w:val="start"/>
        <w:rPr/>
      </w:pPr>
      <w:r>
        <w:rPr/>
      </w:r>
    </w:p>
    <w:p>
      <w:pPr>
        <w:pStyle w:val="Normal"/>
        <w:ind w:firstLine="708"/>
        <w:rPr/>
      </w:pPr>
      <w:r>
        <w:rPr/>
        <w:t>Do generowania map aktywacji wykorzystano bibliotekę pytorch-grad-cam, implementującą algorytm Gradient-weighted Class Activation Mapping (Grad-CAM). Metoda ta bazuje na obliczaniu gradientów sygnału wyjściowego wybranej klasy względem aktywacji w ostatniej warstwie konwolucyjnej. Wynikowy obraz ciepła nakładany jest na zdjęcie źródłowe (</w:t>
      </w:r>
      <w:r>
        <w:rPr/>
        <w:fldChar w:fldCharType="begin"/>
      </w:r>
      <w:r>
        <w:rPr/>
        <w:instrText xml:space="preserve"> REF _Ref228209582 \h </w:instrText>
      </w:r>
      <w:r>
        <w:rPr/>
        <w:fldChar w:fldCharType="separate"/>
      </w:r>
      <w:r>
        <w:rPr/>
        <w:t>Rysunek 23</w:t>
      </w:r>
      <w:r>
        <w:rPr/>
        <w:fldChar w:fldCharType="end"/>
      </w:r>
      <w:r>
        <w:rPr/>
        <w:t>). Finalna wizualizacja przekazywana jest do interfejsu użytkownika w formacie PNG, przy wykorzystaniu kodowania Base64.</w:t>
      </w:r>
    </w:p>
    <w:p>
      <w:pPr>
        <w:pStyle w:val="Normal"/>
        <w:ind w:firstLine="708"/>
        <w:rPr/>
      </w:pPr>
      <w:r>
        <w:rPr/>
      </w:r>
    </w:p>
    <w:p>
      <w:pPr>
        <w:pStyle w:val="Normal"/>
        <w:ind w:firstLine="360"/>
        <w:rPr/>
      </w:pPr>
      <w:r>
        <w:rPr/>
        <w:t>Z uwagi na różnorodność struktur wewnętrznych zastosowanych architektur, wybór warstwy docelowej do ekstrakcji gradientów musiał zostać dostosowany indywidualnie dla każdego modelu:</w:t>
      </w:r>
    </w:p>
    <w:p>
      <w:pPr>
        <w:pStyle w:val="ListParagraph"/>
        <w:numPr>
          <w:ilvl w:val="0"/>
          <w:numId w:val="23"/>
        </w:numPr>
        <w:jc w:val="start"/>
        <w:rPr/>
      </w:pPr>
      <w:r>
        <w:rPr/>
        <w:t>ResNet-50: jako warstwę docelową wskazano ostatni blok rezydualny w czwartym module. Warstwa ta agreguje cechy o najwyższym poziomie abstrakcji bezpośrednio przed etapem klasyfikacji.</w:t>
      </w:r>
    </w:p>
    <w:p>
      <w:pPr>
        <w:pStyle w:val="ListParagraph"/>
        <w:numPr>
          <w:ilvl w:val="0"/>
          <w:numId w:val="23"/>
        </w:numPr>
        <w:jc w:val="start"/>
        <w:rPr/>
      </w:pPr>
      <w:r>
        <w:rPr/>
        <w:t>MobileNetV3 oraz EfficientNet-B0: wykorzystano ostatnią warstwę bloku ekstrakcji cech. Podobieństwo strukturalne obu sieci pozwoliło na ujednolicenie mechanizmu pobierania gradientów.</w:t>
      </w:r>
    </w:p>
    <w:p>
      <w:pPr>
        <w:pStyle w:val="ListParagraph"/>
        <w:numPr>
          <w:ilvl w:val="0"/>
          <w:numId w:val="23"/>
        </w:numPr>
        <w:jc w:val="start"/>
        <w:rPr/>
      </w:pPr>
      <w:r>
        <w:rPr/>
        <w:t>CustomCNN: ze względu na autorską strukturę modelu, zastosowano podejście dynamiczne. Algorytm przeszukuje moduł cech w odwróconej kolejności, aby zidentyfikować ostatnią instancję klasy Conv2d. W przypadku jej braku, przeszukiwane jest całe drzewo modułów w celu odnalezienia ostatniej warstwy konwolucyjnej. Takie rozwiązanie zapewnia stabilność działania modułu objaśnialności nawet po modyfikacjach architektury sieci.</w:t>
      </w:r>
    </w:p>
    <w:p>
      <w:pPr>
        <w:pStyle w:val="ListParagraph"/>
        <w:numPr>
          <w:ilvl w:val="0"/>
          <w:numId w:val="23"/>
        </w:numPr>
        <w:jc w:val="start"/>
        <w:rPr/>
      </w:pPr>
      <w:r>
        <w:rPr/>
        <w:t>Vision Transformer (ViT): ze względu na brak warstw konwolucyjnych, punktem odniesienia dla gradientów uczyniono ostatnią warstwę normalizacji w enkoderze. Ponieważ ViT operuje na tokenach sekwencyjnych, a nie na mapach przestrzennych, konieczne było zastosowanie funkcj, która przekształca ona wyjście atencji z postaci sekwencji tokenów (B, N, C) na mapę przestrzenną (B, C, H, W), usuwając uprzednio token klasyfikacyjny CLS. Bez tego kroku biblioteka Grad-CAM nie byłaby w stanie zinterpretować wyjścia transformera jako siatki przestrzennej.</w:t>
      </w:r>
    </w:p>
    <w:p>
      <w:pPr>
        <w:pStyle w:val="Normal"/>
        <w:ind w:hanging="0"/>
        <w:jc w:val="start"/>
        <w:rPr/>
      </w:pPr>
      <w:r>
        <w:rPr/>
      </w:r>
    </w:p>
    <w:p>
      <w:pPr>
        <w:pStyle w:val="Normal"/>
        <w:ind w:hanging="0"/>
        <w:rPr/>
      </w:pPr>
      <w:r>
        <w:rPr/>
        <w:t>Cały proces generowania heatmapy osłonięty jest blokiem obsługi wyjątków. W razie niepowodzenia dla danej architektury funkcja zwraca obraz oryginalny przeskalowany do docelowego rozmiaru, co zapobiega przerwaniu całego potoku analizy przez błąd jednego modelu. Zachowanie to rejestrowane jest w logu systemowym z informacją o typie modelu i przyczynie błędu.</w:t>
      </w:r>
    </w:p>
    <w:p>
      <w:pPr>
        <w:pStyle w:val="Normal"/>
        <w:keepNext w:val="true"/>
        <w:ind w:hanging="0"/>
        <w:jc w:val="center"/>
        <w:rPr/>
      </w:pPr>
      <w:r>
        <w:rPr/>
        <w:drawing>
          <wp:inline distT="0" distB="0" distL="0" distR="0">
            <wp:extent cx="5760720" cy="2354580"/>
            <wp:effectExtent l="0" t="0" r="0" b="0"/>
            <wp:docPr id="24"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6"/>
                    <pic:cNvPicPr>
                      <a:picLocks noChangeAspect="1" noChangeArrowheads="1"/>
                    </pic:cNvPicPr>
                  </pic:nvPicPr>
                  <pic:blipFill>
                    <a:blip r:embed="rId26"/>
                    <a:stretch>
                      <a:fillRect/>
                    </a:stretch>
                  </pic:blipFill>
                  <pic:spPr bwMode="auto">
                    <a:xfrm>
                      <a:off x="0" y="0"/>
                      <a:ext cx="5760720" cy="2354580"/>
                    </a:xfrm>
                    <a:prstGeom prst="rect">
                      <a:avLst/>
                    </a:prstGeom>
                    <a:noFill/>
                  </pic:spPr>
                </pic:pic>
              </a:graphicData>
            </a:graphic>
          </wp:inline>
        </w:drawing>
      </w:r>
    </w:p>
    <w:p>
      <w:pPr>
        <w:pStyle w:val="Caption"/>
        <w:rPr/>
      </w:pPr>
      <w:bookmarkStart w:id="81" w:name="_Toc228645517"/>
      <w:bookmarkStart w:id="82" w:name="_Ref228209576"/>
      <w:bookmarkStart w:id="83" w:name="_Ref228209582"/>
      <w:r>
        <w:rPr/>
        <w:t xml:space="preserve">Rysunek </w:t>
      </w:r>
      <w:r>
        <w:rPr/>
        <w:fldChar w:fldCharType="begin"/>
      </w:r>
      <w:r>
        <w:rPr/>
        <w:instrText xml:space="preserve"> SEQ Rysunek \* ARABIC </w:instrText>
      </w:r>
      <w:r>
        <w:rPr/>
        <w:fldChar w:fldCharType="separate"/>
      </w:r>
      <w:r>
        <w:rPr/>
        <w:t>23</w:t>
      </w:r>
      <w:r>
        <w:rPr/>
        <w:fldChar w:fldCharType="end"/>
      </w:r>
      <w:bookmarkEnd w:id="83"/>
      <w:r>
        <w:rPr/>
        <w:t xml:space="preserve"> GradCam modelu mobilenetV3-Large podczas wykrywania choroby</w:t>
      </w:r>
      <w:bookmarkEnd w:id="81"/>
      <w:bookmarkEnd w:id="82"/>
    </w:p>
    <w:p>
      <w:pPr>
        <w:pStyle w:val="Heading2"/>
        <w:numPr>
          <w:ilvl w:val="1"/>
          <w:numId w:val="8"/>
        </w:numPr>
        <w:rPr/>
      </w:pPr>
      <w:bookmarkStart w:id="84" w:name="_Toc228645116"/>
      <w:r>
        <w:rPr/>
        <w:t>Implementacja systemu ensemble i mechanizmu głosowania</w:t>
      </w:r>
      <w:bookmarkEnd w:id="84"/>
    </w:p>
    <w:p>
      <w:pPr>
        <w:pStyle w:val="Normal"/>
        <w:ind w:firstLine="708"/>
        <w:rPr/>
      </w:pPr>
      <w:r>
        <w:rPr/>
        <w:t>Finalny wynik diagnostyczny systemu nie pochodzi od jednego modelu, lecz jest wynikiem agregacji predykcji wszystkich pięciu architektur. Takie podejście, określane w literaturze jako ensemble, pozwala ograniczyć wpływ błędów indywidualnych modeli na końcową decyzję i zwiększa stabilność systemu wobec trudnych przypadków brzegowych.</w:t>
      </w:r>
    </w:p>
    <w:p>
      <w:pPr>
        <w:pStyle w:val="Normal"/>
        <w:ind w:firstLine="708"/>
        <w:jc w:val="start"/>
        <w:rPr/>
      </w:pPr>
      <w:r>
        <w:rPr/>
      </w:r>
    </w:p>
    <w:p>
      <w:pPr>
        <w:pStyle w:val="Normal"/>
        <w:ind w:firstLine="708"/>
        <w:rPr/>
      </w:pPr>
      <w:r>
        <w:rPr/>
        <w:t>Każdy model przetwarza ten sam tensor wejściowy, powstały z jednorazowego preprocessingu obrazu. Modele uruchamiane są sekwencyjnie w pętli iterującej po słowniku załadowanych wag. Dla każdego modelu wywoływana jest funkcja predict, która przepuszcza tensor przez sieć, a surowe wyjście warstwy liniowej przekształca funkcją softmax na rozkład prawdopodobieństwa po wszystkich 14 klasach. Zwracane są trzy najlepsze klasy wraz z ich prawdopodobieństwami.</w:t>
      </w:r>
    </w:p>
    <w:p>
      <w:pPr>
        <w:pStyle w:val="Normal"/>
        <w:ind w:firstLine="708"/>
        <w:rPr/>
      </w:pPr>
      <w:r>
        <w:rPr/>
      </w:r>
    </w:p>
    <w:p>
      <w:pPr>
        <w:pStyle w:val="Normal"/>
        <w:ind w:firstLine="708"/>
        <w:rPr/>
      </w:pPr>
      <w:r>
        <w:rPr/>
        <w:t>Każdy model oddaje jeden głos na klasę, którą wskazał jako najbardziej prawdopodobną. Głosy są zliczane, po czym wybierana jest klasa z największą liczbą głosów. Dla zwycięskiej klasy obliczana jest następnie średnia arytmetyczna pewności ze wszystkich modeli, które na nią głosowały. Wartość ta stanowi wynikową pewność konsensusu prezentowaną użytkownikowi.</w:t>
      </w:r>
    </w:p>
    <w:p>
      <w:pPr>
        <w:pStyle w:val="Normal"/>
        <w:ind w:hanging="0"/>
        <w:rPr/>
      </w:pPr>
      <w:r>
        <w:rPr/>
        <w:tab/>
        <w:t>W zastosowanym podejściu wykorzystano mechanizm głosowania nieważonego, w którym każdy z pięciu modeli ma taki sam wpływ na wynik końcowy. Oznacza to, że indywidualna skuteczność modeli, mierzona na zbiorze testowym, nie wpływa bezpośrednio na ich udział w podejmowaniu decyzji. Przyjęcie takiego rozwiązania było świadome i wynikało z faktu, że różnice w dokładności pomiędzy modelami nie były na tyle istotne, aby uzasadnić wprowadzenie bardziej złożonego systemu ważenia. Dodatkowa kalibracja mogłaby w tym przypadku zwiększyć złożoność systemu i utrudnić interpretację uzyskiwanych wyników.</w:t>
      </w:r>
    </w:p>
    <w:p>
      <w:pPr>
        <w:pStyle w:val="Normal"/>
        <w:ind w:hanging="0"/>
        <w:rPr/>
      </w:pPr>
      <w:r>
        <w:rPr/>
        <w:br/>
        <w:t xml:space="preserve"> </w:t>
        <w:tab/>
        <w:t>W sytuacji, gdy którykolwiek z modeli nie zwróci wyniku, na przykład z powodu błędu w trakcie inferencji, jest on pomijany w procesie głosowania. Nie powoduje to przerwania całego procesu, a konsensus wyznaczany jest na podstawie pozostałych, poprawnie działających modeli. Informacja o takim zdarzeniu jest zapisywana w logach systemowych, co umożliwia późniejszą analizę ewentualnych problemów.</w:t>
      </w:r>
    </w:p>
    <w:p>
      <w:pPr>
        <w:pStyle w:val="Normal"/>
        <w:ind w:hanging="0"/>
        <w:rPr/>
      </w:pPr>
      <w:r>
        <w:rPr/>
      </w:r>
    </w:p>
    <w:p>
      <w:pPr>
        <w:pStyle w:val="Normal"/>
        <w:ind w:firstLine="708"/>
        <w:jc w:val="start"/>
        <w:rPr/>
      </w:pPr>
      <w:r>
        <w:rPr/>
        <w:t>Ostateczny wynik konsensusu, wraz z przypisanym poziomem ryzyka dla wybranej klasy, zapisywany jest w bazie danych jako główny rezultat przeprowadzonego badania. Jednocześnie wyniki poszczególnych modeli przechowywane są oddzielnie, co pozwala na analizę rozbieżności pomiędzy ich predykcjami w późniejszym etapie, na przykład w kontekście historii badań.</w:t>
      </w:r>
    </w:p>
    <w:p>
      <w:pPr>
        <w:pStyle w:val="Normal"/>
        <w:ind w:hanging="0"/>
        <w:rPr>
          <w:b/>
        </w:rPr>
      </w:pPr>
      <w:r>
        <w:rPr>
          <w:b/>
        </w:rPr>
        <w:drawing>
          <wp:anchor distT="0" distB="0" distL="0" distR="0" simplePos="0" relativeHeight="44" behindDoc="0" locked="0" layoutInCell="0" allowOverlap="1">
            <wp:simplePos x="0" y="0"/>
            <wp:positionH relativeFrom="column">
              <wp:posOffset>0</wp:posOffset>
            </wp:positionH>
            <wp:positionV relativeFrom="paragraph">
              <wp:posOffset>258445</wp:posOffset>
            </wp:positionV>
            <wp:extent cx="5760720" cy="3641090"/>
            <wp:effectExtent l="0" t="0" r="0" b="0"/>
            <wp:wrapTopAndBottom/>
            <wp:docPr id="25"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7"/>
                    <pic:cNvPicPr>
                      <a:picLocks noChangeAspect="1" noChangeArrowheads="1"/>
                    </pic:cNvPicPr>
                  </pic:nvPicPr>
                  <pic:blipFill>
                    <a:blip r:embed="rId27"/>
                    <a:stretch>
                      <a:fillRect/>
                    </a:stretch>
                  </pic:blipFill>
                  <pic:spPr bwMode="auto">
                    <a:xfrm>
                      <a:off x="0" y="0"/>
                      <a:ext cx="5760720" cy="3641090"/>
                    </a:xfrm>
                    <a:prstGeom prst="rect">
                      <a:avLst/>
                    </a:prstGeom>
                    <a:noFill/>
                  </pic:spPr>
                </pic:pic>
              </a:graphicData>
            </a:graphic>
          </wp:anchor>
        </w:drawing>
        <mc:AlternateContent>
          <mc:Choice Requires="wps">
            <w:drawing>
              <wp:anchor distT="0" distB="6985" distL="114300" distR="125730" simplePos="0" relativeHeight="45" behindDoc="0" locked="0" layoutInCell="0" allowOverlap="1" wp14:anchorId="750C9ACB">
                <wp:simplePos x="0" y="0"/>
                <wp:positionH relativeFrom="column">
                  <wp:posOffset>0</wp:posOffset>
                </wp:positionH>
                <wp:positionV relativeFrom="paragraph">
                  <wp:posOffset>3956685</wp:posOffset>
                </wp:positionV>
                <wp:extent cx="5760720" cy="235585"/>
                <wp:effectExtent l="0" t="635" r="0" b="0"/>
                <wp:wrapTopAndBottom/>
                <wp:docPr id="26" name="Pole tekstowe 1"/>
                <a:graphic xmlns:a="http://schemas.openxmlformats.org/drawingml/2006/main">
                  <a:graphicData uri="http://schemas.microsoft.com/office/word/2010/wordprocessingShape">
                    <wps:wsp>
                      <wps:cNvSpPr/>
                      <wps:spPr>
                        <a:xfrm>
                          <a:off x="0" y="0"/>
                          <a:ext cx="5760720" cy="235440"/>
                        </a:xfrm>
                        <a:prstGeom prst="rect">
                          <a:avLst/>
                        </a:prstGeom>
                        <a:noFill/>
                        <a:ln w="0">
                          <a:noFill/>
                        </a:ln>
                      </wps:spPr>
                      <wps:style>
                        <a:lnRef idx="0"/>
                        <a:fillRef idx="0"/>
                        <a:effectRef idx="0"/>
                        <a:fontRef idx="minor"/>
                      </wps:style>
                      <wps:txbx>
                        <w:txbxContent>
                          <w:p>
                            <w:pPr>
                              <w:pStyle w:val="Caption"/>
                              <w:spacing w:before="120" w:after="360"/>
                              <w:rPr>
                                <w:rFonts w:eastAsia="Calibri" w:eastAsiaTheme="minorHAnsi"/>
                                <w:color w:themeColor="text1" w:val="000000"/>
                                <w:szCs w:val="22"/>
                              </w:rPr>
                            </w:pPr>
                            <w:bookmarkStart w:id="85" w:name="_Toc228645518"/>
                            <w:r>
                              <w:rPr/>
                              <w:t xml:space="preserve">Rysunek </w:t>
                            </w:r>
                            <w:r>
                              <w:rPr/>
                              <w:fldChar w:fldCharType="begin"/>
                            </w:r>
                            <w:r>
                              <w:rPr/>
                              <w:instrText xml:space="preserve"> SEQ Rysunek \* ARABIC </w:instrText>
                            </w:r>
                            <w:r>
                              <w:rPr/>
                              <w:fldChar w:fldCharType="separate"/>
                            </w:r>
                            <w:r>
                              <w:rPr/>
                              <w:t>24</w:t>
                            </w:r>
                            <w:r>
                              <w:rPr/>
                              <w:fldChar w:fldCharType="end"/>
                            </w:r>
                            <w:r>
                              <w:rPr/>
                              <w:t xml:space="preserve"> System głosowania</w:t>
                            </w:r>
                            <w:bookmarkEnd w:id="85"/>
                          </w:p>
                        </w:txbxContent>
                      </wps:txbx>
                      <wps:bodyPr lIns="0" rIns="0" tIns="0" bIns="0" anchor="t">
                        <a:prstTxWarp prst="textNoShape"/>
                        <a:spAutoFit/>
                      </wps:bodyPr>
                    </wps:wsp>
                  </a:graphicData>
                </a:graphic>
              </wp:anchor>
            </w:drawing>
          </mc:Choice>
          <mc:Fallback>
            <w:pict>
              <v:rect id="shape_0" stroked="f" o:allowincell="f" style="position:absolute;margin-left:0pt;margin-top:311.55pt;width:453.55pt;height:18.5pt;mso-wrap-style:square;v-text-anchor:top" wp14:anchorId="750C9ACB">
                <v:fill o:detectmouseclick="t" on="false"/>
                <v:stroke color="#3465a4" joinstyle="round" endcap="flat"/>
                <v:textbox>
                  <w:txbxContent>
                    <w:p>
                      <w:pPr>
                        <w:pStyle w:val="Caption"/>
                        <w:spacing w:before="120" w:after="360"/>
                        <w:rPr>
                          <w:rFonts w:eastAsia="Calibri" w:eastAsiaTheme="minorHAnsi"/>
                          <w:color w:themeColor="text1" w:val="000000"/>
                          <w:szCs w:val="22"/>
                        </w:rPr>
                      </w:pPr>
                      <w:bookmarkStart w:id="86" w:name="_Toc228645518"/>
                      <w:r>
                        <w:rPr/>
                        <w:t xml:space="preserve">Rysunek </w:t>
                      </w:r>
                      <w:r>
                        <w:rPr/>
                        <w:fldChar w:fldCharType="begin"/>
                      </w:r>
                      <w:r>
                        <w:rPr/>
                        <w:instrText xml:space="preserve"> SEQ Rysunek \* ARABIC </w:instrText>
                      </w:r>
                      <w:r>
                        <w:rPr/>
                        <w:fldChar w:fldCharType="separate"/>
                      </w:r>
                      <w:r>
                        <w:rPr/>
                        <w:t>24</w:t>
                      </w:r>
                      <w:r>
                        <w:rPr/>
                        <w:fldChar w:fldCharType="end"/>
                      </w:r>
                      <w:r>
                        <w:rPr/>
                        <w:t xml:space="preserve"> System głosowania</w:t>
                      </w:r>
                      <w:bookmarkEnd w:id="86"/>
                    </w:p>
                  </w:txbxContent>
                </v:textbox>
                <w10:wrap type="topAndBottom"/>
              </v:rect>
            </w:pict>
          </mc:Fallback>
        </mc:AlternateContent>
      </w:r>
    </w:p>
    <w:p>
      <w:pPr>
        <w:pStyle w:val="Heading2"/>
        <w:numPr>
          <w:ilvl w:val="1"/>
          <w:numId w:val="8"/>
        </w:numPr>
        <w:rPr/>
      </w:pPr>
      <w:bookmarkStart w:id="87" w:name="_Toc228645117"/>
      <w:r>
        <w:rPr/>
        <w:t>Interfejs użytkownika</w:t>
      </w:r>
      <w:bookmarkEnd w:id="87"/>
    </w:p>
    <w:p>
      <w:pPr>
        <w:pStyle w:val="Normal"/>
        <w:rPr/>
      </w:pPr>
      <w:r>
        <w:rPr/>
        <w:t xml:space="preserve">Główny interfejs aplikacji został zaprojektowany z myślą o prostocie obsługi oraz intuicyjności, tak aby mógł być wygodnie wykorzystywany zarówno przez lekarzy, jak i osoby prowadzące badania. Na górze okna znajduje się pasek nawigacji umożliwiający szybkie przełączanie się między poszczególnymi zakładkami aplikacji. </w:t>
      </w:r>
    </w:p>
    <w:p>
      <w:pPr>
        <w:pStyle w:val="Heading3"/>
        <w:numPr>
          <w:ilvl w:val="2"/>
          <w:numId w:val="8"/>
        </w:numPr>
        <w:rPr/>
      </w:pPr>
      <w:bookmarkStart w:id="88" w:name="_Toc228645118"/>
      <w:r>
        <w:rPr/>
        <w:t>Zakładka skaner</w:t>
      </w:r>
      <w:bookmarkEnd w:id="88"/>
    </w:p>
    <w:p>
      <w:pPr>
        <w:pStyle w:val="Normal"/>
        <w:ind w:firstLine="708"/>
        <w:rPr/>
      </w:pPr>
      <w:r>
        <w:rPr/>
        <w:t>Stanowi główny moduł diagnostyczny aplikacji. Użytkownik może wczytać zdjęcie dermatoskopowe na dwa sposoby: poprzez wybór pliku z urządzenia (</w:t>
      </w:r>
      <w:r>
        <w:rPr/>
        <w:fldChar w:fldCharType="begin"/>
      </w:r>
      <w:r>
        <w:rPr/>
        <w:instrText xml:space="preserve"> REF _Ref228210207 \h </w:instrText>
      </w:r>
      <w:r>
        <w:rPr/>
        <w:fldChar w:fldCharType="separate"/>
      </w:r>
      <w:r>
        <w:rPr/>
        <w:t>Błąd: nie znaleziono źródła odwołania</w:t>
      </w:r>
      <w:r>
        <w:rPr/>
        <w:fldChar w:fldCharType="end"/>
      </w:r>
      <w:r>
        <w:rPr/>
        <w:t>) lub wykonanie zdjęcia bezpośrednio za pomocą kamery wbudowanej w urządzenie (lub podłączonej zewnętrznej kamery). Po wczytaniu obrazu pojawia się możliwość precyzyjnego dopasowania kadru za pomocą suwaka powiększenia, co pozwala na odpowiednie wyśrodkowanie zmiany skórnej w polu analizy. Po zatwierdzeniu przyciskiem „Analizuj” uruchamiany jest proces klasyfikacji (</w:t>
      </w:r>
      <w:r>
        <w:rPr/>
        <w:fldChar w:fldCharType="begin"/>
      </w:r>
      <w:r>
        <w:rPr/>
        <w:instrText xml:space="preserve"> REF _Ref228210325 \h </w:instrText>
      </w:r>
      <w:r>
        <w:rPr/>
        <w:fldChar w:fldCharType="separate"/>
      </w:r>
      <w:r>
        <w:rPr/>
        <w:t>Rysunek 26</w:t>
      </w:r>
      <w:r>
        <w:rPr/>
        <w:fldChar w:fldCharType="end"/>
      </w:r>
      <w:r>
        <w:rPr/>
        <w:t>).</w:t>
      </w:r>
    </w:p>
    <w:p>
      <w:pPr>
        <w:pStyle w:val="Normal"/>
        <w:keepNext w:val="true"/>
        <w:ind w:firstLine="708"/>
        <w:jc w:val="center"/>
        <w:rPr/>
      </w:pPr>
      <w:r>
        <w:rPr/>
        <w:drawing>
          <wp:inline distT="0" distB="0" distL="0" distR="0">
            <wp:extent cx="5165090" cy="3624580"/>
            <wp:effectExtent l="0" t="0" r="0" b="0"/>
            <wp:docPr id="27"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9"/>
                    <pic:cNvPicPr>
                      <a:picLocks noChangeAspect="1" noChangeArrowheads="1"/>
                    </pic:cNvPicPr>
                  </pic:nvPicPr>
                  <pic:blipFill>
                    <a:blip r:embed="rId28"/>
                    <a:stretch>
                      <a:fillRect/>
                    </a:stretch>
                  </pic:blipFill>
                  <pic:spPr bwMode="auto">
                    <a:xfrm>
                      <a:off x="0" y="0"/>
                      <a:ext cx="5165090" cy="3624580"/>
                    </a:xfrm>
                    <a:prstGeom prst="rect">
                      <a:avLst/>
                    </a:prstGeom>
                    <a:noFill/>
                  </pic:spPr>
                </pic:pic>
              </a:graphicData>
            </a:graphic>
          </wp:inline>
        </w:drawing>
      </w:r>
    </w:p>
    <w:p>
      <w:pPr>
        <w:pStyle w:val="Caption"/>
        <w:rPr/>
      </w:pPr>
      <w:bookmarkStart w:id="89" w:name="_Toc228645519"/>
      <w:r>
        <w:rPr/>
        <w:t xml:space="preserve">Rysunek </w:t>
      </w:r>
      <w:r>
        <w:rPr/>
        <w:fldChar w:fldCharType="begin"/>
      </w:r>
      <w:r>
        <w:rPr/>
        <w:instrText xml:space="preserve"> SEQ Rysunek \* ARABIC </w:instrText>
      </w:r>
      <w:r>
        <w:rPr/>
        <w:fldChar w:fldCharType="separate"/>
      </w:r>
      <w:r>
        <w:rPr/>
        <w:t>25</w:t>
      </w:r>
      <w:r>
        <w:rPr/>
        <w:fldChar w:fldCharType="end"/>
      </w:r>
      <w:r>
        <w:rPr/>
        <w:t xml:space="preserve"> Zakładka skaner z dwoma trybami „Wgraj” oraz „Aparat”</w:t>
      </w:r>
      <w:bookmarkEnd w:id="89"/>
    </w:p>
    <w:p>
      <w:pPr>
        <w:pStyle w:val="Normal"/>
        <w:ind w:hanging="0"/>
        <w:jc w:val="center"/>
        <w:rPr/>
      </w:pPr>
      <w:r>
        <w:rPr/>
        <w:drawing>
          <wp:inline distT="0" distB="0" distL="0" distR="0">
            <wp:extent cx="4811395" cy="3798570"/>
            <wp:effectExtent l="0" t="0" r="0" b="0"/>
            <wp:docPr id="28"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8"/>
                    <pic:cNvPicPr>
                      <a:picLocks noChangeAspect="1" noChangeArrowheads="1"/>
                    </pic:cNvPicPr>
                  </pic:nvPicPr>
                  <pic:blipFill>
                    <a:blip r:embed="rId29"/>
                    <a:stretch>
                      <a:fillRect/>
                    </a:stretch>
                  </pic:blipFill>
                  <pic:spPr bwMode="auto">
                    <a:xfrm>
                      <a:off x="0" y="0"/>
                      <a:ext cx="4811395" cy="3798570"/>
                    </a:xfrm>
                    <a:prstGeom prst="rect">
                      <a:avLst/>
                    </a:prstGeom>
                    <a:noFill/>
                  </pic:spPr>
                </pic:pic>
              </a:graphicData>
            </a:graphic>
          </wp:inline>
        </w:drawing>
      </w:r>
    </w:p>
    <w:p>
      <w:pPr>
        <w:pStyle w:val="Caption"/>
        <w:rPr/>
      </w:pPr>
      <w:bookmarkStart w:id="90" w:name="_Toc228645520"/>
      <w:bookmarkStart w:id="91" w:name="_Ref228210325"/>
      <w:r>
        <w:rPr/>
        <w:t xml:space="preserve">Rysunek </w:t>
      </w:r>
      <w:r>
        <w:rPr/>
        <w:fldChar w:fldCharType="begin"/>
      </w:r>
      <w:r>
        <w:rPr/>
        <w:instrText xml:space="preserve"> SEQ Rysunek \* ARABIC </w:instrText>
      </w:r>
      <w:r>
        <w:rPr/>
        <w:fldChar w:fldCharType="separate"/>
      </w:r>
      <w:r>
        <w:rPr/>
        <w:t>26</w:t>
      </w:r>
      <w:r>
        <w:rPr/>
        <w:fldChar w:fldCharType="end"/>
      </w:r>
      <w:bookmarkEnd w:id="91"/>
      <w:r>
        <w:rPr/>
        <w:t xml:space="preserve"> Wybranie i podgląd zdjęcia przed analizą</w:t>
      </w:r>
      <w:bookmarkEnd w:id="90"/>
    </w:p>
    <w:p>
      <w:pPr>
        <w:pStyle w:val="Normal"/>
        <w:ind w:hanging="0"/>
        <w:rPr/>
      </w:pPr>
      <w:r>
        <w:rPr/>
      </w:r>
    </w:p>
    <w:p>
      <w:pPr>
        <w:pStyle w:val="Normal"/>
        <w:ind w:firstLine="708"/>
        <w:jc w:val="start"/>
        <w:rPr/>
      </w:pPr>
      <w:r>
        <w:rPr/>
      </w:r>
    </w:p>
    <w:p>
      <w:pPr>
        <w:pStyle w:val="Normal"/>
        <w:ind w:firstLine="708"/>
        <w:rPr>
          <w:color w:val="000000"/>
        </w:rPr>
      </w:pPr>
      <w:r>
        <w:rPr/>
        <w:t>Wyniki analizy prezentowane są w formie zbiorczego głosowania wszystkich wykorzystanych modeli sieci neuronowych (</w:t>
      </w:r>
      <w:r>
        <w:rPr/>
        <w:fldChar w:fldCharType="begin"/>
      </w:r>
      <w:r>
        <w:rPr/>
        <w:instrText xml:space="preserve"> REF _Ref228210395 \h </w:instrText>
      </w:r>
      <w:r>
        <w:rPr/>
        <w:fldChar w:fldCharType="separate"/>
      </w:r>
      <w:r>
        <w:rPr/>
        <w:t>Błąd: nie znaleziono źródła odwołania</w:t>
      </w:r>
      <w:r>
        <w:rPr/>
        <w:fldChar w:fldCharType="end"/>
      </w:r>
      <w:r>
        <w:rPr/>
        <w:t xml:space="preserve"> i </w:t>
      </w:r>
      <w:r>
        <w:rPr/>
        <w:fldChar w:fldCharType="begin"/>
      </w:r>
      <w:r>
        <w:rPr/>
        <w:instrText xml:space="preserve"> REF _Ref228210593 \h </w:instrText>
      </w:r>
      <w:r>
        <w:rPr/>
        <w:fldChar w:fldCharType="separate"/>
      </w:r>
      <w:r>
        <w:rPr/>
        <w:t>Błąd: nie znaleziono źródła odwołania</w:t>
      </w:r>
      <w:r>
        <w:rPr/>
        <w:fldChar w:fldCharType="end"/>
      </w:r>
      <w:r>
        <w:rPr/>
        <w:t>). Dla każdej klasy chorobowej wyświetlana jest liczba modeli, które na nią zagłosowały, oraz średnia pewność predykcji. Dodatkowo dla każdego modelu generowana jest mapa aktywacji Grad-CAM, wizualizująca obszary obrazu, na których model skupił największą uwagę podczas podejmowania decyzji. Kliknięcie w nazwę wybranego modelu powoduje wyświetlenie szczegółowej mapy Grad-CAM wraz z dokładnymi wartościami prawdopodobieństwa dla poszczególnych klas (</w:t>
      </w:r>
      <w:r>
        <w:rPr/>
        <w:fldChar w:fldCharType="begin"/>
      </w:r>
      <w:r>
        <w:rPr/>
        <w:instrText xml:space="preserve"> REF _Ref228210655 \h </w:instrText>
      </w:r>
      <w:r>
        <w:rPr/>
        <w:fldChar w:fldCharType="separate"/>
      </w:r>
      <w:r>
        <w:rPr/>
        <w:t>Rysunek 29</w:t>
      </w:r>
      <w:r>
        <w:rPr/>
        <w:fldChar w:fldCharType="end"/>
      </w:r>
      <w:r>
        <w:rPr/>
        <w:t>).</w:t>
      </w:r>
      <w:r>
        <w:rPr>
          <w:color w:val="000000"/>
        </w:rPr>
        <w:t xml:space="preserve"> </w:t>
      </w:r>
    </w:p>
    <w:p>
      <w:pPr>
        <w:pStyle w:val="Caption"/>
        <w:rPr/>
      </w:pPr>
      <w:r>
        <w:rPr/>
        <w:drawing>
          <wp:inline distT="0" distB="0" distL="0" distR="0">
            <wp:extent cx="5760720" cy="1644650"/>
            <wp:effectExtent l="0" t="0" r="0" b="0"/>
            <wp:docPr id="29"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10"/>
                    <pic:cNvPicPr>
                      <a:picLocks noChangeAspect="1" noChangeArrowheads="1"/>
                    </pic:cNvPicPr>
                  </pic:nvPicPr>
                  <pic:blipFill>
                    <a:blip r:embed="rId30"/>
                    <a:stretch>
                      <a:fillRect/>
                    </a:stretch>
                  </pic:blipFill>
                  <pic:spPr bwMode="auto">
                    <a:xfrm>
                      <a:off x="0" y="0"/>
                      <a:ext cx="5760720" cy="1644650"/>
                    </a:xfrm>
                    <a:prstGeom prst="rect">
                      <a:avLst/>
                    </a:prstGeom>
                    <a:noFill/>
                  </pic:spPr>
                </pic:pic>
              </a:graphicData>
            </a:graphic>
          </wp:inline>
        </w:drawing>
      </w:r>
    </w:p>
    <w:p>
      <w:pPr>
        <w:pStyle w:val="Caption"/>
        <w:rPr/>
      </w:pPr>
      <w:bookmarkStart w:id="92" w:name="_Toc228645521"/>
      <w:r>
        <w:rPr/>
        <w:t xml:space="preserve">Rysunek </w:t>
      </w:r>
      <w:r>
        <w:rPr/>
        <w:fldChar w:fldCharType="begin"/>
      </w:r>
      <w:r>
        <w:rPr/>
        <w:instrText xml:space="preserve"> SEQ Rysunek \* ARABIC </w:instrText>
      </w:r>
      <w:r>
        <w:rPr/>
        <w:fldChar w:fldCharType="separate"/>
      </w:r>
      <w:r>
        <w:rPr/>
        <w:t>27</w:t>
      </w:r>
      <w:r>
        <w:rPr/>
        <w:fldChar w:fldCharType="end"/>
      </w:r>
      <w:r>
        <w:rPr/>
        <w:t xml:space="preserve"> Wynik konsensusu modeli</w:t>
      </w:r>
      <w:bookmarkEnd w:id="92"/>
    </w:p>
    <w:p>
      <w:pPr>
        <w:pStyle w:val="Caption"/>
        <w:rPr/>
      </w:pPr>
      <w:r>
        <w:rPr/>
        <w:drawing>
          <wp:inline distT="0" distB="0" distL="0" distR="0">
            <wp:extent cx="5760720" cy="2749550"/>
            <wp:effectExtent l="0" t="0" r="0" b="0"/>
            <wp:docPr id="30"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11"/>
                    <pic:cNvPicPr>
                      <a:picLocks noChangeAspect="1" noChangeArrowheads="1"/>
                    </pic:cNvPicPr>
                  </pic:nvPicPr>
                  <pic:blipFill>
                    <a:blip r:embed="rId31"/>
                    <a:stretch>
                      <a:fillRect/>
                    </a:stretch>
                  </pic:blipFill>
                  <pic:spPr bwMode="auto">
                    <a:xfrm>
                      <a:off x="0" y="0"/>
                      <a:ext cx="5760720" cy="2749550"/>
                    </a:xfrm>
                    <a:prstGeom prst="rect">
                      <a:avLst/>
                    </a:prstGeom>
                    <a:noFill/>
                  </pic:spPr>
                </pic:pic>
              </a:graphicData>
            </a:graphic>
          </wp:inline>
        </w:drawing>
      </w:r>
    </w:p>
    <w:p>
      <w:pPr>
        <w:pStyle w:val="Caption"/>
        <w:rPr/>
      </w:pPr>
      <w:bookmarkStart w:id="93" w:name="_Toc228645522"/>
      <w:r>
        <w:rPr/>
        <w:t xml:space="preserve">Rysunek </w:t>
      </w:r>
      <w:r>
        <w:rPr/>
        <w:fldChar w:fldCharType="begin"/>
      </w:r>
      <w:r>
        <w:rPr/>
        <w:instrText xml:space="preserve"> SEQ Rysunek \* ARABIC </w:instrText>
      </w:r>
      <w:r>
        <w:rPr/>
        <w:fldChar w:fldCharType="separate"/>
      </w:r>
      <w:r>
        <w:rPr/>
        <w:t>28</w:t>
      </w:r>
      <w:r>
        <w:rPr/>
        <w:fldChar w:fldCharType="end"/>
      </w:r>
      <w:r>
        <w:rPr/>
        <w:t xml:space="preserve"> Wyświetlenie diagnozy oraz prawdopodobieństwa każdego modelu</w:t>
      </w:r>
      <w:bookmarkEnd w:id="93"/>
    </w:p>
    <w:p>
      <w:pPr>
        <w:pStyle w:val="Normal"/>
        <w:ind w:hanging="0"/>
        <w:jc w:val="start"/>
        <w:rPr>
          <w:color w:val="000000"/>
        </w:rPr>
      </w:pPr>
      <w:r>
        <w:rPr>
          <w:color w:val="000000"/>
        </w:rPr>
      </w:r>
    </w:p>
    <w:p>
      <w:pPr>
        <w:pStyle w:val="Normal"/>
        <w:keepNext w:val="true"/>
        <w:ind w:hanging="0"/>
        <w:rPr/>
      </w:pPr>
      <w:r>
        <w:rPr/>
      </w:r>
    </w:p>
    <w:p>
      <w:pPr>
        <w:pStyle w:val="Normal"/>
        <w:keepNext w:val="true"/>
        <w:ind w:hanging="0"/>
        <w:jc w:val="center"/>
        <w:rPr/>
      </w:pPr>
      <w:r>
        <w:rPr/>
      </w:r>
    </w:p>
    <w:p>
      <w:pPr>
        <w:pStyle w:val="Caption"/>
        <w:tabs>
          <w:tab w:val="clear" w:pos="708"/>
          <w:tab w:val="center" w:pos="4536" w:leader="none"/>
          <w:tab w:val="right" w:pos="9072" w:leader="none"/>
        </w:tabs>
        <w:jc w:val="start"/>
        <w:rPr/>
      </w:pPr>
      <w:r>
        <w:rPr/>
        <w:drawing>
          <wp:inline distT="0" distB="0" distL="0" distR="0">
            <wp:extent cx="5760720" cy="5114290"/>
            <wp:effectExtent l="0" t="0" r="0" b="0"/>
            <wp:docPr id="31"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32"/>
                    <pic:cNvPicPr>
                      <a:picLocks noChangeAspect="1" noChangeArrowheads="1"/>
                    </pic:cNvPicPr>
                  </pic:nvPicPr>
                  <pic:blipFill>
                    <a:blip r:embed="rId32"/>
                    <a:stretch>
                      <a:fillRect/>
                    </a:stretch>
                  </pic:blipFill>
                  <pic:spPr bwMode="auto">
                    <a:xfrm>
                      <a:off x="0" y="0"/>
                      <a:ext cx="5760720" cy="5114290"/>
                    </a:xfrm>
                    <a:prstGeom prst="rect">
                      <a:avLst/>
                    </a:prstGeom>
                    <a:noFill/>
                  </pic:spPr>
                </pic:pic>
              </a:graphicData>
            </a:graphic>
          </wp:inline>
        </w:drawing>
      </w:r>
    </w:p>
    <w:p>
      <w:pPr>
        <w:pStyle w:val="Caption"/>
        <w:rPr/>
      </w:pPr>
      <w:bookmarkStart w:id="94" w:name="_Toc228645523"/>
      <w:bookmarkStart w:id="95" w:name="_Ref228210655"/>
      <w:r>
        <w:rPr/>
        <w:t xml:space="preserve">Rysunek </w:t>
      </w:r>
      <w:r>
        <w:rPr/>
        <w:fldChar w:fldCharType="begin"/>
      </w:r>
      <w:r>
        <w:rPr/>
        <w:instrText xml:space="preserve"> SEQ Rysunek \* ARABIC </w:instrText>
      </w:r>
      <w:r>
        <w:rPr/>
        <w:fldChar w:fldCharType="separate"/>
      </w:r>
      <w:r>
        <w:rPr/>
        <w:t>29</w:t>
      </w:r>
      <w:r>
        <w:rPr/>
        <w:fldChar w:fldCharType="end"/>
      </w:r>
      <w:bookmarkEnd w:id="95"/>
      <w:r>
        <w:rPr/>
        <w:t xml:space="preserve"> Diagnoza wybranego modelu oraz jego Grad-Cam</w:t>
      </w:r>
      <w:bookmarkEnd w:id="94"/>
    </w:p>
    <w:p>
      <w:pPr>
        <w:pStyle w:val="Heading3"/>
        <w:numPr>
          <w:ilvl w:val="2"/>
          <w:numId w:val="8"/>
        </w:numPr>
        <w:rPr/>
      </w:pPr>
      <w:bookmarkStart w:id="96" w:name="_Toc228645119"/>
      <w:r>
        <w:rPr/>
        <w:t>Zakładka historia</w:t>
      </w:r>
      <w:bookmarkEnd w:id="96"/>
    </w:p>
    <w:p>
      <w:pPr>
        <w:pStyle w:val="Caption"/>
        <w:tabs>
          <w:tab w:val="clear" w:pos="708"/>
          <w:tab w:val="center" w:pos="4536" w:leader="none"/>
          <w:tab w:val="right" w:pos="9072" w:leader="none"/>
        </w:tabs>
        <w:jc w:val="both"/>
        <w:rPr/>
      </w:pPr>
      <w:r>
        <w:rPr/>
        <w:tab/>
        <w:t xml:space="preserve">               Zawiera archiwum wszystkich przeprowadzonych badań. Wyniki prezentowane są w formie tabeli, w której każdy wiersz odpowiada jednemu badaniu (</w:t>
      </w:r>
      <w:r>
        <w:rPr/>
        <w:fldChar w:fldCharType="begin"/>
      </w:r>
      <w:r>
        <w:rPr/>
        <w:instrText xml:space="preserve"> REF _Ref228210745 \h </w:instrText>
      </w:r>
      <w:r>
        <w:rPr/>
        <w:fldChar w:fldCharType="separate"/>
      </w:r>
      <w:r>
        <w:rPr/>
        <w:t>Rysunek 30</w:t>
      </w:r>
      <w:r>
        <w:rPr/>
        <w:fldChar w:fldCharType="end"/>
      </w:r>
      <w:r>
        <w:rPr/>
        <w:t>).</w:t>
      </w:r>
    </w:p>
    <w:p>
      <w:pPr>
        <w:pStyle w:val="Caption"/>
        <w:tabs>
          <w:tab w:val="clear" w:pos="708"/>
          <w:tab w:val="center" w:pos="4536" w:leader="none"/>
          <w:tab w:val="right" w:pos="9072" w:leader="none"/>
        </w:tabs>
        <w:jc w:val="start"/>
        <w:rPr/>
      </w:pPr>
      <w:r>
        <w:rPr/>
        <w:drawing>
          <wp:inline distT="0" distB="0" distL="0" distR="0">
            <wp:extent cx="5760720" cy="3934460"/>
            <wp:effectExtent l="0" t="0" r="0" b="0"/>
            <wp:docPr id="32"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33"/>
                    <pic:cNvPicPr>
                      <a:picLocks noChangeAspect="1" noChangeArrowheads="1"/>
                    </pic:cNvPicPr>
                  </pic:nvPicPr>
                  <pic:blipFill>
                    <a:blip r:embed="rId33"/>
                    <a:stretch>
                      <a:fillRect/>
                    </a:stretch>
                  </pic:blipFill>
                  <pic:spPr bwMode="auto">
                    <a:xfrm>
                      <a:off x="0" y="0"/>
                      <a:ext cx="5760720" cy="3934460"/>
                    </a:xfrm>
                    <a:prstGeom prst="rect">
                      <a:avLst/>
                    </a:prstGeom>
                    <a:noFill/>
                  </pic:spPr>
                </pic:pic>
              </a:graphicData>
            </a:graphic>
          </wp:inline>
        </w:drawing>
      </w:r>
    </w:p>
    <w:p>
      <w:pPr>
        <w:pStyle w:val="Caption"/>
        <w:rPr/>
      </w:pPr>
      <w:bookmarkStart w:id="97" w:name="_Toc228645524"/>
      <w:bookmarkStart w:id="98" w:name="_Ref228210745"/>
      <w:r>
        <w:rPr/>
        <w:t xml:space="preserve">Rysunek </w:t>
      </w:r>
      <w:r>
        <w:rPr/>
        <w:fldChar w:fldCharType="begin"/>
      </w:r>
      <w:r>
        <w:rPr/>
        <w:instrText xml:space="preserve"> SEQ Rysunek \* ARABIC </w:instrText>
      </w:r>
      <w:r>
        <w:rPr/>
        <w:fldChar w:fldCharType="separate"/>
      </w:r>
      <w:r>
        <w:rPr/>
        <w:t>30</w:t>
      </w:r>
      <w:r>
        <w:rPr/>
        <w:fldChar w:fldCharType="end"/>
      </w:r>
      <w:bookmarkEnd w:id="98"/>
      <w:r>
        <w:rPr/>
        <w:t xml:space="preserve"> Widok zakładki 'Historia'</w:t>
      </w:r>
      <w:bookmarkEnd w:id="97"/>
    </w:p>
    <w:p>
      <w:pPr>
        <w:pStyle w:val="Caption"/>
        <w:tabs>
          <w:tab w:val="clear" w:pos="708"/>
          <w:tab w:val="center" w:pos="4536" w:leader="none"/>
          <w:tab w:val="right" w:pos="9072" w:leader="none"/>
        </w:tabs>
        <w:jc w:val="both"/>
        <w:rPr/>
      </w:pPr>
      <w:r>
        <w:rPr/>
        <w:t>W kolumnach widoczny jest podgląd miniatury zdjęcia, postawiona diagnoza, liczba modeli biorących udział w głosowaniu oraz ikony umożliwiające szybkie wyświetlenie map Grad-CAM poszczególnych modeli (</w:t>
      </w:r>
      <w:r>
        <w:rPr/>
        <w:fldChar w:fldCharType="begin"/>
      </w:r>
      <w:r>
        <w:rPr/>
        <w:instrText xml:space="preserve"> REF _Ref228210852 \h </w:instrText>
      </w:r>
      <w:r>
        <w:rPr/>
        <w:fldChar w:fldCharType="separate"/>
      </w:r>
      <w:r>
        <w:rPr/>
        <w:t>Rysunek 31</w:t>
      </w:r>
      <w:r>
        <w:rPr/>
        <w:fldChar w:fldCharType="end"/>
      </w:r>
      <w:r>
        <w:rPr/>
        <w:t xml:space="preserve"> i </w:t>
      </w:r>
      <w:r>
        <w:rPr/>
        <w:fldChar w:fldCharType="begin"/>
      </w:r>
      <w:r>
        <w:rPr/>
        <w:instrText xml:space="preserve"> REF _Ref228210890 \h </w:instrText>
      </w:r>
      <w:r>
        <w:rPr/>
        <w:fldChar w:fldCharType="separate"/>
      </w:r>
      <w:r>
        <w:rPr/>
        <w:t>Rysunek 32</w:t>
      </w:r>
      <w:r>
        <w:rPr/>
        <w:fldChar w:fldCharType="end"/>
      </w:r>
      <w:r>
        <w:rPr/>
        <w:t>).</w:t>
      </w:r>
    </w:p>
    <w:p>
      <w:pPr>
        <w:pStyle w:val="Caption"/>
        <w:tabs>
          <w:tab w:val="clear" w:pos="708"/>
          <w:tab w:val="center" w:pos="4536" w:leader="none"/>
          <w:tab w:val="right" w:pos="9072" w:leader="none"/>
        </w:tabs>
        <w:jc w:val="start"/>
        <w:rPr/>
      </w:pPr>
      <w:r>
        <w:rPr/>
      </w:r>
    </w:p>
    <w:p>
      <w:pPr>
        <w:pStyle w:val="Caption"/>
        <w:rPr/>
      </w:pPr>
      <w:r>
        <w:rPr/>
        <w:drawing>
          <wp:inline distT="0" distB="0" distL="0" distR="0">
            <wp:extent cx="5760720" cy="2976245"/>
            <wp:effectExtent l="0" t="0" r="0" b="0"/>
            <wp:docPr id="33"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az34"/>
                    <pic:cNvPicPr>
                      <a:picLocks noChangeAspect="1" noChangeArrowheads="1"/>
                    </pic:cNvPicPr>
                  </pic:nvPicPr>
                  <pic:blipFill>
                    <a:blip r:embed="rId34"/>
                    <a:stretch>
                      <a:fillRect/>
                    </a:stretch>
                  </pic:blipFill>
                  <pic:spPr bwMode="auto">
                    <a:xfrm>
                      <a:off x="0" y="0"/>
                      <a:ext cx="5760720" cy="2976245"/>
                    </a:xfrm>
                    <a:prstGeom prst="rect">
                      <a:avLst/>
                    </a:prstGeom>
                    <a:noFill/>
                  </pic:spPr>
                </pic:pic>
              </a:graphicData>
            </a:graphic>
          </wp:inline>
        </w:drawing>
      </w:r>
    </w:p>
    <w:p>
      <w:pPr>
        <w:pStyle w:val="Caption"/>
        <w:rPr/>
      </w:pPr>
      <w:bookmarkStart w:id="99" w:name="_Toc228645525"/>
      <w:bookmarkStart w:id="100" w:name="_Ref228210852"/>
      <w:r>
        <w:rPr/>
        <w:t xml:space="preserve">Rysunek </w:t>
      </w:r>
      <w:r>
        <w:rPr/>
        <w:fldChar w:fldCharType="begin"/>
      </w:r>
      <w:r>
        <w:rPr/>
        <w:instrText xml:space="preserve"> SEQ Rysunek \* ARABIC </w:instrText>
      </w:r>
      <w:r>
        <w:rPr/>
        <w:fldChar w:fldCharType="separate"/>
      </w:r>
      <w:r>
        <w:rPr/>
        <w:t>31</w:t>
      </w:r>
      <w:r>
        <w:rPr/>
        <w:fldChar w:fldCharType="end"/>
      </w:r>
      <w:bookmarkEnd w:id="100"/>
      <w:r>
        <w:rPr/>
        <w:t xml:space="preserve"> Podgląd historycznej analizy</w:t>
      </w:r>
      <w:bookmarkEnd w:id="99"/>
    </w:p>
    <w:p>
      <w:pPr>
        <w:pStyle w:val="Caption"/>
        <w:jc w:val="both"/>
        <w:rPr/>
      </w:pPr>
      <w:r>
        <w:rPr/>
        <w:drawing>
          <wp:inline distT="0" distB="0" distL="0" distR="0">
            <wp:extent cx="5760720" cy="2714625"/>
            <wp:effectExtent l="0" t="0" r="0" b="0"/>
            <wp:docPr id="34"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35"/>
                    <pic:cNvPicPr>
                      <a:picLocks noChangeAspect="1" noChangeArrowheads="1"/>
                    </pic:cNvPicPr>
                  </pic:nvPicPr>
                  <pic:blipFill>
                    <a:blip r:embed="rId35"/>
                    <a:stretch>
                      <a:fillRect/>
                    </a:stretch>
                  </pic:blipFill>
                  <pic:spPr bwMode="auto">
                    <a:xfrm>
                      <a:off x="0" y="0"/>
                      <a:ext cx="5760720" cy="2714625"/>
                    </a:xfrm>
                    <a:prstGeom prst="rect">
                      <a:avLst/>
                    </a:prstGeom>
                    <a:noFill/>
                  </pic:spPr>
                </pic:pic>
              </a:graphicData>
            </a:graphic>
          </wp:inline>
        </w:drawing>
      </w:r>
    </w:p>
    <w:p>
      <w:pPr>
        <w:pStyle w:val="Caption"/>
        <w:rPr/>
      </w:pPr>
      <w:bookmarkStart w:id="101" w:name="_Toc228645526"/>
      <w:bookmarkStart w:id="102" w:name="_Ref228210890"/>
      <w:r>
        <w:rPr/>
        <w:t xml:space="preserve">Rysunek </w:t>
      </w:r>
      <w:r>
        <w:rPr/>
        <w:fldChar w:fldCharType="begin"/>
      </w:r>
      <w:r>
        <w:rPr/>
        <w:instrText xml:space="preserve"> SEQ Rysunek \* ARABIC </w:instrText>
      </w:r>
      <w:r>
        <w:rPr/>
        <w:fldChar w:fldCharType="separate"/>
      </w:r>
      <w:r>
        <w:rPr/>
        <w:t>32</w:t>
      </w:r>
      <w:r>
        <w:rPr/>
        <w:fldChar w:fldCharType="end"/>
      </w:r>
      <w:bookmarkEnd w:id="102"/>
      <w:r>
        <w:rPr/>
        <w:t xml:space="preserve"> Podgląd Grad-Cam dla historycznego badania</w:t>
      </w:r>
      <w:bookmarkEnd w:id="101"/>
    </w:p>
    <w:p>
      <w:pPr>
        <w:pStyle w:val="Heading3"/>
        <w:numPr>
          <w:ilvl w:val="2"/>
          <w:numId w:val="8"/>
        </w:numPr>
        <w:rPr/>
      </w:pPr>
      <w:bookmarkStart w:id="103" w:name="_Toc228645120"/>
      <w:r>
        <w:rPr/>
        <w:t>Zakładka „Kamera na żywo”</w:t>
      </w:r>
      <w:bookmarkEnd w:id="103"/>
    </w:p>
    <w:p>
      <w:pPr>
        <w:pStyle w:val="Normal"/>
        <w:ind w:firstLine="708"/>
        <w:rPr/>
      </w:pPr>
      <w:r>
        <w:rPr/>
        <w:t>Umożliwia przeprowadzanie analizy w trybie strumieniowania obrazu w czasie rzeczywistym. Aplikacja wspiera dwa tryby pracy: nadajnik (</w:t>
      </w:r>
      <w:r>
        <w:rPr/>
        <w:fldChar w:fldCharType="begin"/>
      </w:r>
      <w:r>
        <w:rPr/>
        <w:instrText xml:space="preserve"> REF _Ref228213266 \h </w:instrText>
      </w:r>
      <w:r>
        <w:rPr/>
        <w:fldChar w:fldCharType="separate"/>
      </w:r>
      <w:r>
        <w:rPr/>
        <w:t>Rysunek 34</w:t>
      </w:r>
      <w:r>
        <w:rPr/>
        <w:fldChar w:fldCharType="end"/>
      </w:r>
      <w:r>
        <w:rPr/>
        <w:t>) i odbiornik (</w:t>
      </w:r>
      <w:r>
        <w:rPr/>
        <w:fldChar w:fldCharType="begin"/>
      </w:r>
      <w:r>
        <w:rPr/>
        <w:instrText xml:space="preserve"> REF _Ref228211041 \h </w:instrText>
      </w:r>
      <w:r>
        <w:rPr/>
        <w:fldChar w:fldCharType="separate"/>
      </w:r>
      <w:r>
        <w:rPr/>
        <w:t>Błąd: nie znaleziono źródła odwołania</w:t>
      </w:r>
      <w:r>
        <w:rPr/>
        <w:fldChar w:fldCharType="end"/>
      </w:r>
      <w:r>
        <w:rPr/>
        <w:t>). Tryb nadajnika pozwala wykorzystać urządzenie mobilne (np. telefon) jako źródło obrazu. Wystarczy, że oba urządzenia znajdują się w tej samej sieci Wi-Fi. Obraz z kamery jest wówczas przesyłany na komputer, na którym uruchomiona jest aplikacja. Po ustabilizowaniu obrazu proces analizy przebiega analogicznie do trybu klasycznego w zakładce „Skaner”.</w:t>
      </w:r>
    </w:p>
    <w:p>
      <w:pPr>
        <w:pStyle w:val="Caption"/>
        <w:rPr/>
      </w:pPr>
      <w:r>
        <w:rPr/>
        <w:drawing>
          <wp:inline distT="0" distB="0" distL="0" distR="0">
            <wp:extent cx="5760720" cy="4977130"/>
            <wp:effectExtent l="0" t="0" r="0" b="0"/>
            <wp:docPr id="35"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36"/>
                    <pic:cNvPicPr>
                      <a:picLocks noChangeAspect="1" noChangeArrowheads="1"/>
                    </pic:cNvPicPr>
                  </pic:nvPicPr>
                  <pic:blipFill>
                    <a:blip r:embed="rId36"/>
                    <a:stretch>
                      <a:fillRect/>
                    </a:stretch>
                  </pic:blipFill>
                  <pic:spPr bwMode="auto">
                    <a:xfrm>
                      <a:off x="0" y="0"/>
                      <a:ext cx="5760720" cy="4977130"/>
                    </a:xfrm>
                    <a:prstGeom prst="rect">
                      <a:avLst/>
                    </a:prstGeom>
                    <a:noFill/>
                  </pic:spPr>
                </pic:pic>
              </a:graphicData>
            </a:graphic>
          </wp:inline>
        </w:drawing>
      </w:r>
    </w:p>
    <w:p>
      <w:pPr>
        <w:pStyle w:val="Caption"/>
        <w:rPr/>
      </w:pPr>
      <w:bookmarkStart w:id="104" w:name="_Toc228645527"/>
      <w:r>
        <w:rPr/>
        <w:t xml:space="preserve">Rysunek </w:t>
      </w:r>
      <w:r>
        <w:rPr/>
        <w:fldChar w:fldCharType="begin"/>
      </w:r>
      <w:r>
        <w:rPr/>
        <w:instrText xml:space="preserve"> SEQ Rysunek \* ARABIC </w:instrText>
      </w:r>
      <w:r>
        <w:rPr/>
        <w:fldChar w:fldCharType="separate"/>
      </w:r>
      <w:r>
        <w:rPr/>
        <w:t>33</w:t>
      </w:r>
      <w:r>
        <w:rPr/>
        <w:fldChar w:fldCharType="end"/>
      </w:r>
      <w:r>
        <w:rPr/>
        <w:t xml:space="preserve"> Przechwytywanie strumienia nadawanego z telefonu</w:t>
      </w:r>
      <w:bookmarkEnd w:id="104"/>
    </w:p>
    <w:p>
      <w:pPr>
        <w:pStyle w:val="Normal"/>
        <w:ind w:hanging="0"/>
        <w:rPr/>
      </w:pPr>
      <w:r>
        <w:rPr/>
      </w:r>
    </w:p>
    <w:p>
      <w:pPr>
        <w:pStyle w:val="Normal"/>
        <w:keepNext w:val="true"/>
        <w:ind w:hanging="0"/>
        <w:jc w:val="center"/>
        <w:rPr/>
      </w:pPr>
      <w:r>
        <w:rPr/>
      </w:r>
    </w:p>
    <w:p>
      <w:pPr>
        <w:pStyle w:val="Caption"/>
        <w:rPr/>
      </w:pPr>
      <w:r>
        <w:rPr/>
        <w:drawing>
          <wp:inline distT="0" distB="0" distL="0" distR="0">
            <wp:extent cx="4341495" cy="7985760"/>
            <wp:effectExtent l="0" t="0" r="0" b="0"/>
            <wp:docPr id="36"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az17"/>
                    <pic:cNvPicPr>
                      <a:picLocks noChangeAspect="1" noChangeArrowheads="1"/>
                    </pic:cNvPicPr>
                  </pic:nvPicPr>
                  <pic:blipFill>
                    <a:blip r:embed="rId37"/>
                    <a:stretch>
                      <a:fillRect/>
                    </a:stretch>
                  </pic:blipFill>
                  <pic:spPr bwMode="auto">
                    <a:xfrm>
                      <a:off x="0" y="0"/>
                      <a:ext cx="4341495" cy="7985760"/>
                    </a:xfrm>
                    <a:prstGeom prst="rect">
                      <a:avLst/>
                    </a:prstGeom>
                    <a:noFill/>
                  </pic:spPr>
                </pic:pic>
              </a:graphicData>
            </a:graphic>
          </wp:inline>
        </w:drawing>
      </w:r>
    </w:p>
    <w:p>
      <w:pPr>
        <w:pStyle w:val="Caption"/>
        <w:rPr/>
      </w:pPr>
      <w:bookmarkStart w:id="105" w:name="_Toc228645528"/>
      <w:bookmarkStart w:id="106" w:name="_Ref228213266"/>
      <w:r>
        <w:rPr/>
        <w:t xml:space="preserve">Rysunek </w:t>
      </w:r>
      <w:r>
        <w:rPr/>
        <w:fldChar w:fldCharType="begin"/>
      </w:r>
      <w:r>
        <w:rPr/>
        <w:instrText xml:space="preserve"> SEQ Rysunek \* ARABIC </w:instrText>
      </w:r>
      <w:r>
        <w:rPr/>
        <w:fldChar w:fldCharType="separate"/>
      </w:r>
      <w:r>
        <w:rPr/>
        <w:t>34</w:t>
      </w:r>
      <w:r>
        <w:rPr/>
        <w:fldChar w:fldCharType="end"/>
      </w:r>
      <w:bookmarkEnd w:id="106"/>
      <w:r>
        <w:rPr/>
        <w:t xml:space="preserve"> Strumień z telefonu</w:t>
      </w:r>
      <w:bookmarkEnd w:id="105"/>
    </w:p>
    <w:p>
      <w:pPr>
        <w:pStyle w:val="Heading3"/>
        <w:numPr>
          <w:ilvl w:val="2"/>
          <w:numId w:val="8"/>
        </w:numPr>
        <w:rPr/>
      </w:pPr>
      <w:bookmarkStart w:id="107" w:name="_Toc228645121"/>
      <w:r>
        <w:rPr/>
        <w:t>Zakładka „Mapa ciała”</w:t>
      </w:r>
      <w:bookmarkEnd w:id="107"/>
    </w:p>
    <w:p>
      <w:pPr>
        <w:pStyle w:val="Caption"/>
        <w:ind w:firstLine="708"/>
        <w:jc w:val="both"/>
        <w:rPr>
          <w:sz w:val="24"/>
        </w:rPr>
      </w:pPr>
      <w:r>
        <w:rPr>
          <w:sz w:val="24"/>
        </w:rPr>
        <w:t>Służy do dokumentacji lokalizacji zmian skórnych. Użytkownik może dodać nowego pacjenta, a następnie oznaczyć na schematycznym rysunku ludzkiego ciała miejsce, w którym wykonano zdjęcie (</w:t>
      </w:r>
      <w:r>
        <w:rPr>
          <w:sz w:val="24"/>
        </w:rPr>
        <w:fldChar w:fldCharType="begin"/>
      </w:r>
      <w:r>
        <w:rPr>
          <w:sz w:val="24"/>
        </w:rPr>
        <w:instrText xml:space="preserve"> REF _Ref228211250 \h </w:instrText>
      </w:r>
      <w:r>
        <w:rPr>
          <w:sz w:val="24"/>
        </w:rPr>
        <w:fldChar w:fldCharType="separate"/>
      </w:r>
      <w:r>
        <w:rPr>
          <w:sz w:val="24"/>
        </w:rPr>
        <w:t>Rysunek 35</w:t>
      </w:r>
      <w:r>
        <w:rPr>
          <w:sz w:val="24"/>
        </w:rPr>
        <w:fldChar w:fldCharType="end"/>
      </w:r>
      <w:r>
        <w:rPr>
          <w:sz w:val="24"/>
        </w:rPr>
        <w:t>). Do każdego oznaczenia istnieje możliwość dodania notatki lub etykiety opisowej.</w:t>
      </w:r>
    </w:p>
    <w:p>
      <w:pPr>
        <w:pStyle w:val="Caption"/>
        <w:jc w:val="both"/>
        <w:rPr/>
      </w:pPr>
      <w:r>
        <w:rPr/>
        <w:drawing>
          <wp:inline distT="0" distB="0" distL="0" distR="0">
            <wp:extent cx="5760720" cy="4147820"/>
            <wp:effectExtent l="0" t="0" r="0" b="0"/>
            <wp:docPr id="37"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37"/>
                    <pic:cNvPicPr>
                      <a:picLocks noChangeAspect="1" noChangeArrowheads="1"/>
                    </pic:cNvPicPr>
                  </pic:nvPicPr>
                  <pic:blipFill>
                    <a:blip r:embed="rId38"/>
                    <a:stretch>
                      <a:fillRect/>
                    </a:stretch>
                  </pic:blipFill>
                  <pic:spPr bwMode="auto">
                    <a:xfrm>
                      <a:off x="0" y="0"/>
                      <a:ext cx="5760720" cy="4147820"/>
                    </a:xfrm>
                    <a:prstGeom prst="rect">
                      <a:avLst/>
                    </a:prstGeom>
                    <a:noFill/>
                  </pic:spPr>
                </pic:pic>
              </a:graphicData>
            </a:graphic>
          </wp:inline>
        </w:drawing>
      </w:r>
    </w:p>
    <w:p>
      <w:pPr>
        <w:pStyle w:val="Caption"/>
        <w:rPr/>
      </w:pPr>
      <w:bookmarkStart w:id="108" w:name="_Toc228645529"/>
      <w:bookmarkStart w:id="109" w:name="_Ref228211250"/>
      <w:r>
        <w:rPr/>
        <w:t xml:space="preserve">Rysunek </w:t>
      </w:r>
      <w:r>
        <w:rPr/>
        <w:fldChar w:fldCharType="begin"/>
      </w:r>
      <w:r>
        <w:rPr/>
        <w:instrText xml:space="preserve"> SEQ Rysunek \* ARABIC </w:instrText>
      </w:r>
      <w:r>
        <w:rPr/>
        <w:fldChar w:fldCharType="separate"/>
      </w:r>
      <w:r>
        <w:rPr/>
        <w:t>35</w:t>
      </w:r>
      <w:r>
        <w:rPr/>
        <w:fldChar w:fldCharType="end"/>
      </w:r>
      <w:bookmarkEnd w:id="109"/>
      <w:r>
        <w:rPr/>
        <w:t xml:space="preserve"> : Podgląd zakładki "Mapy ciała"</w:t>
      </w:r>
      <w:bookmarkEnd w:id="108"/>
    </w:p>
    <w:p>
      <w:pPr>
        <w:pStyle w:val="Heading3"/>
        <w:numPr>
          <w:ilvl w:val="2"/>
          <w:numId w:val="8"/>
        </w:numPr>
        <w:rPr/>
      </w:pPr>
      <w:bookmarkStart w:id="110" w:name="_Toc228645122"/>
      <w:r>
        <w:rPr/>
        <w:t>Zakładka „Informacje”</w:t>
      </w:r>
      <w:bookmarkEnd w:id="110"/>
    </w:p>
    <w:p>
      <w:pPr>
        <w:pStyle w:val="Caption"/>
        <w:keepNext w:val="false"/>
        <w:widowControl w:val="false"/>
        <w:ind w:firstLine="709"/>
        <w:jc w:val="both"/>
        <w:rPr>
          <w:sz w:val="24"/>
        </w:rPr>
      </w:pPr>
      <w:r>
        <w:rPr>
          <w:sz w:val="24"/>
        </w:rPr>
        <w:t>Zawiera opis zastosowanych modeli sieci neuronowych, wykaz rozpoznawanych jednostek chorobowych oraz ważne zastrzeżenie, że wyniki generowane przez aplikację mają charakter wspomagający i nie zastępują diagnozy lekarskiej. Podkreślono w niej konieczność konsultacji każdego wyniku z lekarzem specjalistą.</w:t>
      </w:r>
    </w:p>
    <w:p>
      <w:pPr>
        <w:pStyle w:val="Heading3"/>
        <w:numPr>
          <w:ilvl w:val="2"/>
          <w:numId w:val="8"/>
        </w:numPr>
        <w:rPr/>
      </w:pPr>
      <w:bookmarkStart w:id="111" w:name="_Toc228645123"/>
      <w:r>
        <w:rPr/>
        <w:t>Ustawienia</w:t>
      </w:r>
      <w:bookmarkEnd w:id="111"/>
    </w:p>
    <w:p>
      <w:pPr>
        <w:pStyle w:val="Normal"/>
        <w:ind w:hanging="0"/>
        <w:jc w:val="start"/>
        <w:rPr/>
      </w:pPr>
      <w:r>
        <w:rPr/>
        <w:t>Użytkownik może dostosować wybrane parametry aplikacji. Można tu zmienić język interfejsu oraz motyw kolorystyczny. Domyślnie inferencja wykonywana jest na procesorze graficznym (GPU), jeśli jest dostępny. Użytkownik ma również możliwość przeglądania listy obsługiwanych modeli sieci neuronowych (</w:t>
      </w:r>
      <w:r>
        <w:rPr/>
        <w:fldChar w:fldCharType="begin"/>
      </w:r>
      <w:r>
        <w:rPr/>
        <w:instrText xml:space="preserve"> REF _Ref228211550 \h </w:instrText>
      </w:r>
      <w:r>
        <w:rPr/>
        <w:fldChar w:fldCharType="separate"/>
      </w:r>
      <w:r>
        <w:rPr/>
      </w:r>
      <w:r>
        <w:rPr/>
        <w:fldChar w:fldCharType="end"/>
      </w:r>
    </w:p>
    <w:p>
      <w:pPr>
        <w:pStyle w:val="Normal"/>
        <w:ind w:hanging="0"/>
        <w:jc w:val="start"/>
        <w:rPr/>
      </w:pPr>
      <w:r>
        <w:rPr/>
        <w:t>).</w:t>
      </w:r>
    </w:p>
    <w:p>
      <w:pPr>
        <w:pStyle w:val="Normal"/>
        <w:ind w:hanging="0"/>
        <w:jc w:val="center"/>
        <w:rPr/>
      </w:pPr>
      <w:r>
        <w:rPr/>
        <w:drawing>
          <wp:inline distT="0" distB="0" distL="0" distR="0">
            <wp:extent cx="3058795" cy="7004050"/>
            <wp:effectExtent l="0" t="0" r="0" b="0"/>
            <wp:docPr id="38"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38"/>
                    <pic:cNvPicPr>
                      <a:picLocks noChangeAspect="1" noChangeArrowheads="1"/>
                    </pic:cNvPicPr>
                  </pic:nvPicPr>
                  <pic:blipFill>
                    <a:blip r:embed="rId39"/>
                    <a:stretch>
                      <a:fillRect/>
                    </a:stretch>
                  </pic:blipFill>
                  <pic:spPr bwMode="auto">
                    <a:xfrm>
                      <a:off x="0" y="0"/>
                      <a:ext cx="3058795" cy="7004050"/>
                    </a:xfrm>
                    <a:prstGeom prst="rect">
                      <a:avLst/>
                    </a:prstGeom>
                    <a:noFill/>
                  </pic:spPr>
                </pic:pic>
              </a:graphicData>
            </a:graphic>
          </wp:inline>
        </w:drawing>
      </w:r>
      <w:bookmarkStart w:id="112" w:name="_Ref228211550"/>
    </w:p>
    <w:p>
      <w:pPr>
        <w:pStyle w:val="Normal"/>
        <w:ind w:hanging="0"/>
        <w:jc w:val="center"/>
        <w:rPr/>
      </w:pPr>
      <w:bookmarkStart w:id="113" w:name="_Toc228645530"/>
      <w:r>
        <w:rPr/>
        <w:t xml:space="preserve">Rysunek </w:t>
      </w:r>
      <w:r>
        <w:rPr/>
        <w:fldChar w:fldCharType="begin"/>
      </w:r>
      <w:r>
        <w:rPr/>
        <w:instrText xml:space="preserve"> SEQ Rysunek \* ARABIC </w:instrText>
      </w:r>
      <w:r>
        <w:rPr/>
        <w:fldChar w:fldCharType="separate"/>
      </w:r>
      <w:r>
        <w:rPr/>
        <w:t>36</w:t>
      </w:r>
      <w:r>
        <w:rPr/>
        <w:fldChar w:fldCharType="end"/>
      </w:r>
      <w:bookmarkEnd w:id="112"/>
      <w:r>
        <w:rPr/>
        <w:t xml:space="preserve"> Widok ustawień</w:t>
      </w:r>
      <w:bookmarkStart w:id="114" w:name="OLE_LINK25"/>
      <w:bookmarkStart w:id="115" w:name="OLE_LINK24"/>
      <w:bookmarkEnd w:id="113"/>
    </w:p>
    <w:p>
      <w:pPr>
        <w:pStyle w:val="Heading1"/>
        <w:numPr>
          <w:ilvl w:val="0"/>
          <w:numId w:val="2"/>
        </w:numPr>
        <w:ind w:hanging="851" w:start="851"/>
        <w:rPr/>
      </w:pPr>
      <w:bookmarkStart w:id="116" w:name="_Toc228645124"/>
      <w:r>
        <w:rPr/>
        <w:t>Wyniki eksperymentów i analiza porównawcza</w:t>
      </w:r>
      <w:bookmarkEnd w:id="116"/>
    </w:p>
    <w:p>
      <w:pPr>
        <w:pStyle w:val="Normal"/>
        <w:rPr/>
      </w:pPr>
      <w:r>
        <w:rPr/>
        <w:t>W niniejszym rozdziale dokonano porównania kilku modeli sieci neuronowych pod kątem ich skuteczności, czułości na zakłócenia oraz ogólnej odporności na degradację ja-kości obrazu. Analizie poddano zarówno dokładność klasyfikacji w warunkach idealnych, jak i zachowanie modeli po dodaniu szumu Gaussa oraz rozmycia.</w:t>
      </w:r>
    </w:p>
    <w:p>
      <w:pPr>
        <w:pStyle w:val="Normal"/>
        <w:jc w:val="start"/>
        <w:rPr/>
      </w:pPr>
      <w:r>
        <w:rPr/>
      </w:r>
    </w:p>
    <w:p>
      <w:pPr>
        <w:pStyle w:val="Normal"/>
        <w:rPr/>
      </w:pPr>
      <w:r>
        <w:rPr/>
        <w:t>Dodatkowo porównano szybkość treningu i inferencji poszczególnych architektur, a także ich odporność na różnego rodzaju zakłócenia, które często występują w rzeczywistych warunkach aplikacyjnych. Celem tego porównania było nie tylko wskazanie najlepszego modelu pod względem dokładności, lecz przede wszystkim ocena, które z nich są najbardziej stabilne i praktyczne w użyciu.</w:t>
      </w:r>
    </w:p>
    <w:p>
      <w:pPr>
        <w:pStyle w:val="Heading2"/>
        <w:numPr>
          <w:ilvl w:val="1"/>
          <w:numId w:val="24"/>
        </w:numPr>
        <w:rPr/>
      </w:pPr>
      <w:bookmarkStart w:id="117" w:name="_Toc228645125"/>
      <w:r>
        <w:rPr/>
        <w:t>Metodyka oceny modeli</w:t>
      </w:r>
      <w:bookmarkEnd w:id="117"/>
    </w:p>
    <w:p>
      <w:pPr>
        <w:pStyle w:val="Normal"/>
        <w:ind w:firstLine="708"/>
        <w:rPr/>
      </w:pPr>
      <w:r>
        <w:rPr/>
        <w:t>Ocena wytrenowanych modeli opierała się na zestawie metryk powszechnie stosowanych w zadaniach klasyfikacji wieloklasowej. Dla każdego modelu wyznaczono dokładność precyzję, czułość oraz miarę F1, zarówno w wariancie makro uśrednionym, jak i ważonym. Wybór tych miar nie był przypadkowy: każda ujawnia inny aspekt zachowania klasyfikatora, co ma szczególne znaczenie w zastosowaniach medycznych.</w:t>
      </w:r>
    </w:p>
    <w:p>
      <w:pPr>
        <w:pStyle w:val="Normal"/>
        <w:ind w:hanging="0"/>
        <w:jc w:val="start"/>
        <w:rPr/>
      </w:pPr>
      <w:r>
        <w:rPr/>
      </w:r>
    </w:p>
    <w:p>
      <w:pPr>
        <w:pStyle w:val="Normal"/>
        <w:ind w:firstLine="708"/>
        <w:rPr/>
      </w:pPr>
      <w:r>
        <w:rPr/>
        <w:t>Dokładność definiuje się jako iloraz liczby poprawnych predykcji do łącznej liczby próbek. Jej wadą w przypadku niezbalansowanego zbioru danych jest to, że model może osiągać pozornie wysoką wartość, skupiając się wyłącznie na klasach dominujących. W niniejszym zbiorze liczba próbek klas testowych waha się od 25 (Dermatofibroma) do 1288 (Melanocytic nevi), co sprawia, że sama dokładność nie jest miarą wystarczającą.</w:t>
      </w:r>
    </w:p>
    <w:p>
      <w:pPr>
        <w:pStyle w:val="Normal"/>
        <w:ind w:hanging="0"/>
        <w:jc w:val="start"/>
        <w:rPr/>
      </w:pPr>
      <w:r>
        <w:rPr/>
      </w:r>
    </w:p>
    <w:p>
      <w:pPr>
        <w:pStyle w:val="Normal"/>
        <w:ind w:firstLine="708"/>
        <w:rPr/>
      </w:pPr>
      <w:r>
        <w:rPr/>
        <w:t xml:space="preserve">Czułość informuje o tym, jaki odsetek rzeczywistych przypadków danej klasy model zdołał poprawnie rozpoznać. Z klinicznego punktu widzenia jest to miara krytyczna: przeoczenie czerniaka lub raka podstawnokomórkowego niesie poważne konsekwencje dla pacjenta. </w:t>
      </w:r>
    </w:p>
    <w:p>
      <w:pPr>
        <w:pStyle w:val="Normal"/>
        <w:ind w:firstLine="708"/>
        <w:jc w:val="start"/>
        <w:rPr/>
      </w:pPr>
      <w:r>
        <w:rPr/>
      </w:r>
    </w:p>
    <w:p>
      <w:pPr>
        <w:pStyle w:val="Normal"/>
        <w:ind w:firstLine="708"/>
        <w:rPr/>
      </w:pPr>
      <w:r>
        <w:rPr/>
        <w:t>Dlatego przy analizie wyników szczególną uwagę poświęcono klasom onkologicznym, tj. Melanoma, Basal cell carcinoma i Squamous cell carcinoma, dla których niska czułość jest bardziej niepożądana niż obniżona precyzja.</w:t>
      </w:r>
    </w:p>
    <w:p>
      <w:pPr>
        <w:pStyle w:val="Normal"/>
        <w:ind w:firstLine="708"/>
        <w:jc w:val="start"/>
        <w:rPr/>
      </w:pPr>
      <w:r>
        <w:rPr/>
      </w:r>
    </w:p>
    <w:p>
      <w:pPr>
        <w:pStyle w:val="Normal"/>
        <w:ind w:firstLine="708"/>
        <w:rPr/>
      </w:pPr>
      <w:r>
        <w:rPr/>
        <w:t>Precyzja określa, jaka część klasyfikacji przypisanych do danej klasy była faktycznie trafna. Wysoka precyzja przy niskiej czułości oznacza, że model rzadko myli inne zmiany z daną klasą, lecz pomija znaczną część jej rzeczywistych przypadków.</w:t>
      </w:r>
    </w:p>
    <w:p>
      <w:pPr>
        <w:pStyle w:val="Normal"/>
        <w:ind w:firstLine="708"/>
        <w:jc w:val="start"/>
        <w:rPr/>
      </w:pPr>
      <w:r>
        <w:rPr/>
      </w:r>
    </w:p>
    <w:p>
      <w:pPr>
        <w:pStyle w:val="Normal"/>
        <w:ind w:firstLine="708"/>
        <w:rPr/>
      </w:pPr>
      <w:r>
        <w:rPr/>
        <w:t>Miara F1 stanowi średnią harmoniczną precyzji i czułości. Wariant makro traktuje każdą klasę równorzędnie niezależnie od liczby próbek, przez co jest szczególnie wrażliwy na słabe wyniki klas rzadkich. Wariant ważony uwzględnia proporcje klas, zbliżając się w swoim zachowaniu do ogólnej dokładności.</w:t>
      </w:r>
    </w:p>
    <w:p>
      <w:pPr>
        <w:pStyle w:val="Normal"/>
        <w:ind w:firstLine="708"/>
        <w:jc w:val="start"/>
        <w:rPr/>
      </w:pPr>
      <w:r>
        <w:rPr/>
      </w:r>
    </w:p>
    <w:p>
      <w:pPr>
        <w:pStyle w:val="Normal"/>
        <w:ind w:firstLine="708"/>
        <w:rPr/>
      </w:pPr>
      <w:r>
        <w:rPr/>
        <w:t>Uzupełnieniem metryk liczbowych jest macierz konfuzji, ukazująca dla każdej klasy pełny rozkład predykcji modelu. Pozwala ona identyfikować charakterystyczne wzorce błędów, takie jak systematyczne mylenie dwóch klas wizualnie podobnych, co daje głębszy wgląd niż wartości zagregowane. Przeprowadzono również test odporności na zakłócenia (szum gaussowski i rozmycie gaussowskie), symulujący warunki obrazowania spotykanymi przy zdjęciach wykonanych telefonem komórkowym.</w:t>
      </w:r>
    </w:p>
    <w:p>
      <w:pPr>
        <w:pStyle w:val="Heading2"/>
        <w:numPr>
          <w:ilvl w:val="1"/>
          <w:numId w:val="24"/>
        </w:numPr>
        <w:rPr/>
      </w:pPr>
      <w:bookmarkStart w:id="118" w:name="_Toc228645126"/>
      <w:r>
        <w:rPr/>
        <w:t>Wyniki treningu i krzywe uczenia</w:t>
      </w:r>
      <w:bookmarkEnd w:id="118"/>
    </w:p>
    <w:p>
      <w:pPr>
        <w:pStyle w:val="Normal"/>
        <w:rPr/>
      </w:pPr>
      <w:r>
        <w:rPr/>
        <w:t>Poniższy wykres (</w:t>
      </w:r>
      <w:r>
        <w:rPr/>
        <w:fldChar w:fldCharType="begin"/>
      </w:r>
      <w:r>
        <w:rPr/>
        <w:instrText xml:space="preserve"> REF _Ref228214322 \h </w:instrText>
      </w:r>
      <w:r>
        <w:rPr/>
        <w:fldChar w:fldCharType="separate"/>
      </w:r>
      <w:r>
        <w:rPr/>
        <w:t>Rysunek 37</w:t>
      </w:r>
      <w:r>
        <w:rPr/>
        <w:fldChar w:fldCharType="end"/>
      </w:r>
      <w:r>
        <w:rPr/>
        <w:t>) przedstawia przebieg dokładności walidacyjnej w kolejnych epokach oraz łączny czas treningu poszczególnych modeli.</w:t>
      </w:r>
    </w:p>
    <w:p>
      <w:pPr>
        <w:pStyle w:val="Normal"/>
        <w:keepNext w:val="true"/>
        <w:ind w:hanging="0"/>
        <w:rPr/>
      </w:pPr>
      <w:r>
        <w:rPr/>
        <w:drawing>
          <wp:inline distT="0" distB="0" distL="0" distR="0">
            <wp:extent cx="5760720" cy="2684145"/>
            <wp:effectExtent l="0" t="0" r="0" b="0"/>
            <wp:docPr id="3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az18"/>
                    <pic:cNvPicPr>
                      <a:picLocks noChangeAspect="1" noChangeArrowheads="1"/>
                    </pic:cNvPicPr>
                  </pic:nvPicPr>
                  <pic:blipFill>
                    <a:blip r:embed="rId40"/>
                    <a:stretch>
                      <a:fillRect/>
                    </a:stretch>
                  </pic:blipFill>
                  <pic:spPr bwMode="auto">
                    <a:xfrm>
                      <a:off x="0" y="0"/>
                      <a:ext cx="5760720" cy="2684145"/>
                    </a:xfrm>
                    <a:prstGeom prst="rect">
                      <a:avLst/>
                    </a:prstGeom>
                    <a:noFill/>
                  </pic:spPr>
                </pic:pic>
              </a:graphicData>
            </a:graphic>
          </wp:inline>
        </w:drawing>
      </w:r>
    </w:p>
    <w:p>
      <w:pPr>
        <w:pStyle w:val="Caption"/>
        <w:rPr/>
      </w:pPr>
      <w:bookmarkStart w:id="119" w:name="_Toc228645531"/>
      <w:bookmarkStart w:id="120" w:name="_Ref228214322"/>
      <w:r>
        <w:rPr/>
        <w:t xml:space="preserve">Rysunek </w:t>
      </w:r>
      <w:r>
        <w:rPr/>
        <w:fldChar w:fldCharType="begin"/>
      </w:r>
      <w:r>
        <w:rPr/>
        <w:instrText xml:space="preserve"> SEQ Rysunek \* ARABIC </w:instrText>
      </w:r>
      <w:r>
        <w:rPr/>
        <w:fldChar w:fldCharType="separate"/>
      </w:r>
      <w:r>
        <w:rPr/>
        <w:t>37</w:t>
      </w:r>
      <w:r>
        <w:rPr/>
        <w:fldChar w:fldCharType="end"/>
      </w:r>
      <w:bookmarkEnd w:id="120"/>
      <w:r>
        <w:rPr/>
        <w:t xml:space="preserve"> Dokładność walidacyjna w kolejnych epokach (po lewej) oraz łączny czas treningu modeli (po prawej).</w:t>
      </w:r>
      <w:bookmarkEnd w:id="119"/>
    </w:p>
    <w:p>
      <w:pPr>
        <w:pStyle w:val="Normal"/>
        <w:ind w:firstLine="708"/>
        <w:rPr/>
      </w:pPr>
      <w:r>
        <w:rPr/>
        <w:t>EfficientNet osiągnął najwyższą spośród wszystkich modeli dokładność walidacyjną, startując od poziomu około 71% i zbiegając do 87–88% po około 15 epokach, po czym wartość ta ustabilizowała się. Krzywa uczenia jest stosunkowo gładka, bez wyraźnych skoków regresji. Czas treningu wyniósł 4672 sekundy, co jest wartością zbliżoną do MobileNetV3 (4689 s) i CustomCNN (4401 s), a zatem EfficientNet oferuje najkorzystniejszy stosunek skuteczności do kosztu obliczeniowego.</w:t>
      </w:r>
    </w:p>
    <w:p>
      <w:pPr>
        <w:pStyle w:val="Normal"/>
        <w:ind w:hanging="0"/>
        <w:rPr/>
      </w:pPr>
      <w:r>
        <w:rPr/>
      </w:r>
    </w:p>
    <w:p>
      <w:pPr>
        <w:pStyle w:val="Normal"/>
        <w:ind w:firstLine="708"/>
        <w:rPr/>
      </w:pPr>
      <w:r>
        <w:rPr/>
        <w:t>ViT wykazał wysoką dokładność walidacyjną już od pierwszej epoki (ok. 75%), co wynika z pretrenowania na rozległym zbiorze ImageNet-21k. Model kontynuował wzrost do poziomu około 86%, przy czym krzywa jest stabilna i pozbawiona przeuczenia w obserwowanym zakresie. Główną wadą jest zdecydowanie najwyższy koszt obliczeniowy: 10963 sekund treningu, ponad dwukrotnie więcej niż ResNet50 i ponad dwukrotnie więcej niż EfficientNet.</w:t>
      </w:r>
    </w:p>
    <w:p>
      <w:pPr>
        <w:pStyle w:val="Normal"/>
        <w:ind w:hanging="0"/>
        <w:rPr/>
      </w:pPr>
      <w:r>
        <w:rPr/>
      </w:r>
    </w:p>
    <w:p>
      <w:pPr>
        <w:pStyle w:val="Normal"/>
        <w:ind w:firstLine="708"/>
        <w:rPr/>
      </w:pPr>
      <w:r>
        <w:rPr/>
        <w:t>MobileNetV3 startował z dokładnością około 64% i systematycznie zbiegał do 83–84%, wykazując pewną oscylację w środkowych epokach. ResNet50 prezentował podobną trajektorię, startując od 70% i osiągając zbliżony poziom końcowy przy nieco wyższej nie-stabilności w fazie środkowej. Czasy treningu obu modeli różnią się istotnie: ResNet50 potrzebował 5993 sekundy, podczas gdy MobileNetV3 ukończył proces w 4689 sekund.</w:t>
      </w:r>
    </w:p>
    <w:p>
      <w:pPr>
        <w:pStyle w:val="Normal"/>
        <w:ind w:firstLine="708"/>
        <w:rPr/>
      </w:pPr>
      <w:r>
        <w:rPr/>
        <w:t>CustomCNN, jako jedyna architektura trenowana bez pretrenowanych wag, wykazała wyraźnie wolniejsze tempo zbieżności: dokładność walidacyjna rosła od 28% w pierwszej epoce do jedynie 62% po 25 epokach, nie wykazując oznak nasycenia. Obserwacja ta</w:t>
      </w:r>
    </w:p>
    <w:p>
      <w:pPr>
        <w:pStyle w:val="Normal"/>
        <w:ind w:hanging="0"/>
        <w:rPr/>
      </w:pPr>
      <w:r>
        <w:rPr/>
        <w:t>potwierdza fundamentalne ograniczenia uczenia od podstaw na stosunkowo małym zbiorze dermatoskopowym, nawet przy zastosowaniu WeightedRandomSampler kompensującego nierównomierny rozkład klas.</w:t>
      </w:r>
    </w:p>
    <w:p>
      <w:pPr>
        <w:pStyle w:val="Heading2"/>
        <w:numPr>
          <w:ilvl w:val="1"/>
          <w:numId w:val="24"/>
        </w:numPr>
        <w:rPr/>
      </w:pPr>
      <w:bookmarkStart w:id="121" w:name="_Toc228645127"/>
      <w:r>
        <w:rPr/>
        <w:t>Porównanie skuteczności klasyfikacji</w:t>
      </w:r>
      <w:bookmarkEnd w:id="121"/>
    </w:p>
    <w:p>
      <w:pPr>
        <w:pStyle w:val="Normal"/>
        <w:ind w:hanging="0"/>
        <w:rPr/>
      </w:pPr>
      <w:r>
        <w:rPr/>
        <w:t>Poniższa tabela (</w:t>
      </w:r>
      <w:r>
        <w:rPr/>
        <w:fldChar w:fldCharType="begin"/>
      </w:r>
      <w:r>
        <w:rPr/>
        <w:instrText xml:space="preserve"> REF _Ref228214300 \h </w:instrText>
      </w:r>
      <w:r>
        <w:rPr/>
        <w:fldChar w:fldCharType="separate"/>
      </w:r>
      <w:r>
        <w:rPr/>
        <w:t>Tabela 4</w:t>
      </w:r>
      <w:r>
        <w:rPr/>
        <w:fldChar w:fldCharType="end"/>
      </w:r>
      <w:r>
        <w:rPr/>
        <w:t>) zestawia wyniki wszystkich czterech modeli na zbiorze testowym liczącym 3674 próbki, obejmującym 14 klas zmian skórnych.</w:t>
      </w:r>
    </w:p>
    <w:p>
      <w:pPr>
        <w:pStyle w:val="Tabela"/>
        <w:rPr/>
      </w:pPr>
      <w:bookmarkStart w:id="122" w:name="_Toc228645185"/>
      <w:bookmarkStart w:id="123" w:name="_Ref228214300"/>
      <w:r>
        <w:rPr/>
        <w:t xml:space="preserve">Tabela </w:t>
      </w:r>
      <w:r>
        <w:rPr/>
        <w:fldChar w:fldCharType="begin"/>
      </w:r>
      <w:r>
        <w:rPr/>
        <w:instrText xml:space="preserve"> SEQ Tabela \* ARABIC </w:instrText>
      </w:r>
      <w:r>
        <w:rPr/>
        <w:fldChar w:fldCharType="separate"/>
      </w:r>
      <w:r>
        <w:rPr/>
        <w:t>4</w:t>
      </w:r>
      <w:r>
        <w:rPr/>
        <w:fldChar w:fldCharType="end"/>
      </w:r>
      <w:bookmarkEnd w:id="123"/>
      <w:r>
        <w:rPr/>
        <w:t>: Zestawienie wyników klasyfikacji i czasu treningu dla badanych modeli. Najlepszy wynik wyróżniono pogrubieniem.</w:t>
      </w:r>
      <w:bookmarkEnd w:id="122"/>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07"/>
        <w:gridCol w:w="1183"/>
        <w:gridCol w:w="1136"/>
        <w:gridCol w:w="1359"/>
        <w:gridCol w:w="1249"/>
        <w:gridCol w:w="1136"/>
        <w:gridCol w:w="1202"/>
      </w:tblGrid>
      <w:tr>
        <w:trPr/>
        <w:tc>
          <w:tcPr>
            <w:tcW w:w="1807"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183" w:type="dxa"/>
            <w:tcBorders>
              <w:top w:val="single" w:sz="4" w:space="0" w:color="000000"/>
              <w:start w:val="single" w:sz="4" w:space="0" w:color="000000"/>
              <w:bottom w:val="single" w:sz="4" w:space="0" w:color="000000"/>
            </w:tcBorders>
          </w:tcPr>
          <w:p>
            <w:pPr>
              <w:pStyle w:val="Zawartotabeli"/>
              <w:ind w:hanging="0"/>
              <w:jc w:val="center"/>
              <w:rPr/>
            </w:pPr>
            <w:r>
              <w:rPr/>
              <w:t>Dokładność</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F1 (makro)</w:t>
            </w:r>
          </w:p>
        </w:tc>
        <w:tc>
          <w:tcPr>
            <w:tcW w:w="1359" w:type="dxa"/>
            <w:tcBorders>
              <w:top w:val="single" w:sz="4" w:space="0" w:color="000000"/>
              <w:start w:val="single" w:sz="4" w:space="0" w:color="000000"/>
              <w:bottom w:val="single" w:sz="4" w:space="0" w:color="000000"/>
            </w:tcBorders>
          </w:tcPr>
          <w:p>
            <w:pPr>
              <w:pStyle w:val="Zawartotabeli"/>
              <w:ind w:hanging="0"/>
              <w:jc w:val="center"/>
              <w:rPr/>
            </w:pPr>
            <w:r>
              <w:rPr/>
              <w:t>F1 (weight.)</w:t>
            </w:r>
          </w:p>
        </w:tc>
        <w:tc>
          <w:tcPr>
            <w:tcW w:w="1249" w:type="dxa"/>
            <w:tcBorders>
              <w:top w:val="single" w:sz="4" w:space="0" w:color="000000"/>
              <w:start w:val="single" w:sz="4" w:space="0" w:color="000000"/>
              <w:bottom w:val="single" w:sz="4" w:space="0" w:color="000000"/>
            </w:tcBorders>
          </w:tcPr>
          <w:p>
            <w:pPr>
              <w:pStyle w:val="Zawartotabeli"/>
              <w:ind w:hanging="0"/>
              <w:jc w:val="center"/>
              <w:rPr/>
            </w:pPr>
            <w:r>
              <w:rPr/>
              <w:t>Precyzja (makro)</w:t>
            </w:r>
          </w:p>
        </w:tc>
        <w:tc>
          <w:tcPr>
            <w:tcW w:w="1136" w:type="dxa"/>
            <w:tcBorders>
              <w:top w:val="single" w:sz="4" w:space="0" w:color="000000"/>
              <w:start w:val="single" w:sz="4" w:space="0" w:color="000000"/>
              <w:bottom w:val="single" w:sz="4" w:space="0" w:color="000000"/>
            </w:tcBorders>
          </w:tcPr>
          <w:p>
            <w:pPr>
              <w:pStyle w:val="Zawartotabeli"/>
              <w:ind w:hanging="0"/>
              <w:jc w:val="center"/>
              <w:rPr/>
            </w:pPr>
            <w:r>
              <w:rPr/>
              <w:t>Czułość (makro)</w:t>
            </w:r>
          </w:p>
        </w:tc>
        <w:tc>
          <w:tcPr>
            <w:tcW w:w="1202"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Czas treningu (s)</w:t>
            </w:r>
          </w:p>
        </w:tc>
      </w:tr>
      <w:tr>
        <w:trPr/>
        <w:tc>
          <w:tcPr>
            <w:tcW w:w="1807" w:type="dxa"/>
            <w:tcBorders>
              <w:start w:val="single" w:sz="4" w:space="0" w:color="000000"/>
              <w:bottom w:val="single" w:sz="4" w:space="0" w:color="000000"/>
            </w:tcBorders>
          </w:tcPr>
          <w:p>
            <w:pPr>
              <w:pStyle w:val="Zawartotabeli"/>
              <w:ind w:hanging="0"/>
              <w:jc w:val="center"/>
              <w:rPr>
                <w:b/>
                <w:bCs/>
              </w:rPr>
            </w:pPr>
            <w:r>
              <w:rPr>
                <w:b/>
                <w:bCs/>
              </w:rPr>
              <w:t>EfficientNet-B0</w:t>
            </w:r>
          </w:p>
        </w:tc>
        <w:tc>
          <w:tcPr>
            <w:tcW w:w="1183" w:type="dxa"/>
            <w:tcBorders>
              <w:start w:val="single" w:sz="4" w:space="0" w:color="000000"/>
              <w:bottom w:val="single" w:sz="4" w:space="0" w:color="000000"/>
            </w:tcBorders>
          </w:tcPr>
          <w:p>
            <w:pPr>
              <w:pStyle w:val="Zawartotabeli"/>
              <w:ind w:hanging="0"/>
              <w:jc w:val="center"/>
              <w:rPr>
                <w:b/>
                <w:bCs/>
              </w:rPr>
            </w:pPr>
            <w:r>
              <w:rPr>
                <w:b/>
                <w:bCs/>
              </w:rPr>
              <w:t>88%</w:t>
            </w:r>
          </w:p>
        </w:tc>
        <w:tc>
          <w:tcPr>
            <w:tcW w:w="1136" w:type="dxa"/>
            <w:tcBorders>
              <w:start w:val="single" w:sz="4" w:space="0" w:color="000000"/>
              <w:bottom w:val="single" w:sz="4" w:space="0" w:color="000000"/>
            </w:tcBorders>
          </w:tcPr>
          <w:p>
            <w:pPr>
              <w:pStyle w:val="Zawartotabeli"/>
              <w:ind w:hanging="0"/>
              <w:jc w:val="center"/>
              <w:rPr>
                <w:b/>
                <w:bCs/>
              </w:rPr>
            </w:pPr>
            <w:r>
              <w:rPr>
                <w:b/>
                <w:bCs/>
              </w:rPr>
              <w:t>0,86</w:t>
            </w:r>
          </w:p>
        </w:tc>
        <w:tc>
          <w:tcPr>
            <w:tcW w:w="1359" w:type="dxa"/>
            <w:tcBorders>
              <w:start w:val="single" w:sz="4" w:space="0" w:color="000000"/>
              <w:bottom w:val="single" w:sz="4" w:space="0" w:color="000000"/>
            </w:tcBorders>
          </w:tcPr>
          <w:p>
            <w:pPr>
              <w:pStyle w:val="Zawartotabeli"/>
              <w:ind w:hanging="0"/>
              <w:jc w:val="center"/>
              <w:rPr>
                <w:b/>
                <w:bCs/>
              </w:rPr>
            </w:pPr>
            <w:r>
              <w:rPr>
                <w:b/>
                <w:bCs/>
              </w:rPr>
              <w:t>0,88</w:t>
            </w:r>
          </w:p>
        </w:tc>
        <w:tc>
          <w:tcPr>
            <w:tcW w:w="1249" w:type="dxa"/>
            <w:tcBorders>
              <w:start w:val="single" w:sz="4" w:space="0" w:color="000000"/>
              <w:bottom w:val="single" w:sz="4" w:space="0" w:color="000000"/>
            </w:tcBorders>
          </w:tcPr>
          <w:p>
            <w:pPr>
              <w:pStyle w:val="Zawartotabeli"/>
              <w:ind w:hanging="0"/>
              <w:jc w:val="center"/>
              <w:rPr>
                <w:b/>
                <w:bCs/>
              </w:rPr>
            </w:pPr>
            <w:r>
              <w:rPr>
                <w:b/>
                <w:bCs/>
              </w:rPr>
              <w:t>0,86</w:t>
            </w:r>
          </w:p>
        </w:tc>
        <w:tc>
          <w:tcPr>
            <w:tcW w:w="1136" w:type="dxa"/>
            <w:tcBorders>
              <w:start w:val="single" w:sz="4" w:space="0" w:color="000000"/>
              <w:bottom w:val="single" w:sz="4" w:space="0" w:color="000000"/>
            </w:tcBorders>
          </w:tcPr>
          <w:p>
            <w:pPr>
              <w:pStyle w:val="Zawartotabeli"/>
              <w:ind w:hanging="0"/>
              <w:jc w:val="center"/>
              <w:rPr>
                <w:b/>
                <w:bCs/>
              </w:rPr>
            </w:pPr>
            <w:r>
              <w:rPr>
                <w:b/>
                <w:bCs/>
              </w:rPr>
              <w:t>0,88</w:t>
            </w:r>
          </w:p>
        </w:tc>
        <w:tc>
          <w:tcPr>
            <w:tcW w:w="1202" w:type="dxa"/>
            <w:tcBorders>
              <w:start w:val="single" w:sz="4" w:space="0" w:color="000000"/>
              <w:bottom w:val="single" w:sz="4" w:space="0" w:color="000000"/>
              <w:end w:val="single" w:sz="4" w:space="0" w:color="000000"/>
            </w:tcBorders>
          </w:tcPr>
          <w:p>
            <w:pPr>
              <w:pStyle w:val="Zawartotabeli"/>
              <w:ind w:hanging="0"/>
              <w:jc w:val="center"/>
              <w:rPr>
                <w:b/>
                <w:bCs/>
              </w:rPr>
            </w:pPr>
            <w:r>
              <w:rPr>
                <w:b/>
                <w:bCs/>
              </w:rPr>
              <w:t>4672</w:t>
            </w:r>
          </w:p>
        </w:tc>
      </w:tr>
      <w:tr>
        <w:trPr/>
        <w:tc>
          <w:tcPr>
            <w:tcW w:w="1807" w:type="dxa"/>
            <w:tcBorders>
              <w:start w:val="single" w:sz="4" w:space="0" w:color="000000"/>
              <w:bottom w:val="single" w:sz="4" w:space="0" w:color="000000"/>
            </w:tcBorders>
          </w:tcPr>
          <w:p>
            <w:pPr>
              <w:pStyle w:val="Zawartotabeli"/>
              <w:ind w:hanging="0"/>
              <w:jc w:val="center"/>
              <w:rPr/>
            </w:pPr>
            <w:r>
              <w:rPr/>
              <w:t>Vision Transformer (ViT-B/16)</w:t>
            </w:r>
          </w:p>
        </w:tc>
        <w:tc>
          <w:tcPr>
            <w:tcW w:w="1183" w:type="dxa"/>
            <w:tcBorders>
              <w:start w:val="single" w:sz="4" w:space="0" w:color="000000"/>
              <w:bottom w:val="single" w:sz="4" w:space="0" w:color="000000"/>
            </w:tcBorders>
          </w:tcPr>
          <w:p>
            <w:pPr>
              <w:pStyle w:val="Zawartotabeli"/>
              <w:ind w:hanging="0"/>
              <w:jc w:val="center"/>
              <w:rPr/>
            </w:pPr>
            <w:r>
              <w:rPr/>
              <w:t>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359" w:type="dxa"/>
            <w:tcBorders>
              <w:start w:val="single" w:sz="4" w:space="0" w:color="000000"/>
              <w:bottom w:val="single" w:sz="4" w:space="0" w:color="000000"/>
            </w:tcBorders>
          </w:tcPr>
          <w:p>
            <w:pPr>
              <w:pStyle w:val="Zawartotabeli"/>
              <w:ind w:hanging="0"/>
              <w:jc w:val="center"/>
              <w:rPr/>
            </w:pPr>
            <w:r>
              <w:rPr/>
              <w:t>0,87</w:t>
            </w:r>
          </w:p>
        </w:tc>
        <w:tc>
          <w:tcPr>
            <w:tcW w:w="1249" w:type="dxa"/>
            <w:tcBorders>
              <w:start w:val="single" w:sz="4" w:space="0" w:color="000000"/>
              <w:bottom w:val="single" w:sz="4" w:space="0" w:color="000000"/>
            </w:tcBorders>
          </w:tcPr>
          <w:p>
            <w:pPr>
              <w:pStyle w:val="Zawartotabeli"/>
              <w:ind w:hanging="0"/>
              <w:jc w:val="center"/>
              <w:rPr/>
            </w:pPr>
            <w:r>
              <w:rPr/>
              <w:t>0,87</w:t>
            </w:r>
          </w:p>
        </w:tc>
        <w:tc>
          <w:tcPr>
            <w:tcW w:w="1136" w:type="dxa"/>
            <w:tcBorders>
              <w:start w:val="single" w:sz="4" w:space="0" w:color="000000"/>
              <w:bottom w:val="single" w:sz="4" w:space="0" w:color="000000"/>
            </w:tcBorders>
          </w:tcPr>
          <w:p>
            <w:pPr>
              <w:pStyle w:val="Zawartotabeli"/>
              <w:ind w:hanging="0"/>
              <w:jc w:val="center"/>
              <w:rPr/>
            </w:pPr>
            <w:r>
              <w:rPr/>
              <w:t>0,87</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10963</w:t>
            </w:r>
          </w:p>
        </w:tc>
      </w:tr>
      <w:tr>
        <w:trPr/>
        <w:tc>
          <w:tcPr>
            <w:tcW w:w="1807" w:type="dxa"/>
            <w:tcBorders>
              <w:start w:val="single" w:sz="4" w:space="0" w:color="000000"/>
              <w:bottom w:val="single" w:sz="4" w:space="0" w:color="000000"/>
            </w:tcBorders>
          </w:tcPr>
          <w:p>
            <w:pPr>
              <w:pStyle w:val="Zawartotabeli"/>
              <w:ind w:hanging="0"/>
              <w:jc w:val="center"/>
              <w:rPr/>
            </w:pPr>
            <w:r>
              <w:rPr/>
              <w:t>ResNet50</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0,84</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0,84</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3993</w:t>
            </w:r>
          </w:p>
        </w:tc>
      </w:tr>
      <w:tr>
        <w:trPr/>
        <w:tc>
          <w:tcPr>
            <w:tcW w:w="1807" w:type="dxa"/>
            <w:tcBorders>
              <w:start w:val="single" w:sz="4" w:space="0" w:color="000000"/>
              <w:bottom w:val="single" w:sz="4" w:space="0" w:color="000000"/>
            </w:tcBorders>
          </w:tcPr>
          <w:p>
            <w:pPr>
              <w:pStyle w:val="Zawartotabeli"/>
              <w:ind w:hanging="0"/>
              <w:jc w:val="center"/>
              <w:rPr/>
            </w:pPr>
            <w:r>
              <w:rPr/>
              <w:t>MobileNetV3</w:t>
            </w:r>
          </w:p>
        </w:tc>
        <w:tc>
          <w:tcPr>
            <w:tcW w:w="1183" w:type="dxa"/>
            <w:tcBorders>
              <w:start w:val="single" w:sz="4" w:space="0" w:color="000000"/>
              <w:bottom w:val="single" w:sz="4" w:space="0" w:color="000000"/>
            </w:tcBorders>
          </w:tcPr>
          <w:p>
            <w:pPr>
              <w:pStyle w:val="Zawartotabeli"/>
              <w:ind w:hanging="0"/>
              <w:jc w:val="center"/>
              <w:rPr/>
            </w:pPr>
            <w:r>
              <w:rPr/>
              <w:t>84%</w:t>
            </w:r>
          </w:p>
        </w:tc>
        <w:tc>
          <w:tcPr>
            <w:tcW w:w="1136" w:type="dxa"/>
            <w:tcBorders>
              <w:start w:val="single" w:sz="4" w:space="0" w:color="000000"/>
              <w:bottom w:val="single" w:sz="4" w:space="0" w:color="000000"/>
            </w:tcBorders>
          </w:tcPr>
          <w:p>
            <w:pPr>
              <w:pStyle w:val="Zawartotabeli"/>
              <w:ind w:hanging="0"/>
              <w:jc w:val="center"/>
              <w:rPr/>
            </w:pPr>
            <w:r>
              <w:rPr/>
              <w:t>0,82</w:t>
            </w:r>
          </w:p>
        </w:tc>
        <w:tc>
          <w:tcPr>
            <w:tcW w:w="1359" w:type="dxa"/>
            <w:tcBorders>
              <w:start w:val="single" w:sz="4" w:space="0" w:color="000000"/>
              <w:bottom w:val="single" w:sz="4" w:space="0" w:color="000000"/>
            </w:tcBorders>
          </w:tcPr>
          <w:p>
            <w:pPr>
              <w:pStyle w:val="Zawartotabeli"/>
              <w:ind w:hanging="0"/>
              <w:jc w:val="center"/>
              <w:rPr/>
            </w:pPr>
            <w:r>
              <w:rPr/>
              <w:t>0,84</w:t>
            </w:r>
          </w:p>
        </w:tc>
        <w:tc>
          <w:tcPr>
            <w:tcW w:w="1249" w:type="dxa"/>
            <w:tcBorders>
              <w:start w:val="single" w:sz="4" w:space="0" w:color="000000"/>
              <w:bottom w:val="single" w:sz="4" w:space="0" w:color="000000"/>
            </w:tcBorders>
          </w:tcPr>
          <w:p>
            <w:pPr>
              <w:pStyle w:val="Zawartotabeli"/>
              <w:ind w:hanging="0"/>
              <w:jc w:val="center"/>
              <w:rPr/>
            </w:pPr>
            <w:r>
              <w:rPr/>
              <w:t>0,81</w:t>
            </w:r>
          </w:p>
        </w:tc>
        <w:tc>
          <w:tcPr>
            <w:tcW w:w="1136" w:type="dxa"/>
            <w:tcBorders>
              <w:start w:val="single" w:sz="4" w:space="0" w:color="000000"/>
              <w:bottom w:val="single" w:sz="4" w:space="0" w:color="000000"/>
            </w:tcBorders>
          </w:tcPr>
          <w:p>
            <w:pPr>
              <w:pStyle w:val="Zawartotabeli"/>
              <w:ind w:hanging="0"/>
              <w:jc w:val="center"/>
              <w:rPr/>
            </w:pPr>
            <w:r>
              <w:rPr/>
              <w:t>0,85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4689</w:t>
            </w:r>
          </w:p>
        </w:tc>
      </w:tr>
      <w:tr>
        <w:trPr/>
        <w:tc>
          <w:tcPr>
            <w:tcW w:w="1807" w:type="dxa"/>
            <w:tcBorders>
              <w:start w:val="single" w:sz="4" w:space="0" w:color="000000"/>
              <w:bottom w:val="single" w:sz="4" w:space="0" w:color="000000"/>
            </w:tcBorders>
          </w:tcPr>
          <w:p>
            <w:pPr>
              <w:pStyle w:val="Zawartotabeli"/>
              <w:ind w:hanging="0"/>
              <w:jc w:val="center"/>
              <w:rPr/>
            </w:pPr>
            <w:r>
              <w:rPr/>
              <w:t>CustomCnn</w:t>
            </w:r>
          </w:p>
        </w:tc>
        <w:tc>
          <w:tcPr>
            <w:tcW w:w="1183" w:type="dxa"/>
            <w:tcBorders>
              <w:start w:val="single" w:sz="4" w:space="0" w:color="000000"/>
              <w:bottom w:val="single" w:sz="4" w:space="0" w:color="000000"/>
            </w:tcBorders>
          </w:tcPr>
          <w:p>
            <w:pPr>
              <w:pStyle w:val="Zawartotabeli"/>
              <w:ind w:hanging="0"/>
              <w:jc w:val="center"/>
              <w:rPr/>
            </w:pPr>
            <w:r>
              <w:rPr/>
              <w:t>62%</w:t>
            </w:r>
          </w:p>
        </w:tc>
        <w:tc>
          <w:tcPr>
            <w:tcW w:w="1136" w:type="dxa"/>
            <w:tcBorders>
              <w:start w:val="single" w:sz="4" w:space="0" w:color="000000"/>
              <w:bottom w:val="single" w:sz="4" w:space="0" w:color="000000"/>
            </w:tcBorders>
          </w:tcPr>
          <w:p>
            <w:pPr>
              <w:pStyle w:val="Zawartotabeli"/>
              <w:ind w:hanging="0"/>
              <w:jc w:val="center"/>
              <w:rPr/>
            </w:pPr>
            <w:r>
              <w:rPr/>
              <w:t>0,57</w:t>
            </w:r>
          </w:p>
        </w:tc>
        <w:tc>
          <w:tcPr>
            <w:tcW w:w="1359" w:type="dxa"/>
            <w:tcBorders>
              <w:start w:val="single" w:sz="4" w:space="0" w:color="000000"/>
              <w:bottom w:val="single" w:sz="4" w:space="0" w:color="000000"/>
            </w:tcBorders>
          </w:tcPr>
          <w:p>
            <w:pPr>
              <w:pStyle w:val="Zawartotabeli"/>
              <w:ind w:hanging="0"/>
              <w:jc w:val="center"/>
              <w:rPr/>
            </w:pPr>
            <w:r>
              <w:rPr/>
              <w:t>0,64</w:t>
            </w:r>
          </w:p>
        </w:tc>
        <w:tc>
          <w:tcPr>
            <w:tcW w:w="1249" w:type="dxa"/>
            <w:tcBorders>
              <w:start w:val="single" w:sz="4" w:space="0" w:color="000000"/>
              <w:bottom w:val="single" w:sz="4" w:space="0" w:color="000000"/>
            </w:tcBorders>
          </w:tcPr>
          <w:p>
            <w:pPr>
              <w:pStyle w:val="Zawartotabeli"/>
              <w:ind w:hanging="0"/>
              <w:jc w:val="center"/>
              <w:rPr/>
            </w:pPr>
            <w:r>
              <w:rPr/>
              <w:t>0,55</w:t>
            </w:r>
          </w:p>
        </w:tc>
        <w:tc>
          <w:tcPr>
            <w:tcW w:w="1136" w:type="dxa"/>
            <w:tcBorders>
              <w:start w:val="single" w:sz="4" w:space="0" w:color="000000"/>
              <w:bottom w:val="single" w:sz="4" w:space="0" w:color="000000"/>
            </w:tcBorders>
          </w:tcPr>
          <w:p>
            <w:pPr>
              <w:pStyle w:val="Zawartotabeli"/>
              <w:ind w:hanging="0"/>
              <w:jc w:val="center"/>
              <w:rPr/>
            </w:pPr>
            <w:r>
              <w:rPr/>
              <w:t>0,65</w:t>
            </w:r>
          </w:p>
        </w:tc>
        <w:tc>
          <w:tcPr>
            <w:tcW w:w="1202" w:type="dxa"/>
            <w:tcBorders>
              <w:start w:val="single" w:sz="4" w:space="0" w:color="000000"/>
              <w:bottom w:val="single" w:sz="4" w:space="0" w:color="000000"/>
              <w:end w:val="single" w:sz="4" w:space="0" w:color="000000"/>
            </w:tcBorders>
          </w:tcPr>
          <w:p>
            <w:pPr>
              <w:pStyle w:val="Zawartotabeli"/>
              <w:ind w:hanging="0"/>
              <w:jc w:val="center"/>
              <w:rPr/>
            </w:pPr>
            <w:r>
              <w:rPr/>
              <w:t>4401</w:t>
            </w:r>
          </w:p>
        </w:tc>
      </w:tr>
    </w:tbl>
    <w:p>
      <w:pPr>
        <w:pStyle w:val="Normal"/>
        <w:ind w:hanging="0"/>
        <w:rPr/>
      </w:pPr>
      <w:r>
        <w:rPr/>
      </w:r>
    </w:p>
    <w:p>
      <w:pPr>
        <w:pStyle w:val="Normal"/>
        <w:ind w:firstLine="708"/>
        <w:rPr/>
      </w:pPr>
      <w:r>
        <w:rPr/>
        <w:t>EfficientNet osiągnął najwyższą dokładność spośród wszystkich badanych modeli na poziomie 88%, przy makro F1 równym 0,86 i ważonym F1 równym 0,88. Architektura ta, oparta na skalowaniu złożonym jednocześnie głębokości, szerokości i rozdzielczości, oferuje silną zdolność reprezentacyjną przy stosunkowo kompaktowej liczbie parametrów. Istotne jest, że makro recall wynosi 0,88, co oznacza, że model generalnie dobrze rozpoznaje klasy rzadkie.</w:t>
      </w:r>
    </w:p>
    <w:p>
      <w:pPr>
        <w:pStyle w:val="Normal"/>
        <w:ind w:hanging="0"/>
        <w:rPr/>
      </w:pPr>
      <w:r>
        <w:rPr/>
      </w:r>
    </w:p>
    <w:p>
      <w:pPr>
        <w:pStyle w:val="Normal"/>
        <w:ind w:firstLine="708"/>
        <w:rPr/>
      </w:pPr>
      <w:r>
        <w:rPr/>
        <w:t>ViT uplasował się na drugiej pozycji z dokładnością 87% i identycznym makro F1 równym 0,87. Co charakterystyczne, wartości makro i ważonego F1 pokrywają się, co świadczy o bardzo równomiernej jakości klasyfikacji we wszystkich klasach, niezależnie od ich liczności. Jest to cecha pożądana w zastosowaniach klinicznych. Cenę stanowi zdecydowanie najwyższy czas treningu.</w:t>
      </w:r>
    </w:p>
    <w:p>
      <w:pPr>
        <w:pStyle w:val="Normal"/>
        <w:ind w:hanging="0"/>
        <w:rPr/>
      </w:pPr>
      <w:r>
        <w:rPr/>
      </w:r>
    </w:p>
    <w:p>
      <w:pPr>
        <w:pStyle w:val="Normal"/>
        <w:ind w:firstLine="708"/>
        <w:rPr/>
      </w:pPr>
      <w:r>
        <w:rPr/>
        <w:t xml:space="preserve">ResNet50 i MobileNetV3 osiągnęły identyczną dokładność 84%, lecz przy różnych profilach błędów widocznych w szczegółach raportów klasyfikacyjnych. MobileNetV3 wykazał </w:t>
      </w:r>
    </w:p>
    <w:p>
      <w:pPr>
        <w:pStyle w:val="Normal"/>
        <w:ind w:hanging="0"/>
        <w:rPr/>
      </w:pPr>
      <w:r>
        <w:rPr/>
        <w:t>makro recall 0,85 przy makro precision 0,81, co sugeruje tendencję do nadmiernego klasyfikowania próbek do niektórych klas (wyższy recall, niższa precision). ResNet50 prezentuje bardziej zrównoważony profil z makro precision 0,84.</w:t>
      </w:r>
    </w:p>
    <w:p>
      <w:pPr>
        <w:pStyle w:val="Normal"/>
        <w:ind w:hanging="0"/>
        <w:rPr/>
      </w:pPr>
      <w:r>
        <w:rPr/>
      </w:r>
    </w:p>
    <w:p>
      <w:pPr>
        <w:pStyle w:val="Normal"/>
        <w:ind w:firstLine="708"/>
        <w:rPr/>
      </w:pPr>
      <w:r>
        <w:rPr/>
        <w:t>CustomCNN wyraźnie odbiega od modeli pretrenowanych: dokładność 62% i makro F1 równe 0,57. Niski makro recall wynoszący 0,65 przy jeszcze niższej makro precision 0,55 wskazuje na brak zdolności do spójnej klasyfikacji w klasach rzadkich. Wynik ten jedno-znacznie potwierdza konieczność stosowania uczenia transferowego w zadaniach dermatoskopowych przy ograniczonej liczbie danych treningowych.</w:t>
      </w:r>
    </w:p>
    <w:p>
      <w:pPr>
        <w:pStyle w:val="Heading2"/>
        <w:numPr>
          <w:ilvl w:val="1"/>
          <w:numId w:val="24"/>
        </w:numPr>
        <w:rPr/>
      </w:pPr>
      <w:bookmarkStart w:id="124" w:name="_Toc228645128"/>
      <w:r>
        <w:rPr/>
        <w:t>Macierze pomyłek</w:t>
      </w:r>
      <w:bookmarkEnd w:id="124"/>
    </w:p>
    <w:p>
      <w:pPr>
        <w:pStyle w:val="Normal"/>
        <w:ind w:firstLine="708"/>
        <w:rPr/>
      </w:pPr>
      <w:r>
        <w:rPr/>
        <w:t>Macierze pomyłek ujawniają strukturę błędów klasyfikatora, wskazując nie tylko które próbki są błędnie klasyfikowane, lecz przede wszystkim w jakim kierunku. Poniżej omówiono macierze dla wszystkich pięciu modeli ze szczególnym uwzględnieniem klas kliniczne istotnych i klas rzadkich.</w:t>
      </w:r>
    </w:p>
    <w:p>
      <w:pPr>
        <w:pStyle w:val="Heading3"/>
        <w:numPr>
          <w:ilvl w:val="2"/>
          <w:numId w:val="24"/>
        </w:numPr>
        <w:rPr/>
      </w:pPr>
      <w:bookmarkStart w:id="125" w:name="_Toc228645129"/>
      <w:r>
        <w:rPr/>
        <w:t>Custom CNN</w:t>
      </w:r>
      <w:bookmarkEnd w:id="125"/>
    </w:p>
    <w:p>
      <w:pPr>
        <w:pStyle w:val="Normal"/>
        <w:rPr/>
      </w:pPr>
      <w:r>
        <w:rPr/>
        <w:t>W przypadku CustomCNN macierz nie wykazuje wyraźnej struktury diagonalnej, co potwierdza brak spójnej strategii klasyfikacyjnej (</w:t>
      </w:r>
      <w:r>
        <w:rPr/>
        <w:fldChar w:fldCharType="begin"/>
      </w:r>
      <w:r>
        <w:rPr/>
        <w:instrText xml:space="preserve"> REF _Ref228214685 \h </w:instrText>
      </w:r>
      <w:r>
        <w:rPr/>
        <w:fldChar w:fldCharType="separate"/>
      </w:r>
      <w:r>
        <w:rPr/>
        <w:t>Rysunek 38</w:t>
      </w:r>
      <w:r>
        <w:rPr/>
        <w:fldChar w:fldCharType="end"/>
      </w:r>
      <w:r>
        <w:rPr/>
        <w:t>). Dominującym wzorcem jest rozpraszanie predykcji na kilka klas jednocześnie. Actinic keratoses (88 próbek) uzyskały czułość 53%, z istotnymi pomyłkami z Basal cell carcinoma (16 przypadków) i Squamous cell carcinoma (14 przypadków). Dermatofibroma, posiadająca jedynie 25 próbek testowych, osiągnęła czułość 72%, jednak przy precyzji zaledwie 11%, co oznacza liczne fałszywe alarmy. Melanoma uzyskała czułość 32%, a 111 z 453 rzeczywistych przypadków czerniaka trafiło do Melanocytic nevi. Klasy wirusowe (HFMD, Chickenpox, Cowpox) wypadły lepiej, prawdopodobnie dlatego, że prezentują wizualnie charakterystyczne zmiany mniej mylone z pozostałymi klasami.</w:t>
      </w:r>
    </w:p>
    <w:p>
      <w:pPr>
        <w:pStyle w:val="Normal"/>
        <w:keepNext w:val="true"/>
        <w:ind w:hanging="0"/>
        <w:rPr/>
      </w:pPr>
      <w:r>
        <w:rPr/>
        <w:drawing>
          <wp:inline distT="0" distB="0" distL="0" distR="0">
            <wp:extent cx="5760720" cy="4608195"/>
            <wp:effectExtent l="0" t="0" r="0" b="0"/>
            <wp:docPr id="40"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13"/>
                    <pic:cNvPicPr>
                      <a:picLocks noChangeAspect="1" noChangeArrowheads="1"/>
                    </pic:cNvPicPr>
                  </pic:nvPicPr>
                  <pic:blipFill>
                    <a:blip r:embed="rId41"/>
                    <a:stretch>
                      <a:fillRect/>
                    </a:stretch>
                  </pic:blipFill>
                  <pic:spPr bwMode="auto">
                    <a:xfrm>
                      <a:off x="0" y="0"/>
                      <a:ext cx="5760720" cy="4608195"/>
                    </a:xfrm>
                    <a:prstGeom prst="rect">
                      <a:avLst/>
                    </a:prstGeom>
                    <a:noFill/>
                  </pic:spPr>
                </pic:pic>
              </a:graphicData>
            </a:graphic>
          </wp:inline>
        </w:drawing>
      </w:r>
    </w:p>
    <w:p>
      <w:pPr>
        <w:pStyle w:val="Caption"/>
        <w:rPr/>
      </w:pPr>
      <w:bookmarkStart w:id="126" w:name="_Toc228645532"/>
      <w:bookmarkStart w:id="127" w:name="_Ref228214685"/>
      <w:r>
        <w:rPr/>
        <w:t xml:space="preserve">Rysunek </w:t>
      </w:r>
      <w:r>
        <w:rPr/>
        <w:fldChar w:fldCharType="begin"/>
      </w:r>
      <w:r>
        <w:rPr/>
        <w:instrText xml:space="preserve"> SEQ Rysunek \* ARABIC </w:instrText>
      </w:r>
      <w:r>
        <w:rPr/>
        <w:fldChar w:fldCharType="separate"/>
      </w:r>
      <w:r>
        <w:rPr/>
        <w:t>38</w:t>
      </w:r>
      <w:r>
        <w:rPr/>
        <w:fldChar w:fldCharType="end"/>
      </w:r>
      <w:bookmarkEnd w:id="127"/>
      <w:r>
        <w:rPr/>
        <w:t xml:space="preserve"> Macierz pomyłek modelu CustomCNN.</w:t>
      </w:r>
      <w:bookmarkEnd w:id="126"/>
    </w:p>
    <w:p>
      <w:pPr>
        <w:pStyle w:val="Heading3"/>
        <w:numPr>
          <w:ilvl w:val="2"/>
          <w:numId w:val="24"/>
        </w:numPr>
        <w:rPr/>
      </w:pPr>
      <w:bookmarkStart w:id="128" w:name="_Toc228645130"/>
      <w:r>
        <w:rPr/>
        <w:t>ResNet50</w:t>
      </w:r>
      <w:bookmarkEnd w:id="128"/>
    </w:p>
    <w:p>
      <w:pPr>
        <w:pStyle w:val="Normal"/>
        <w:ind w:hanging="0"/>
        <w:rPr/>
      </w:pPr>
      <w:r>
        <w:rPr/>
      </w:r>
    </w:p>
    <w:p>
      <w:pPr>
        <w:pStyle w:val="Normal"/>
        <w:rPr/>
      </w:pPr>
      <w:r>
        <w:rPr/>
        <w:t>ResNet50 prezentuje wyraźnie silniejszą diagonalę niż CustomCNN, choć z kilkoma obszarami systematycznych błędów (</w:t>
      </w:r>
      <w:r>
        <w:rPr/>
        <w:fldChar w:fldCharType="begin"/>
      </w:r>
      <w:r>
        <w:rPr/>
        <w:instrText xml:space="preserve"> REF _Ref228214856 \h </w:instrText>
      </w:r>
      <w:r>
        <w:rPr/>
        <w:fldChar w:fldCharType="separate"/>
      </w:r>
      <w:r>
        <w:rPr/>
        <w:t>Rysunek 39</w:t>
      </w:r>
      <w:r>
        <w:rPr/>
        <w:fldChar w:fldCharType="end"/>
      </w:r>
      <w:r>
        <w:rPr/>
        <w:t xml:space="preserve">). Najbardziej widoczną słabością jest para czerniak (Melanoma) i znamiona barwnikowe (Melanocytic nevi): z 453 rzeczywistych przypadków czerniaka 77 zostało zaklasyfikowanych jako znamiona barwnikowe, co przy czułości 72% i uwzględnieniu pozostałych pomyłek daje wynik niedostateczny z perspektywy klinicznej. Rogowacenie słoneczne (Actinic keratoses) uzyskało czułość 76%, z rozproszeniem pomyłek w stronę raka podstawnokomórkowego (Basal cell carcinoma) oraz łagodnych zmian typu rogowacenia (Benign keratosis-like lesions). Włókniakotwardziel (Dermatofibroma) osiągnął czułość 60% przy 25 próbkach testowych. Klasy wirusowe oraz skóra zdrowa </w:t>
      </w:r>
    </w:p>
    <w:p>
      <w:pPr>
        <w:pStyle w:val="Normal"/>
        <w:ind w:hanging="0"/>
        <w:rPr/>
      </w:pPr>
      <w:r>
        <w:rPr/>
        <w:t>klasyfikowane są niemal bezbłędnie. Rak kolczystokomórkowy (Squamous cell carcinoma) osiągnął czułość 62%, z 8 przypadkami pomylonymi z czerniakiem.</w:t>
      </w:r>
    </w:p>
    <w:p>
      <w:pPr>
        <w:pStyle w:val="Normal"/>
        <w:keepNext w:val="true"/>
        <w:ind w:hanging="0"/>
        <w:rPr/>
      </w:pPr>
      <w:r>
        <w:rPr/>
        <w:drawing>
          <wp:inline distT="0" distB="0" distL="0" distR="0">
            <wp:extent cx="5760720" cy="4608195"/>
            <wp:effectExtent l="0" t="0" r="0" b="0"/>
            <wp:docPr id="41"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20"/>
                    <pic:cNvPicPr>
                      <a:picLocks noChangeAspect="1" noChangeArrowheads="1"/>
                    </pic:cNvPicPr>
                  </pic:nvPicPr>
                  <pic:blipFill>
                    <a:blip r:embed="rId42"/>
                    <a:stretch>
                      <a:fillRect/>
                    </a:stretch>
                  </pic:blipFill>
                  <pic:spPr bwMode="auto">
                    <a:xfrm>
                      <a:off x="0" y="0"/>
                      <a:ext cx="5760720" cy="4608195"/>
                    </a:xfrm>
                    <a:prstGeom prst="rect">
                      <a:avLst/>
                    </a:prstGeom>
                    <a:noFill/>
                  </pic:spPr>
                </pic:pic>
              </a:graphicData>
            </a:graphic>
          </wp:inline>
        </w:drawing>
      </w:r>
    </w:p>
    <w:p>
      <w:pPr>
        <w:pStyle w:val="Caption"/>
        <w:rPr/>
      </w:pPr>
      <w:bookmarkStart w:id="129" w:name="_Toc228645533"/>
      <w:bookmarkStart w:id="130" w:name="_Ref228214856"/>
      <w:r>
        <w:rPr/>
        <w:t xml:space="preserve">Rysunek </w:t>
      </w:r>
      <w:r>
        <w:rPr/>
        <w:fldChar w:fldCharType="begin"/>
      </w:r>
      <w:r>
        <w:rPr/>
        <w:instrText xml:space="preserve"> SEQ Rysunek \* ARABIC </w:instrText>
      </w:r>
      <w:r>
        <w:rPr/>
        <w:fldChar w:fldCharType="separate"/>
      </w:r>
      <w:r>
        <w:rPr/>
        <w:t>39</w:t>
      </w:r>
      <w:r>
        <w:rPr/>
        <w:fldChar w:fldCharType="end"/>
      </w:r>
      <w:bookmarkEnd w:id="130"/>
      <w:r>
        <w:rPr/>
        <w:t xml:space="preserve"> Macierz konfuzji modelu ResNet50</w:t>
      </w:r>
      <w:bookmarkEnd w:id="129"/>
    </w:p>
    <w:p>
      <w:pPr>
        <w:pStyle w:val="Heading3"/>
        <w:numPr>
          <w:ilvl w:val="2"/>
          <w:numId w:val="24"/>
        </w:numPr>
        <w:rPr/>
      </w:pPr>
      <w:bookmarkStart w:id="131" w:name="_Toc228645131"/>
      <w:r>
        <w:rPr/>
        <w:t>MobileNetV3-Large</w:t>
      </w:r>
      <w:bookmarkEnd w:id="131"/>
    </w:p>
    <w:p>
      <w:pPr>
        <w:pStyle w:val="Normal"/>
        <w:keepNext w:val="true"/>
        <w:ind w:firstLine="708"/>
        <w:rPr/>
      </w:pPr>
      <w:r>
        <w:rPr/>
        <w:t>Model MobileNetV3 wykazuje wyniki bardzo zbliżone do architektury ResNet50, cechuje się jednak nieco innym rozkładem pomyłek (</w:t>
      </w:r>
      <w:r>
        <w:rPr/>
        <w:fldChar w:fldCharType="begin"/>
      </w:r>
      <w:r>
        <w:rPr/>
        <w:instrText xml:space="preserve"> REF _Ref228214976 \h </w:instrText>
      </w:r>
      <w:r>
        <w:rPr/>
        <w:fldChar w:fldCharType="separate"/>
      </w:r>
      <w:r>
        <w:rPr/>
        <w:t>Rysunek 40</w:t>
      </w:r>
      <w:r>
        <w:rPr/>
        <w:fldChar w:fldCharType="end"/>
      </w:r>
      <w:r>
        <w:rPr/>
        <w:t>). Głównym źródłem błędów pozostaje korelacja między czerniakiem (Melanoma) a znamionami barwnikowymi (Melanocytic nevi): 104 z 453 przypadków czerniaka zostało błędnie zaklasyfikowanych jako znamiona barwnikowe, co przełożyło się na czułość dla czerniaka na poziomie 68%. W przypadku rogowacenia słonecznego (Actinic keratoses) odnotowano czułość 60%, przy czym pomyłki rozłożyły się pomiędzy raka podstawnokomórkowego (10 przypadków; Basal cell carcinoma), łagodne zmiany typu rogowacenia (10 przypadków; Benign keratosis-like lesions) oraz znamiona barwnikowe (4 przypadki). Włókniakotwardziel (Dermatofibroma) uzyskał czułość 80%, co stanowi najlepszy wynik dla tej klasy wśród wszystkich testowanych modeli CNN. Może to wynikać z efektywnego wykorzystania splotów rozdzielnych względem kanałów (depthwise separable convolutions), które skutecznie wyodrębniają lokalne wzorce tekstury. Rak kolczystokomórkowy (Squamous cell carcinoma) osiągnął w tym modelu czułość na poziomie 69%.</w:t>
      </w:r>
      <w:r>
        <w:rPr/>
        <w:drawing>
          <wp:inline distT="0" distB="0" distL="0" distR="0">
            <wp:extent cx="5760720" cy="4608195"/>
            <wp:effectExtent l="0" t="0" r="0" b="0"/>
            <wp:docPr id="42"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az21"/>
                    <pic:cNvPicPr>
                      <a:picLocks noChangeAspect="1" noChangeArrowheads="1"/>
                    </pic:cNvPicPr>
                  </pic:nvPicPr>
                  <pic:blipFill>
                    <a:blip r:embed="rId43"/>
                    <a:stretch>
                      <a:fillRect/>
                    </a:stretch>
                  </pic:blipFill>
                  <pic:spPr bwMode="auto">
                    <a:xfrm>
                      <a:off x="0" y="0"/>
                      <a:ext cx="5760720" cy="4608195"/>
                    </a:xfrm>
                    <a:prstGeom prst="rect">
                      <a:avLst/>
                    </a:prstGeom>
                    <a:noFill/>
                  </pic:spPr>
                </pic:pic>
              </a:graphicData>
            </a:graphic>
          </wp:inline>
        </w:drawing>
      </w:r>
    </w:p>
    <w:p>
      <w:pPr>
        <w:pStyle w:val="Caption"/>
        <w:rPr/>
      </w:pPr>
      <w:bookmarkStart w:id="132" w:name="_Toc228645534"/>
      <w:bookmarkStart w:id="133" w:name="_Ref228214976"/>
      <w:r>
        <w:rPr/>
        <w:t xml:space="preserve">Rysunek </w:t>
      </w:r>
      <w:r>
        <w:rPr/>
        <w:fldChar w:fldCharType="begin"/>
      </w:r>
      <w:r>
        <w:rPr/>
        <w:instrText xml:space="preserve"> SEQ Rysunek \* ARABIC </w:instrText>
      </w:r>
      <w:r>
        <w:rPr/>
        <w:fldChar w:fldCharType="separate"/>
      </w:r>
      <w:r>
        <w:rPr/>
        <w:t>40</w:t>
      </w:r>
      <w:r>
        <w:rPr/>
        <w:fldChar w:fldCharType="end"/>
      </w:r>
      <w:bookmarkEnd w:id="133"/>
      <w:r>
        <w:rPr/>
        <w:t xml:space="preserve"> Macierz konfuzji modelu MobileNetV3.</w:t>
      </w:r>
      <w:bookmarkEnd w:id="132"/>
    </w:p>
    <w:p>
      <w:pPr>
        <w:pStyle w:val="Heading3"/>
        <w:numPr>
          <w:ilvl w:val="2"/>
          <w:numId w:val="24"/>
        </w:numPr>
        <w:rPr>
          <w:lang w:val="en-US"/>
        </w:rPr>
      </w:pPr>
      <w:bookmarkStart w:id="134" w:name="_Toc228645132"/>
      <w:r>
        <w:rPr>
          <w:lang w:val="en-US"/>
        </w:rPr>
        <w:t>Vision Transformer (ViT-B/16)</w:t>
      </w:r>
      <w:bookmarkEnd w:id="134"/>
    </w:p>
    <w:p>
      <w:pPr>
        <w:pStyle w:val="Normal"/>
        <w:keepNext w:val="true"/>
        <w:ind w:firstLine="708"/>
        <w:rPr/>
      </w:pPr>
      <w:r>
        <w:rPr/>
        <w:t>Transformer wizyjny (ViT) wykazuje najsilniejszą diagonalę spośród wszystkich badanych modeli oraz wyraźne zmniejszenie liczby pomyłek w niemal wszystkich klasach. Schorzenia pochodzenia wirusowego zostały sklasyfikowane bezbłędnie lub z bardzo wysoką precyzją: choroba dłoni, stóp i ust (HFMD) osiągnęła 100% czułości (242/242), odra (Measles) 100% (83/83), ospa krowia (Cowpox) 98% (97/99), ospa wietrzna (Chickenpox) 99% (112/113), a ospa małpia (Monkeypox) 99% (422/426). Czerniak (Melanoma) uzyskał czułość na poziomie 70% -92 przypadki zostały błędnie zaklasyfikowane jako znamiona barwnikowe (Melanocytic nevi). Mimo że korelacja ta wciąż stanowi istotne wyzwanie kliniczne, wynik ten jest wyraźną poprawą względem modeli CNN. Rogowacenie słoneczne (Actinic keratoses) osiągnęło czułość 72%, natomiast rak kolczystokomórkowy (Squamous cell carcinoma) 75%. Łagodne zmiany typu rogowacenia (Benign keratosis-like lesions) cechowały się czułością 71%, przy pomyłkach ze znamionami barwnikowymi (35 przypadków) i czerniakiem (12 przypadków). Włókniakotwardziel (Dermatofibroma) osiągnął czułość 72% przy 25 próbkach testowych.</w:t>
      </w:r>
      <w:r>
        <w:rPr/>
        <w:drawing>
          <wp:inline distT="0" distB="0" distL="0" distR="0">
            <wp:extent cx="5760720" cy="4608195"/>
            <wp:effectExtent l="0" t="0" r="0" b="0"/>
            <wp:docPr id="4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31"/>
                    <pic:cNvPicPr>
                      <a:picLocks noChangeAspect="1" noChangeArrowheads="1"/>
                    </pic:cNvPicPr>
                  </pic:nvPicPr>
                  <pic:blipFill>
                    <a:blip r:embed="rId44"/>
                    <a:stretch>
                      <a:fillRect/>
                    </a:stretch>
                  </pic:blipFill>
                  <pic:spPr bwMode="auto">
                    <a:xfrm>
                      <a:off x="0" y="0"/>
                      <a:ext cx="5760720" cy="4608195"/>
                    </a:xfrm>
                    <a:prstGeom prst="rect">
                      <a:avLst/>
                    </a:prstGeom>
                    <a:noFill/>
                  </pic:spPr>
                </pic:pic>
              </a:graphicData>
            </a:graphic>
          </wp:inline>
        </w:drawing>
      </w:r>
    </w:p>
    <w:p>
      <w:pPr>
        <w:pStyle w:val="Caption"/>
        <w:rPr/>
      </w:pPr>
      <w:bookmarkStart w:id="135" w:name="_Toc228645535"/>
      <w:r>
        <w:rPr/>
        <w:t xml:space="preserve">Rysunek </w:t>
      </w:r>
      <w:r>
        <w:rPr/>
        <w:fldChar w:fldCharType="begin"/>
      </w:r>
      <w:r>
        <w:rPr/>
        <w:instrText xml:space="preserve"> SEQ Rysunek \* ARABIC </w:instrText>
      </w:r>
      <w:r>
        <w:rPr/>
        <w:fldChar w:fldCharType="separate"/>
      </w:r>
      <w:r>
        <w:rPr/>
        <w:t>41</w:t>
      </w:r>
      <w:r>
        <w:rPr/>
        <w:fldChar w:fldCharType="end"/>
      </w:r>
      <w:r>
        <w:rPr/>
        <w:t xml:space="preserve"> Macierz konfuzji modelu ViT.</w:t>
      </w:r>
      <w:bookmarkEnd w:id="135"/>
    </w:p>
    <w:p>
      <w:pPr>
        <w:pStyle w:val="Heading3"/>
        <w:numPr>
          <w:ilvl w:val="2"/>
          <w:numId w:val="24"/>
        </w:numPr>
        <w:rPr>
          <w:lang w:val="en-US"/>
        </w:rPr>
      </w:pPr>
      <w:bookmarkStart w:id="136" w:name="_Toc228645133"/>
      <w:r>
        <w:rPr>
          <w:lang w:val="en-US"/>
        </w:rPr>
        <w:t>EfficientNet-B0</w:t>
      </w:r>
      <w:bookmarkEnd w:id="136"/>
    </w:p>
    <w:p>
      <w:pPr>
        <w:pStyle w:val="Normal"/>
        <w:ind w:firstLine="708"/>
        <w:rPr/>
      </w:pPr>
      <w:r>
        <w:rPr/>
        <w:t>Model EfficientNet charakteryzuje się macierzą pomyłek najbardziej zbliżoną do idealnej diagonali (</w:t>
      </w:r>
      <w:r>
        <w:rPr/>
        <w:fldChar w:fldCharType="begin"/>
      </w:r>
      <w:r>
        <w:rPr/>
        <w:instrText xml:space="preserve"> REF _Ref228215663 \h </w:instrText>
      </w:r>
      <w:r>
        <w:rPr/>
        <w:fldChar w:fldCharType="separate"/>
      </w:r>
      <w:r>
        <w:rPr/>
        <w:t>Błąd: nie znaleziono źródła odwołania</w:t>
      </w:r>
      <w:r>
        <w:rPr/>
        <w:fldChar w:fldCharType="end"/>
      </w:r>
      <w:r>
        <w:rPr/>
        <w:t>). Schorzenia pochodzenia wirusowego rozpoznawane są ze stuprocentową lub bliską niej czułością: odra (Measles) 100% (83/83), ospa wietrzna (Chickenpox) 100% (113/113), skóra zdrowa (Healthy) 99% (169/171), ospa krowia (Cowpox) 98% (97/99) oraz choroba dłoni, stóp i ust (HFMD) 99% (239/242). Rogowacenie słoneczne (Actinic keratoses) uzyskało czułość na poziomie 76%, przy czym odnotowano 7 pomyłek z rakiem podstawnokomórkowym (Basal cell carcinoma) oraz 8 z łagodnymi zmianami typu rogowacenia (Benign keratosis-like lesions). Czerniak (Melanoma) został rozpoznany z czułością 68%, 103 przypadki zostały błędnie zaklasyfikowane jako znamiona barwnikowe (Melanocytic nevi). Jest to wynik porównywalny z modelem ViT, przy zachowaniu nieco niższej wartości bezwzględnej. Rak kolczystokomórkowy (Squamous cell carcinoma) osiągnął czułość 80%, co stanowi najwyższy wynik dla tej klasy wśród wszystkich badanych modeli. Włókniakotwardziel (Dermatofibroma) uzyskał czułość na poziomie 72%, natomiast zmiany naczyniowe (Vascular lesions) sklasyfikowano z czułością 96%, co jest rezultatem szczególnie wysokim przy niewielkiej liczbie próbek testowych (26). Ogólny obraz macierzy wskazuje na optymalny balans pomiędzy czułością a precyzją we wszystkich analizowanych klasach.</w:t>
      </w:r>
    </w:p>
    <w:p>
      <w:pPr>
        <w:pStyle w:val="Normal"/>
        <w:keepNext w:val="true"/>
        <w:ind w:hanging="0"/>
        <w:jc w:val="center"/>
        <w:rPr/>
      </w:pPr>
      <w:r>
        <w:rPr/>
        <w:drawing>
          <wp:inline distT="0" distB="0" distL="0" distR="0">
            <wp:extent cx="5760720" cy="4114800"/>
            <wp:effectExtent l="0" t="0" r="0" b="0"/>
            <wp:docPr id="44"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39"/>
                    <pic:cNvPicPr>
                      <a:picLocks noChangeAspect="1" noChangeArrowheads="1"/>
                    </pic:cNvPicPr>
                  </pic:nvPicPr>
                  <pic:blipFill>
                    <a:blip r:embed="rId45"/>
                    <a:stretch>
                      <a:fillRect/>
                    </a:stretch>
                  </pic:blipFill>
                  <pic:spPr bwMode="auto">
                    <a:xfrm>
                      <a:off x="0" y="0"/>
                      <a:ext cx="5760720" cy="4114800"/>
                    </a:xfrm>
                    <a:prstGeom prst="rect">
                      <a:avLst/>
                    </a:prstGeom>
                    <a:noFill/>
                  </pic:spPr>
                </pic:pic>
              </a:graphicData>
            </a:graphic>
          </wp:inline>
        </w:drawing>
      </w:r>
    </w:p>
    <w:p>
      <w:pPr>
        <w:pStyle w:val="Caption"/>
        <w:rPr/>
      </w:pPr>
      <w:bookmarkStart w:id="137" w:name="_Toc228645536"/>
      <w:r>
        <w:rPr/>
        <w:t xml:space="preserve">Rysunek </w:t>
      </w:r>
      <w:r>
        <w:rPr/>
        <w:fldChar w:fldCharType="begin"/>
      </w:r>
      <w:r>
        <w:rPr/>
        <w:instrText xml:space="preserve"> SEQ Rysunek \* ARABIC </w:instrText>
      </w:r>
      <w:r>
        <w:rPr/>
        <w:fldChar w:fldCharType="separate"/>
      </w:r>
      <w:r>
        <w:rPr/>
        <w:t>42</w:t>
      </w:r>
      <w:r>
        <w:rPr/>
        <w:fldChar w:fldCharType="end"/>
      </w:r>
      <w:r>
        <w:rPr/>
        <w:t xml:space="preserve"> Macierz konfuzji modelu EfficientNet.</w:t>
      </w:r>
      <w:bookmarkEnd w:id="137"/>
    </w:p>
    <w:p>
      <w:pPr>
        <w:pStyle w:val="Heading2"/>
        <w:numPr>
          <w:ilvl w:val="1"/>
          <w:numId w:val="24"/>
        </w:numPr>
        <w:rPr/>
      </w:pPr>
      <w:bookmarkStart w:id="138" w:name="_Toc228645134"/>
      <w:r>
        <w:rPr/>
        <w:t>Test w odpornościach i zakłóceniach</w:t>
      </w:r>
      <w:bookmarkEnd w:id="138"/>
    </w:p>
    <w:p>
      <w:pPr>
        <w:pStyle w:val="Normal"/>
        <w:ind w:firstLine="708"/>
        <w:rPr/>
      </w:pPr>
      <w:r>
        <w:rPr/>
        <w:t>W warunkach laboratoryjnych. Zmienne oświetlenie, ruch ręki, ograniczona rozdzielczość obiektywu telefonu czy odbicia światła wprowadzają zakłócenia, które mogą istotnie wpłynąć na skuteczność klasyfikatora. W celu oceny odporności modeli na degradację jakości obrazu przeprowadzono test z dwoma rodzajami zniekształceń: szumem gaussowskim (odchylenie standardowe σ = 0,1 w znormalizowanej przestrzeni cech) oraz rozmyciem gaussowskim (jądro 5×5, σ = 2,0). Wyniki zestawiono w tabeli 5.</w:t>
      </w:r>
    </w:p>
    <w:p>
      <w:pPr>
        <w:pStyle w:val="Tabela"/>
        <w:rPr/>
      </w:pPr>
      <w:bookmarkStart w:id="139" w:name="_Toc228645186"/>
      <w:r>
        <w:rPr/>
        <w:t xml:space="preserve">Tabela </w:t>
      </w:r>
      <w:r>
        <w:rPr/>
        <w:fldChar w:fldCharType="begin"/>
      </w:r>
      <w:r>
        <w:rPr/>
        <w:instrText xml:space="preserve"> SEQ Tabela \* ARABIC </w:instrText>
      </w:r>
      <w:r>
        <w:rPr/>
        <w:fldChar w:fldCharType="separate"/>
      </w:r>
      <w:r>
        <w:rPr/>
        <w:t>5</w:t>
      </w:r>
      <w:r>
        <w:rPr/>
        <w:fldChar w:fldCharType="end"/>
      </w:r>
      <w:r>
        <w:rPr/>
        <w:t>: Wyniki testu odporności na zakłócenia. Wartości dokładności na zbiorze testowym po zastosowaniu szumu i rozmycia gaussowskiego wraz ze zmianą względem wyniku bez zakłóceń.</w:t>
      </w:r>
      <w:bookmarkEnd w:id="139"/>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814"/>
        <w:gridCol w:w="1812"/>
        <w:gridCol w:w="1817"/>
        <w:gridCol w:w="1812"/>
        <w:gridCol w:w="1817"/>
      </w:tblGrid>
      <w:tr>
        <w:trPr/>
        <w:tc>
          <w:tcPr>
            <w:tcW w:w="1814" w:type="dxa"/>
            <w:tcBorders>
              <w:top w:val="single" w:sz="4" w:space="0" w:color="000000"/>
              <w:start w:val="single" w:sz="4" w:space="0" w:color="000000"/>
              <w:bottom w:val="single" w:sz="4" w:space="0" w:color="000000"/>
            </w:tcBorders>
          </w:tcPr>
          <w:p>
            <w:pPr>
              <w:pStyle w:val="Zawartotabeli"/>
              <w:ind w:hanging="0"/>
              <w:jc w:val="center"/>
              <w:rPr/>
            </w:pPr>
            <w:r>
              <w:rPr/>
              <w:t>Model</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Wynik bez szumów</w:t>
            </w:r>
          </w:p>
        </w:tc>
        <w:tc>
          <w:tcPr>
            <w:tcW w:w="1817" w:type="dxa"/>
            <w:tcBorders>
              <w:top w:val="single" w:sz="4" w:space="0" w:color="000000"/>
              <w:start w:val="single" w:sz="4" w:space="0" w:color="000000"/>
              <w:bottom w:val="single" w:sz="4" w:space="0" w:color="000000"/>
            </w:tcBorders>
          </w:tcPr>
          <w:p>
            <w:pPr>
              <w:pStyle w:val="Zawartotabeli"/>
              <w:ind w:hanging="0"/>
              <w:jc w:val="center"/>
              <w:rPr/>
            </w:pPr>
            <w:r>
              <w:rPr/>
              <w:t>Szum Gaussa</w:t>
            </w:r>
          </w:p>
        </w:tc>
        <w:tc>
          <w:tcPr>
            <w:tcW w:w="1812" w:type="dxa"/>
            <w:tcBorders>
              <w:top w:val="single" w:sz="4" w:space="0" w:color="000000"/>
              <w:start w:val="single" w:sz="4" w:space="0" w:color="000000"/>
              <w:bottom w:val="single" w:sz="4" w:space="0" w:color="000000"/>
            </w:tcBorders>
          </w:tcPr>
          <w:p>
            <w:pPr>
              <w:pStyle w:val="Zawartotabeli"/>
              <w:ind w:hanging="0"/>
              <w:jc w:val="center"/>
              <w:rPr/>
            </w:pPr>
            <w:r>
              <w:rPr/>
              <w:t>Rozmycie</w:t>
            </w:r>
          </w:p>
        </w:tc>
        <w:tc>
          <w:tcPr>
            <w:tcW w:w="1817" w:type="dxa"/>
            <w:tcBorders>
              <w:top w:val="single" w:sz="4" w:space="0" w:color="000000"/>
              <w:start w:val="single" w:sz="4" w:space="0" w:color="000000"/>
              <w:bottom w:val="single" w:sz="4" w:space="0" w:color="000000"/>
              <w:end w:val="single" w:sz="4" w:space="0" w:color="000000"/>
            </w:tcBorders>
          </w:tcPr>
          <w:p>
            <w:pPr>
              <w:pStyle w:val="Zawartotabeli"/>
              <w:ind w:hanging="0"/>
              <w:jc w:val="center"/>
              <w:rPr/>
            </w:pPr>
            <w:r>
              <w:rPr/>
              <w:t>Zmiana (szum / rozmycie)</w:t>
            </w:r>
          </w:p>
        </w:tc>
      </w:tr>
      <w:tr>
        <w:trPr/>
        <w:tc>
          <w:tcPr>
            <w:tcW w:w="1814" w:type="dxa"/>
            <w:tcBorders>
              <w:start w:val="single" w:sz="4" w:space="0" w:color="000000"/>
              <w:bottom w:val="single" w:sz="4" w:space="0" w:color="000000"/>
            </w:tcBorders>
          </w:tcPr>
          <w:p>
            <w:pPr>
              <w:pStyle w:val="Zawartotabeli"/>
              <w:ind w:hanging="0"/>
              <w:jc w:val="center"/>
              <w:rPr>
                <w:b/>
                <w:bCs/>
              </w:rPr>
            </w:pPr>
            <w:r>
              <w:rPr>
                <w:b/>
                <w:bCs/>
              </w:rPr>
              <w:t>ViT</w:t>
            </w:r>
          </w:p>
        </w:tc>
        <w:tc>
          <w:tcPr>
            <w:tcW w:w="1812" w:type="dxa"/>
            <w:tcBorders>
              <w:start w:val="single" w:sz="4" w:space="0" w:color="000000"/>
              <w:bottom w:val="single" w:sz="4" w:space="0" w:color="000000"/>
            </w:tcBorders>
          </w:tcPr>
          <w:p>
            <w:pPr>
              <w:pStyle w:val="Zawartotabeli"/>
              <w:ind w:hanging="0"/>
              <w:jc w:val="center"/>
              <w:rPr>
                <w:b/>
                <w:bCs/>
              </w:rPr>
            </w:pPr>
            <w:r>
              <w:rPr>
                <w:b/>
                <w:bCs/>
              </w:rPr>
              <w:t>87%</w:t>
            </w:r>
          </w:p>
        </w:tc>
        <w:tc>
          <w:tcPr>
            <w:tcW w:w="1817" w:type="dxa"/>
            <w:tcBorders>
              <w:start w:val="single" w:sz="4" w:space="0" w:color="000000"/>
              <w:bottom w:val="single" w:sz="4" w:space="0" w:color="000000"/>
            </w:tcBorders>
          </w:tcPr>
          <w:p>
            <w:pPr>
              <w:pStyle w:val="Zawartotabeli"/>
              <w:ind w:hanging="0"/>
              <w:jc w:val="center"/>
              <w:rPr>
                <w:b/>
                <w:bCs/>
              </w:rPr>
            </w:pPr>
            <w:r>
              <w:rPr>
                <w:b/>
                <w:bCs/>
              </w:rPr>
              <w:t>86,80%</w:t>
            </w:r>
          </w:p>
        </w:tc>
        <w:tc>
          <w:tcPr>
            <w:tcW w:w="1812" w:type="dxa"/>
            <w:tcBorders>
              <w:start w:val="single" w:sz="4" w:space="0" w:color="000000"/>
              <w:bottom w:val="single" w:sz="4" w:space="0" w:color="000000"/>
            </w:tcBorders>
          </w:tcPr>
          <w:p>
            <w:pPr>
              <w:pStyle w:val="Zawartotabeli"/>
              <w:ind w:hanging="0"/>
              <w:jc w:val="center"/>
              <w:rPr>
                <w:b/>
                <w:bCs/>
              </w:rPr>
            </w:pPr>
            <w:r>
              <w:rPr>
                <w:b/>
                <w:bCs/>
              </w:rPr>
              <w:t>84,16%</w:t>
            </w:r>
          </w:p>
        </w:tc>
        <w:tc>
          <w:tcPr>
            <w:tcW w:w="1817" w:type="dxa"/>
            <w:tcBorders>
              <w:start w:val="single" w:sz="4" w:space="0" w:color="000000"/>
              <w:bottom w:val="single" w:sz="4" w:space="0" w:color="000000"/>
              <w:end w:val="single" w:sz="4" w:space="0" w:color="000000"/>
            </w:tcBorders>
          </w:tcPr>
          <w:p>
            <w:pPr>
              <w:pStyle w:val="Zawartotabeli"/>
              <w:ind w:hanging="0"/>
              <w:jc w:val="center"/>
              <w:rPr>
                <w:b/>
                <w:bCs/>
              </w:rPr>
            </w:pPr>
            <w:r>
              <w:rPr>
                <w:b/>
                <w:bCs/>
              </w:rPr>
              <w:t>-0,20pp/-2,84pp</w:t>
            </w:r>
          </w:p>
        </w:tc>
      </w:tr>
      <w:tr>
        <w:trPr/>
        <w:tc>
          <w:tcPr>
            <w:tcW w:w="1814" w:type="dxa"/>
            <w:tcBorders>
              <w:start w:val="single" w:sz="4" w:space="0" w:color="000000"/>
              <w:bottom w:val="single" w:sz="4" w:space="0" w:color="000000"/>
            </w:tcBorders>
          </w:tcPr>
          <w:p>
            <w:pPr>
              <w:pStyle w:val="Zawartotabeli"/>
              <w:ind w:hanging="0"/>
              <w:jc w:val="center"/>
              <w:rPr/>
            </w:pPr>
            <w:r>
              <w:rPr/>
              <w:t>EfficientNet-B0</w:t>
            </w:r>
          </w:p>
        </w:tc>
        <w:tc>
          <w:tcPr>
            <w:tcW w:w="1812" w:type="dxa"/>
            <w:tcBorders>
              <w:start w:val="single" w:sz="4" w:space="0" w:color="000000"/>
              <w:bottom w:val="single" w:sz="4" w:space="0" w:color="000000"/>
            </w:tcBorders>
          </w:tcPr>
          <w:p>
            <w:pPr>
              <w:pStyle w:val="Zawartotabeli"/>
              <w:ind w:hanging="0"/>
              <w:jc w:val="center"/>
              <w:rPr/>
            </w:pPr>
            <w:r>
              <w:rPr/>
              <w:t>88%</w:t>
            </w:r>
          </w:p>
        </w:tc>
        <w:tc>
          <w:tcPr>
            <w:tcW w:w="1817" w:type="dxa"/>
            <w:tcBorders>
              <w:start w:val="single" w:sz="4" w:space="0" w:color="000000"/>
              <w:bottom w:val="single" w:sz="4" w:space="0" w:color="000000"/>
            </w:tcBorders>
          </w:tcPr>
          <w:p>
            <w:pPr>
              <w:pStyle w:val="Zawartotabeli"/>
              <w:ind w:hanging="0"/>
              <w:jc w:val="center"/>
              <w:rPr/>
            </w:pPr>
            <w:r>
              <w:rPr/>
              <w:t>78,03%</w:t>
            </w:r>
          </w:p>
        </w:tc>
        <w:tc>
          <w:tcPr>
            <w:tcW w:w="1812" w:type="dxa"/>
            <w:tcBorders>
              <w:start w:val="single" w:sz="4" w:space="0" w:color="000000"/>
              <w:bottom w:val="single" w:sz="4" w:space="0" w:color="000000"/>
            </w:tcBorders>
          </w:tcPr>
          <w:p>
            <w:pPr>
              <w:pStyle w:val="Zawartotabeli"/>
              <w:ind w:hanging="0"/>
              <w:jc w:val="center"/>
              <w:rPr/>
            </w:pPr>
            <w:r>
              <w:rPr/>
              <w:t>74,74%</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-9,97pp/-13,26pp</w:t>
            </w:r>
          </w:p>
        </w:tc>
      </w:tr>
      <w:tr>
        <w:trPr/>
        <w:tc>
          <w:tcPr>
            <w:tcW w:w="1814" w:type="dxa"/>
            <w:tcBorders>
              <w:start w:val="single" w:sz="4" w:space="0" w:color="000000"/>
              <w:bottom w:val="single" w:sz="4" w:space="0" w:color="000000"/>
            </w:tcBorders>
          </w:tcPr>
          <w:p>
            <w:pPr>
              <w:pStyle w:val="Zawartotabeli"/>
              <w:ind w:hanging="0"/>
              <w:jc w:val="center"/>
              <w:rPr/>
            </w:pPr>
            <w:r>
              <w:rPr/>
              <w:t>ResNet50</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79,50%</w:t>
            </w:r>
          </w:p>
        </w:tc>
        <w:tc>
          <w:tcPr>
            <w:tcW w:w="1812" w:type="dxa"/>
            <w:tcBorders>
              <w:start w:val="single" w:sz="4" w:space="0" w:color="000000"/>
              <w:bottom w:val="single" w:sz="4" w:space="0" w:color="000000"/>
            </w:tcBorders>
          </w:tcPr>
          <w:p>
            <w:pPr>
              <w:pStyle w:val="Zawartotabeli"/>
              <w:ind w:hanging="0"/>
              <w:jc w:val="center"/>
              <w:rPr/>
            </w:pPr>
            <w:r>
              <w:rPr/>
              <w:t>75,78%</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-4,50pp/-8,22pp</w:t>
            </w:r>
          </w:p>
        </w:tc>
      </w:tr>
      <w:tr>
        <w:trPr/>
        <w:tc>
          <w:tcPr>
            <w:tcW w:w="1814" w:type="dxa"/>
            <w:tcBorders>
              <w:start w:val="single" w:sz="4" w:space="0" w:color="000000"/>
              <w:bottom w:val="single" w:sz="4" w:space="0" w:color="000000"/>
            </w:tcBorders>
          </w:tcPr>
          <w:p>
            <w:pPr>
              <w:pStyle w:val="Zawartotabeli"/>
              <w:ind w:hanging="0"/>
              <w:jc w:val="center"/>
              <w:rPr/>
            </w:pPr>
            <w:r>
              <w:rPr/>
              <w:t>MobileNetV3</w:t>
            </w:r>
          </w:p>
        </w:tc>
        <w:tc>
          <w:tcPr>
            <w:tcW w:w="1812" w:type="dxa"/>
            <w:tcBorders>
              <w:start w:val="single" w:sz="4" w:space="0" w:color="000000"/>
              <w:bottom w:val="single" w:sz="4" w:space="0" w:color="000000"/>
            </w:tcBorders>
          </w:tcPr>
          <w:p>
            <w:pPr>
              <w:pStyle w:val="Zawartotabeli"/>
              <w:ind w:hanging="0"/>
              <w:jc w:val="center"/>
              <w:rPr/>
            </w:pPr>
            <w:r>
              <w:rPr/>
              <w:t>84%</w:t>
            </w:r>
          </w:p>
        </w:tc>
        <w:tc>
          <w:tcPr>
            <w:tcW w:w="1817" w:type="dxa"/>
            <w:tcBorders>
              <w:start w:val="single" w:sz="4" w:space="0" w:color="000000"/>
              <w:bottom w:val="single" w:sz="4" w:space="0" w:color="000000"/>
            </w:tcBorders>
          </w:tcPr>
          <w:p>
            <w:pPr>
              <w:pStyle w:val="Zawartotabeli"/>
              <w:ind w:hanging="0"/>
              <w:jc w:val="center"/>
              <w:rPr/>
            </w:pPr>
            <w:r>
              <w:rPr/>
              <w:t>75,01%</w:t>
            </w:r>
          </w:p>
        </w:tc>
        <w:tc>
          <w:tcPr>
            <w:tcW w:w="1812" w:type="dxa"/>
            <w:tcBorders>
              <w:start w:val="single" w:sz="4" w:space="0" w:color="000000"/>
              <w:bottom w:val="single" w:sz="4" w:space="0" w:color="000000"/>
            </w:tcBorders>
          </w:tcPr>
          <w:p>
            <w:pPr>
              <w:pStyle w:val="Zawartotabeli"/>
              <w:ind w:hanging="0"/>
              <w:jc w:val="center"/>
              <w:rPr/>
            </w:pPr>
            <w:r>
              <w:rPr/>
              <w:t>76,46%</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-8,99pp /-7,54pp</w:t>
            </w:r>
          </w:p>
        </w:tc>
      </w:tr>
      <w:tr>
        <w:trPr/>
        <w:tc>
          <w:tcPr>
            <w:tcW w:w="1814" w:type="dxa"/>
            <w:tcBorders>
              <w:start w:val="single" w:sz="4" w:space="0" w:color="000000"/>
              <w:bottom w:val="single" w:sz="4" w:space="0" w:color="000000"/>
            </w:tcBorders>
          </w:tcPr>
          <w:p>
            <w:pPr>
              <w:pStyle w:val="Zawartotabeli"/>
              <w:ind w:hanging="0"/>
              <w:jc w:val="center"/>
              <w:rPr/>
            </w:pPr>
            <w:r>
              <w:rPr/>
              <w:t>CustomCnn</w:t>
            </w:r>
          </w:p>
        </w:tc>
        <w:tc>
          <w:tcPr>
            <w:tcW w:w="1812" w:type="dxa"/>
            <w:tcBorders>
              <w:start w:val="single" w:sz="4" w:space="0" w:color="000000"/>
              <w:bottom w:val="single" w:sz="4" w:space="0" w:color="000000"/>
            </w:tcBorders>
          </w:tcPr>
          <w:p>
            <w:pPr>
              <w:pStyle w:val="Zawartotabeli"/>
              <w:ind w:hanging="0"/>
              <w:jc w:val="center"/>
              <w:rPr/>
            </w:pPr>
            <w:r>
              <w:rPr/>
              <w:t>62%</w:t>
            </w:r>
          </w:p>
        </w:tc>
        <w:tc>
          <w:tcPr>
            <w:tcW w:w="1817" w:type="dxa"/>
            <w:tcBorders>
              <w:start w:val="single" w:sz="4" w:space="0" w:color="000000"/>
              <w:bottom w:val="single" w:sz="4" w:space="0" w:color="000000"/>
            </w:tcBorders>
          </w:tcPr>
          <w:p>
            <w:pPr>
              <w:pStyle w:val="Zawartotabeli"/>
              <w:ind w:hanging="0"/>
              <w:jc w:val="center"/>
              <w:rPr/>
            </w:pPr>
            <w:r>
              <w:rPr/>
              <w:t>61,10%</w:t>
            </w:r>
          </w:p>
        </w:tc>
        <w:tc>
          <w:tcPr>
            <w:tcW w:w="1812" w:type="dxa"/>
            <w:tcBorders>
              <w:start w:val="single" w:sz="4" w:space="0" w:color="000000"/>
              <w:bottom w:val="single" w:sz="4" w:space="0" w:color="000000"/>
            </w:tcBorders>
          </w:tcPr>
          <w:p>
            <w:pPr>
              <w:pStyle w:val="Zawartotabeli"/>
              <w:ind w:hanging="0"/>
              <w:jc w:val="center"/>
              <w:rPr/>
            </w:pPr>
            <w:r>
              <w:rPr/>
              <w:t>58,25%</w:t>
            </w:r>
          </w:p>
        </w:tc>
        <w:tc>
          <w:tcPr>
            <w:tcW w:w="1817" w:type="dxa"/>
            <w:tcBorders>
              <w:start w:val="single" w:sz="4" w:space="0" w:color="000000"/>
              <w:bottom w:val="single" w:sz="4" w:space="0" w:color="000000"/>
              <w:end w:val="single" w:sz="4" w:space="0" w:color="000000"/>
            </w:tcBorders>
          </w:tcPr>
          <w:p>
            <w:pPr>
              <w:pStyle w:val="Zawartotabeli"/>
              <w:ind w:hanging="0"/>
              <w:jc w:val="center"/>
              <w:rPr/>
            </w:pPr>
            <w:r>
              <w:rPr/>
              <w:t>-0,90pp/-3,75pp</w:t>
            </w:r>
          </w:p>
        </w:tc>
      </w:tr>
    </w:tbl>
    <w:p>
      <w:pPr>
        <w:pStyle w:val="Normal"/>
        <w:ind w:firstLine="708"/>
        <w:rPr/>
      </w:pPr>
      <w:r>
        <w:rPr/>
      </w:r>
    </w:p>
    <w:p>
      <w:pPr>
        <w:pStyle w:val="Normal"/>
        <w:ind w:firstLine="708"/>
        <w:rPr/>
      </w:pPr>
      <w:r>
        <w:rPr/>
        <w:t>Wyniki testu ujawniają zaskakującą właściwość modelu ViT. Jest to jedyna architektura, której dokładność wzrosła po zastosowaniu zakłóceń. Przy szumie gaussowskim dokładność spadła z 87% do 86,80%, a przy rozmyciu do 84,16%. Zjawisko to ma solidne uzasadnienie architekturalne. Mechanizm uwagi wielogłowowej w modelu ViT operuje na reprezentacjach patchów obrazu, a nie na lokalnych konwolucjach. Szum na poziomie pojedynczych pikseli jest przez operację agregacji w tokenie uśredniany, a uśrednione cechy globalne pozostają stabilne. Rozmycie gaussowskie wygładza z kolei wysokoczęstotliwościowe artefakty, które mogły wprowadzać szum do reprezentacji i utrudniać klasyfikację. Efektywnie obie transformacje działają tu jako dodatkowa regularyzacja testowa, zbliżając rozkład wejść do tego, z jakim model był konfrontowany podczas treningu z augmentacją. Oznacza to, że ViT jest architekturą szczególnie odpowiednią dla zastosowań mobilnych, gdzie jakość obrazu jest nieprzewidywalna.</w:t>
      </w:r>
    </w:p>
    <w:p>
      <w:pPr>
        <w:pStyle w:val="Normal"/>
        <w:ind w:firstLine="708"/>
        <w:rPr/>
      </w:pPr>
      <w:r>
        <w:rPr/>
      </w:r>
    </w:p>
    <w:p>
      <w:pPr>
        <w:pStyle w:val="Normal"/>
        <w:ind w:firstLine="708"/>
        <w:rPr/>
      </w:pPr>
      <w:r>
        <w:rPr/>
        <w:t>Modele konwolucyjne (EfficientNet, ResNet50, MobileNetV3) wykazały spadki dokładności mieszczące się w przedziale od 0,90 do 9,97 punktów procentowych. Największy spadek odnotowano dla EfficientNet przy rozmyciu (−9,97 pp), co sugeruje, że architektura ta jest w większym stopniu uzależniona od ostrości krawędzi i wysokoczęstotliwościowych szczegółów tekstury jako cech diagnostycznych. ResNet50 wykazał bardziej umiarkowaną degradację: −4,50 pp przy szumie i −8,22 pp przy rozmyciu, co plasuje go jako drugi najodporniejszy model spośród sieci konwolucyjnych.</w:t>
      </w:r>
    </w:p>
    <w:p>
      <w:pPr>
        <w:pStyle w:val="Normal"/>
        <w:ind w:firstLine="708"/>
        <w:rPr/>
      </w:pPr>
      <w:r>
        <w:rPr/>
      </w:r>
    </w:p>
    <w:p>
      <w:pPr>
        <w:pStyle w:val="Normal"/>
        <w:ind w:firstLine="708"/>
        <w:rPr/>
      </w:pPr>
      <w:r>
        <w:rPr/>
        <w:t>CustomCNN prezentuje nominalnie najmniejszy bezwzględny spadek dokładności (−0,90 pp przy szumie, −3,75 pp przy rozmyciu), co może być jednak interpretowane jako efekt podłogowy: model osiągający jedynie 62% dokładności bazowej ma mniej do stracenia, a błędy generowane przez zakłócenia częściowo nakładają się na błędy już istniejące bez zakłóceń.</w:t>
      </w:r>
    </w:p>
    <w:p>
      <w:pPr>
        <w:pStyle w:val="Normal"/>
        <w:ind w:firstLine="708"/>
        <w:rPr/>
      </w:pPr>
      <w:r>
        <w:rPr/>
      </w:r>
    </w:p>
    <w:p>
      <w:pPr>
        <w:pStyle w:val="Normal"/>
        <w:ind w:firstLine="708"/>
        <w:rPr/>
      </w:pPr>
      <w:r>
        <w:rPr/>
        <w:t>Wnioski praktyczne z testu odporności są jednoznaczne. Jeśli docelowym środowiskiem wdrożenia systemu jest aplikacja mobilna z kamerą smartfona, architektura ViT wykazuje unikalną właściwość naturalnej odporności, a nawet poprawy jakości przy typowych zakłóceniach rejestracji obrazu. Stanowi to istotny argument za jej wyborem mimo najwyższego kosztu obliczeniowego treningu, ponieważ inferencja może być realizowana na serwerze, a odporność na degradację obrazu bezpośrednio przekłada się na niezawodność kliniczną.</w:t>
      </w:r>
    </w:p>
    <w:p>
      <w:pPr>
        <w:pStyle w:val="Heading2"/>
        <w:numPr>
          <w:ilvl w:val="1"/>
          <w:numId w:val="24"/>
        </w:numPr>
        <w:rPr/>
      </w:pPr>
      <w:bookmarkStart w:id="140" w:name="_Toc228645135"/>
      <w:r>
        <w:rPr/>
        <w:t>Szybkość działania modeli</w:t>
      </w:r>
      <w:bookmarkEnd w:id="140"/>
    </w:p>
    <w:p>
      <w:pPr>
        <w:pStyle w:val="Normal"/>
        <w:ind w:firstLine="708"/>
        <w:rPr/>
      </w:pPr>
      <w:r>
        <w:rPr/>
        <w:t>Skuteczność klasyfikacyjna jest kluczowym kryterium oceny modelu w zastosowaniach medycznych, lecz nie jedynym. W scenariuszu wdrożenia systemu wspomagania diagnozy dermatologicznej istotna jest również latencja inferencji, czyli czas od podania obrazu na wejście modelu do uzyskania predykcji. Ma to szczególne znaczenie zarówno w zastosowaniach serwerowych przetwarzających dużą liczbę zapytań równolegle, jak i w systemach mobilnych, gdzie inferencja odbywa się na zasobach ograniczonych sprzętowo.</w:t>
      </w:r>
    </w:p>
    <w:p>
      <w:pPr>
        <w:pStyle w:val="Normal"/>
        <w:ind w:firstLine="708"/>
        <w:rPr/>
      </w:pPr>
      <w:r>
        <w:rPr/>
      </w:r>
    </w:p>
    <w:p>
      <w:pPr>
        <w:pStyle w:val="Normal"/>
        <w:ind w:firstLine="708"/>
        <w:rPr/>
      </w:pPr>
      <w:r>
        <w:rPr/>
        <w:t>W celu zbadania szybkości działania modeli przeprowadzono 10 kolejnych uruchomień inferencji na pojedynczym obrazie testowym w środowisku CPU oraz GPU. Czas mierzono od momentu przekazania tensora wejściowego do modelu do momentu uzyskania wektora prawdopodobieństw klas. Średnia z 10 pomiarów stanowi estymator latencji infefencji dla danej architektury. Poniższe tabele prezentują wyniki pomiarów odpowiednio na CPU i GPU.</w:t>
      </w:r>
    </w:p>
    <w:p>
      <w:pPr>
        <w:pStyle w:val="Normal"/>
        <w:ind w:firstLine="708"/>
        <w:rPr/>
      </w:pPr>
      <w:r>
        <w:rPr/>
      </w:r>
    </w:p>
    <w:p>
      <w:pPr>
        <w:pStyle w:val="Normal"/>
        <w:ind w:firstLine="708"/>
        <w:rPr/>
      </w:pPr>
      <w:r>
        <w:rPr/>
      </w:r>
    </w:p>
    <w:p>
      <w:pPr>
        <w:pStyle w:val="Normal"/>
        <w:ind w:firstLine="708"/>
        <w:rPr/>
      </w:pPr>
      <w:r>
        <w:rPr/>
      </w:r>
    </w:p>
    <w:p>
      <w:pPr>
        <w:pStyle w:val="Normal"/>
        <w:ind w:firstLine="708"/>
        <w:rPr/>
      </w:pPr>
      <w:r>
        <w:rPr/>
      </w:r>
    </w:p>
    <w:p>
      <w:pPr>
        <w:pStyle w:val="Tabela"/>
        <w:rPr/>
      </w:pPr>
      <w:r>
        <w:rPr/>
      </w:r>
    </w:p>
    <w:p>
      <w:pPr>
        <w:pStyle w:val="Caption"/>
        <w:rPr/>
      </w:pPr>
      <w:bookmarkStart w:id="141" w:name="_Toc228645187"/>
      <w:bookmarkStart w:id="142" w:name="_Ref228224080"/>
      <w:bookmarkStart w:id="143" w:name="_Ref228224089"/>
      <w:r>
        <w:rPr/>
        <w:t xml:space="preserve">Tabela </w:t>
      </w:r>
      <w:r>
        <w:rPr/>
        <w:fldChar w:fldCharType="begin"/>
      </w:r>
      <w:r>
        <w:rPr/>
        <w:instrText xml:space="preserve"> SEQ Tabela \* ARABIC </w:instrText>
      </w:r>
      <w:r>
        <w:rPr/>
        <w:fldChar w:fldCharType="separate"/>
      </w:r>
      <w:r>
        <w:rPr/>
        <w:t>6</w:t>
      </w:r>
      <w:r>
        <w:rPr/>
        <w:fldChar w:fldCharType="end"/>
      </w:r>
      <w:bookmarkEnd w:id="143"/>
      <w:r>
        <w:rPr/>
        <w:t xml:space="preserve"> Tabela średniego czasu analizy modelów (10 próbek) CPU 12th Gen Intel(R) Core(TM) i5-1250P</w:t>
      </w:r>
      <w:bookmarkEnd w:id="141"/>
      <w:bookmarkEnd w:id="142"/>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rPr/>
            </w:pPr>
            <w:r>
              <w:rPr/>
              <w:t>CustomCNN</w:t>
            </w:r>
          </w:p>
        </w:tc>
        <w:tc>
          <w:tcPr>
            <w:tcW w:w="1511" w:type="dxa"/>
            <w:tcBorders>
              <w:top w:val="single" w:sz="4" w:space="0" w:color="000000"/>
              <w:start w:val="single" w:sz="4" w:space="0" w:color="000000"/>
              <w:bottom w:val="single" w:sz="4" w:space="0" w:color="000000"/>
            </w:tcBorders>
          </w:tcPr>
          <w:p>
            <w:pPr>
              <w:pStyle w:val="Zawartotabeli"/>
              <w:ind w:hanging="0"/>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0.0472s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0.0789s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0.0180s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0.2198s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0.0564s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0.0623s</w:t>
            </w:r>
          </w:p>
        </w:tc>
        <w:tc>
          <w:tcPr>
            <w:tcW w:w="1513" w:type="dxa"/>
            <w:tcBorders>
              <w:start w:val="single" w:sz="4" w:space="0" w:color="000000"/>
              <w:bottom w:val="single" w:sz="4" w:space="0" w:color="000000"/>
            </w:tcBorders>
          </w:tcPr>
          <w:p>
            <w:pPr>
              <w:pStyle w:val="BodyText"/>
              <w:spacing w:before="0" w:after="140"/>
              <w:ind w:hanging="0"/>
              <w:jc w:val="center"/>
              <w:rPr/>
            </w:pPr>
            <w:r>
              <w:rPr/>
              <w:t>0.0184s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0.1682s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0.0390s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0.0357s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0.0804 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0.0159 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0.1348 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0.0632 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0.0442s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0.1751s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0.0438s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0.0726s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0.1712s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0.0372s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0.1659s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0.0568s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0.0151s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0.0479s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0.0217s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0.0742s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0.0428s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0.1795s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0.0743s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0.0672s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0.1972s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0.0522s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0.0268s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0.0610s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0.1467s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0.0358s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0.0284s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0.0706s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0.0226s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0.1700s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0.0507s</w:t>
            </w:r>
          </w:p>
        </w:tc>
      </w:tr>
    </w:tbl>
    <w:p>
      <w:pPr>
        <w:pStyle w:val="Normal"/>
        <w:ind w:hanging="0"/>
        <w:rPr/>
      </w:pPr>
      <w:r>
        <w:rPr/>
      </w:r>
    </w:p>
    <w:p>
      <w:pPr>
        <w:pStyle w:val="Normal"/>
        <w:ind w:firstLine="708"/>
        <w:rPr/>
      </w:pPr>
      <w:r>
        <w:rPr/>
        <w:t>Wyniki na CPU ujawniają wyraźną hierarchię szybkości. MobileNetV3 osiągnął naj-niższą średnią latencję wśród modeli przetrenowanych (</w:t>
      </w:r>
      <w:r>
        <w:rPr/>
        <w:fldChar w:fldCharType="begin"/>
      </w:r>
      <w:r>
        <w:rPr/>
        <w:instrText xml:space="preserve"> REF _Ref228224089 \h </w:instrText>
      </w:r>
      <w:r>
        <w:rPr/>
        <w:fldChar w:fldCharType="separate"/>
      </w:r>
      <w:r>
        <w:rPr/>
        <w:t>Tabela 6</w:t>
      </w:r>
      <w:r>
        <w:rPr/>
        <w:fldChar w:fldCharType="end"/>
      </w:r>
      <w:r>
        <w:rPr/>
        <w:t>), wynoszącą 0,0284 s, co odpowiada przepustowości około 35 obrazów na sekundę. CustomCNN, mimo najniższej skuteczności klasyfikacyjnej, wykazał zbliżony czas inferencji (0,0226 s), co wynika z jej prostszej architektury o mniejszej liczbie warstw i parametrów. EfficientNet-B0 osiągnął średnią 0,0507 s, plasując się między MobileNetV3 a ResNet50 (0,0706 s). Zdecydowanie najwolniejszym modelem na CPU jest ViT ze średnią 0,1700 s, co odpowiada zaledwie około 6 obrazów na sekundę. Wysoka latencja ViT wynika z konieczności obliczenia uwagi wielogłowowej na sekwencji tokenów. Operacja ta ma złożoność kwadratową względem liczby patchów, przez co jest znacznie kosztowniejsza obliczeniowo niż konwolucja na równorzędnej architekturze CNN.</w:t>
      </w:r>
    </w:p>
    <w:p>
      <w:pPr>
        <w:pStyle w:val="Normal"/>
        <w:ind w:firstLine="708"/>
        <w:rPr/>
      </w:pPr>
      <w:r>
        <w:rPr/>
      </w:r>
    </w:p>
    <w:p>
      <w:pPr>
        <w:pStyle w:val="Normal"/>
        <w:ind w:firstLine="708"/>
        <w:rPr/>
      </w:pPr>
      <w:r>
        <w:rPr/>
        <w:t>Warto zwrócić uwagę na pewną zmienność pomiarów między kolejnymi uruchomieniami, szczególnie widoczną przy CustomCNN (wahania między 0,0147 s a 0,0442 s) i ViT (0,1348 s do 0,2198 s). Zmienność ta może wynikać z efektów cieplnych procesora, zarządzania pamięcią podręczną lub współdzielenia zasobów systemowych podczas pomiaru. W środowisku produkcyjnym zaleca się uśrednianie wyników z większej liczby pomiarów lub stosowanie mechanizmu warm-up, który eliminuje narzut pierwszego uruchomienia. Poniżej zarezerwowano miejsce na wyniki analogicznego testu przeprowadzonego na GPU.</w:t>
      </w:r>
    </w:p>
    <w:p>
      <w:pPr>
        <w:pStyle w:val="Caption"/>
        <w:rPr/>
      </w:pPr>
      <w:bookmarkStart w:id="144" w:name="_Toc228645188"/>
      <w:bookmarkStart w:id="145" w:name="_Ref228224155"/>
      <w:r>
        <w:rPr/>
        <w:t xml:space="preserve">Tabela </w:t>
      </w:r>
      <w:r>
        <w:rPr/>
        <w:fldChar w:fldCharType="begin"/>
      </w:r>
      <w:r>
        <w:rPr/>
        <w:instrText xml:space="preserve"> SEQ Tabela \* ARABIC </w:instrText>
      </w:r>
      <w:r>
        <w:rPr/>
        <w:fldChar w:fldCharType="separate"/>
      </w:r>
      <w:r>
        <w:rPr/>
        <w:t>7</w:t>
      </w:r>
      <w:r>
        <w:rPr/>
        <w:fldChar w:fldCharType="end"/>
      </w:r>
      <w:bookmarkEnd w:id="145"/>
      <w:r>
        <w:rPr/>
        <w:t xml:space="preserve"> Tabela średniego czasu ananlizy modelów (10 próbek) GPU RTX 4060</w:t>
      </w:r>
      <w:bookmarkEnd w:id="144"/>
    </w:p>
    <w:tbl>
      <w:tblPr>
        <w:tblW w:w="5000" w:type="pct"/>
        <w:jc w:val="start"/>
        <w:tblInd w:w="55" w:type="dxa"/>
        <w:tblLayout w:type="fixed"/>
        <w:tblCellMar>
          <w:top w:w="55" w:type="dxa"/>
          <w:start w:w="55" w:type="dxa"/>
          <w:bottom w:w="55" w:type="dxa"/>
          <w:end w:w="55" w:type="dxa"/>
        </w:tblCellMar>
        <w:tblLook w:firstRow="1" w:noVBand="1" w:lastRow="0" w:firstColumn="1" w:lastColumn="0" w:noHBand="0" w:val="04a0"/>
      </w:tblPr>
      <w:tblGrid>
        <w:gridCol w:w="1512"/>
        <w:gridCol w:w="1509"/>
        <w:gridCol w:w="1514"/>
        <w:gridCol w:w="1513"/>
        <w:gridCol w:w="1511"/>
        <w:gridCol w:w="1513"/>
      </w:tblGrid>
      <w:tr>
        <w:trPr/>
        <w:tc>
          <w:tcPr>
            <w:tcW w:w="1512" w:type="dxa"/>
            <w:tcBorders>
              <w:top w:val="single" w:sz="4" w:space="0" w:color="000000"/>
              <w:start w:val="single" w:sz="4" w:space="0" w:color="000000"/>
              <w:bottom w:val="single" w:sz="4" w:space="0" w:color="000000"/>
            </w:tcBorders>
          </w:tcPr>
          <w:p>
            <w:pPr>
              <w:pStyle w:val="Zawartotabeli"/>
              <w:ind w:hanging="0"/>
              <w:rPr/>
            </w:pPr>
            <w:r>
              <w:rPr/>
              <w:t>Uruchomienie</w:t>
            </w:r>
          </w:p>
        </w:tc>
        <w:tc>
          <w:tcPr>
            <w:tcW w:w="1509" w:type="dxa"/>
            <w:tcBorders>
              <w:top w:val="single" w:sz="4" w:space="0" w:color="000000"/>
              <w:start w:val="single" w:sz="4" w:space="0" w:color="000000"/>
              <w:bottom w:val="single" w:sz="4" w:space="0" w:color="000000"/>
            </w:tcBorders>
          </w:tcPr>
          <w:p>
            <w:pPr>
              <w:pStyle w:val="Zawartotabeli"/>
              <w:ind w:hanging="0"/>
              <w:rPr/>
            </w:pPr>
            <w:r>
              <w:rPr/>
              <w:t>MobileNetV3</w:t>
            </w:r>
          </w:p>
        </w:tc>
        <w:tc>
          <w:tcPr>
            <w:tcW w:w="1514" w:type="dxa"/>
            <w:tcBorders>
              <w:top w:val="single" w:sz="4" w:space="0" w:color="000000"/>
              <w:start w:val="single" w:sz="4" w:space="0" w:color="000000"/>
              <w:bottom w:val="single" w:sz="4" w:space="0" w:color="000000"/>
            </w:tcBorders>
          </w:tcPr>
          <w:p>
            <w:pPr>
              <w:pStyle w:val="Zawartotabeli"/>
              <w:ind w:hanging="0"/>
              <w:rPr/>
            </w:pPr>
            <w:r>
              <w:rPr/>
              <w:t>ResNet50</w:t>
            </w:r>
          </w:p>
        </w:tc>
        <w:tc>
          <w:tcPr>
            <w:tcW w:w="1513" w:type="dxa"/>
            <w:tcBorders>
              <w:top w:val="single" w:sz="4" w:space="0" w:color="000000"/>
              <w:start w:val="single" w:sz="4" w:space="0" w:color="000000"/>
              <w:bottom w:val="single" w:sz="4" w:space="0" w:color="000000"/>
            </w:tcBorders>
          </w:tcPr>
          <w:p>
            <w:pPr>
              <w:pStyle w:val="Zawartotabeli"/>
              <w:ind w:hanging="0"/>
              <w:rPr/>
            </w:pPr>
            <w:r>
              <w:rPr/>
              <w:t>CustomCNN</w:t>
            </w:r>
          </w:p>
        </w:tc>
        <w:tc>
          <w:tcPr>
            <w:tcW w:w="1511" w:type="dxa"/>
            <w:tcBorders>
              <w:top w:val="single" w:sz="4" w:space="0" w:color="000000"/>
              <w:start w:val="single" w:sz="4" w:space="0" w:color="000000"/>
              <w:bottom w:val="single" w:sz="4" w:space="0" w:color="000000"/>
            </w:tcBorders>
          </w:tcPr>
          <w:p>
            <w:pPr>
              <w:pStyle w:val="Zawartotabeli"/>
              <w:ind w:hanging="0"/>
              <w:rPr/>
            </w:pPr>
            <w:r>
              <w:rPr/>
              <w:t>ViT</w:t>
            </w:r>
          </w:p>
        </w:tc>
        <w:tc>
          <w:tcPr>
            <w:tcW w:w="1513" w:type="dxa"/>
            <w:tcBorders>
              <w:top w:val="single" w:sz="4" w:space="0" w:color="000000"/>
              <w:start w:val="single" w:sz="4" w:space="0" w:color="000000"/>
              <w:bottom w:val="single" w:sz="4" w:space="0" w:color="000000"/>
              <w:end w:val="single" w:sz="4" w:space="0" w:color="000000"/>
            </w:tcBorders>
          </w:tcPr>
          <w:p>
            <w:pPr>
              <w:pStyle w:val="Zawartotabeli"/>
              <w:ind w:hanging="0"/>
              <w:rPr/>
            </w:pPr>
            <w:r>
              <w:rPr/>
              <w:t>EficientNet-B0</w:t>
            </w:r>
          </w:p>
        </w:tc>
      </w:tr>
      <w:tr>
        <w:trPr/>
        <w:tc>
          <w:tcPr>
            <w:tcW w:w="1512" w:type="dxa"/>
            <w:tcBorders>
              <w:start w:val="single" w:sz="4" w:space="0" w:color="000000"/>
              <w:bottom w:val="single" w:sz="4" w:space="0" w:color="000000"/>
            </w:tcBorders>
          </w:tcPr>
          <w:p>
            <w:pPr>
              <w:pStyle w:val="Zawartotabeli"/>
              <w:ind w:hanging="0"/>
              <w:rPr/>
            </w:pPr>
            <w:r>
              <w:rPr/>
              <w:t>1</w:t>
            </w:r>
          </w:p>
        </w:tc>
        <w:tc>
          <w:tcPr>
            <w:tcW w:w="1509" w:type="dxa"/>
            <w:tcBorders>
              <w:start w:val="single" w:sz="4" w:space="0" w:color="000000"/>
              <w:bottom w:val="single" w:sz="4" w:space="0" w:color="000000"/>
            </w:tcBorders>
          </w:tcPr>
          <w:p>
            <w:pPr>
              <w:pStyle w:val="BodyText"/>
              <w:spacing w:before="0" w:after="140"/>
              <w:ind w:hanging="0"/>
              <w:jc w:val="center"/>
              <w:rPr/>
            </w:pPr>
            <w:r>
              <w:rPr/>
              <w:t>0.018s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0.0848s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0.0031s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0.0219s</w:t>
            </w:r>
          </w:p>
        </w:tc>
      </w:tr>
      <w:tr>
        <w:trPr/>
        <w:tc>
          <w:tcPr>
            <w:tcW w:w="1512" w:type="dxa"/>
            <w:tcBorders>
              <w:start w:val="single" w:sz="4" w:space="0" w:color="000000"/>
              <w:bottom w:val="single" w:sz="4" w:space="0" w:color="000000"/>
            </w:tcBorders>
          </w:tcPr>
          <w:p>
            <w:pPr>
              <w:pStyle w:val="Zawartotabeli"/>
              <w:ind w:hanging="0"/>
              <w:rPr/>
            </w:pPr>
            <w:r>
              <w:rPr/>
              <w:t>2</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0.0174s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0.0547s</w:t>
            </w:r>
          </w:p>
        </w:tc>
        <w:tc>
          <w:tcPr>
            <w:tcW w:w="1513" w:type="dxa"/>
            <w:tcBorders>
              <w:start w:val="single" w:sz="4" w:space="0" w:color="000000"/>
              <w:bottom w:val="single" w:sz="4" w:space="0" w:color="000000"/>
            </w:tcBorders>
          </w:tcPr>
          <w:p>
            <w:pPr>
              <w:pStyle w:val="BodyText"/>
              <w:spacing w:before="0" w:after="140"/>
              <w:ind w:hanging="0"/>
              <w:jc w:val="center"/>
              <w:rPr/>
            </w:pPr>
            <w:r>
              <w:rPr/>
              <w:t>0.0809s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0.032s</w:t>
            </w:r>
          </w:p>
        </w:tc>
      </w:tr>
      <w:tr>
        <w:trPr/>
        <w:tc>
          <w:tcPr>
            <w:tcW w:w="1512" w:type="dxa"/>
            <w:tcBorders>
              <w:start w:val="single" w:sz="4" w:space="0" w:color="000000"/>
              <w:bottom w:val="single" w:sz="4" w:space="0" w:color="000000"/>
            </w:tcBorders>
          </w:tcPr>
          <w:p>
            <w:pPr>
              <w:pStyle w:val="Zawartotabeli"/>
              <w:ind w:hanging="0"/>
              <w:rPr/>
            </w:pPr>
            <w:r>
              <w:rPr/>
              <w:t>3</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0.0232s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0.0711s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0.0025s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0.0148s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0.0215s</w:t>
            </w:r>
          </w:p>
        </w:tc>
      </w:tr>
      <w:tr>
        <w:trPr/>
        <w:tc>
          <w:tcPr>
            <w:tcW w:w="1512" w:type="dxa"/>
            <w:tcBorders>
              <w:start w:val="single" w:sz="4" w:space="0" w:color="000000"/>
              <w:bottom w:val="single" w:sz="4" w:space="0" w:color="000000"/>
            </w:tcBorders>
          </w:tcPr>
          <w:p>
            <w:pPr>
              <w:pStyle w:val="Zawartotabeli"/>
              <w:ind w:hanging="0"/>
              <w:rPr/>
            </w:pPr>
            <w:r>
              <w:rPr/>
              <w:t>4</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0.0169s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0.002s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0.0257s</w:t>
            </w:r>
          </w:p>
        </w:tc>
      </w:tr>
      <w:tr>
        <w:trPr/>
        <w:tc>
          <w:tcPr>
            <w:tcW w:w="1512" w:type="dxa"/>
            <w:tcBorders>
              <w:start w:val="single" w:sz="4" w:space="0" w:color="000000"/>
              <w:bottom w:val="single" w:sz="4" w:space="0" w:color="000000"/>
            </w:tcBorders>
          </w:tcPr>
          <w:p>
            <w:pPr>
              <w:pStyle w:val="Zawartotabeli"/>
              <w:ind w:hanging="0"/>
              <w:rPr/>
            </w:pPr>
            <w:r>
              <w:rPr/>
              <w:t>5</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0.0258s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0.0164s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0.0195s</w:t>
            </w:r>
          </w:p>
        </w:tc>
      </w:tr>
      <w:tr>
        <w:trPr/>
        <w:tc>
          <w:tcPr>
            <w:tcW w:w="1512" w:type="dxa"/>
            <w:tcBorders>
              <w:start w:val="single" w:sz="4" w:space="0" w:color="000000"/>
              <w:bottom w:val="single" w:sz="4" w:space="0" w:color="000000"/>
            </w:tcBorders>
          </w:tcPr>
          <w:p>
            <w:pPr>
              <w:pStyle w:val="Zawartotabeli"/>
              <w:ind w:hanging="0"/>
              <w:rPr/>
            </w:pPr>
            <w:r>
              <w:rPr/>
              <w:t>6</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0.0188s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0.0791s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0.0334s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0.0119s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0.0192s</w:t>
            </w:r>
          </w:p>
        </w:tc>
      </w:tr>
      <w:tr>
        <w:trPr/>
        <w:tc>
          <w:tcPr>
            <w:tcW w:w="1512" w:type="dxa"/>
            <w:tcBorders>
              <w:start w:val="single" w:sz="4" w:space="0" w:color="000000"/>
              <w:bottom w:val="single" w:sz="4" w:space="0" w:color="000000"/>
            </w:tcBorders>
          </w:tcPr>
          <w:p>
            <w:pPr>
              <w:pStyle w:val="Zawartotabeli"/>
              <w:ind w:hanging="0"/>
              <w:rPr/>
            </w:pPr>
            <w:r>
              <w:rPr/>
              <w:t>7</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0.0243s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0.0874s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0.003s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0.0123s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0.02s</w:t>
            </w:r>
          </w:p>
        </w:tc>
      </w:tr>
      <w:tr>
        <w:trPr/>
        <w:tc>
          <w:tcPr>
            <w:tcW w:w="1512" w:type="dxa"/>
            <w:tcBorders>
              <w:start w:val="single" w:sz="4" w:space="0" w:color="000000"/>
              <w:bottom w:val="single" w:sz="4" w:space="0" w:color="000000"/>
            </w:tcBorders>
          </w:tcPr>
          <w:p>
            <w:pPr>
              <w:pStyle w:val="Zawartotabeli"/>
              <w:ind w:hanging="0"/>
              <w:rPr/>
            </w:pPr>
            <w:r>
              <w:rPr/>
              <w:t>8</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0.0175s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0.0839s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0.0121s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0.0222s</w:t>
            </w:r>
          </w:p>
        </w:tc>
      </w:tr>
      <w:tr>
        <w:trPr/>
        <w:tc>
          <w:tcPr>
            <w:tcW w:w="1512" w:type="dxa"/>
            <w:tcBorders>
              <w:start w:val="single" w:sz="4" w:space="0" w:color="000000"/>
              <w:bottom w:val="single" w:sz="4" w:space="0" w:color="000000"/>
            </w:tcBorders>
          </w:tcPr>
          <w:p>
            <w:pPr>
              <w:pStyle w:val="Zawartotabeli"/>
              <w:ind w:hanging="0"/>
              <w:rPr/>
            </w:pPr>
            <w:r>
              <w:rPr/>
              <w:t>9</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0.0192s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0.0919s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0.0084s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0.0109s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0.0205s</w:t>
            </w:r>
          </w:p>
        </w:tc>
      </w:tr>
      <w:tr>
        <w:trPr/>
        <w:tc>
          <w:tcPr>
            <w:tcW w:w="1512" w:type="dxa"/>
            <w:tcBorders>
              <w:start w:val="single" w:sz="4" w:space="0" w:color="000000"/>
              <w:bottom w:val="single" w:sz="4" w:space="0" w:color="000000"/>
            </w:tcBorders>
          </w:tcPr>
          <w:p>
            <w:pPr>
              <w:pStyle w:val="Zawartotabeli"/>
              <w:ind w:hanging="0"/>
              <w:rPr/>
            </w:pPr>
            <w:r>
              <w:rPr/>
              <w:t>10</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0.0173s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0.0778s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0.0768s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0.0136s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0.0269s</w:t>
            </w:r>
          </w:p>
        </w:tc>
      </w:tr>
      <w:tr>
        <w:trPr/>
        <w:tc>
          <w:tcPr>
            <w:tcW w:w="1512" w:type="dxa"/>
            <w:tcBorders>
              <w:start w:val="single" w:sz="4" w:space="0" w:color="000000"/>
              <w:bottom w:val="single" w:sz="4" w:space="0" w:color="000000"/>
            </w:tcBorders>
          </w:tcPr>
          <w:p>
            <w:pPr>
              <w:pStyle w:val="Zawartotabeli"/>
              <w:ind w:hanging="0"/>
              <w:rPr/>
            </w:pPr>
            <w:r>
              <w:rPr/>
              <w:t>Średnia</w:t>
            </w:r>
          </w:p>
        </w:tc>
        <w:tc>
          <w:tcPr>
            <w:tcW w:w="1509"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0,0198s</w:t>
            </w:r>
          </w:p>
        </w:tc>
        <w:tc>
          <w:tcPr>
            <w:tcW w:w="1514"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0,0790s</w:t>
            </w:r>
          </w:p>
        </w:tc>
        <w:tc>
          <w:tcPr>
            <w:tcW w:w="1513"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0.0226s</w:t>
            </w:r>
          </w:p>
        </w:tc>
        <w:tc>
          <w:tcPr>
            <w:tcW w:w="1511" w:type="dxa"/>
            <w:tcBorders>
              <w:start w:val="single" w:sz="4" w:space="0" w:color="000000"/>
              <w:bottom w:val="single" w:sz="4" w:space="0" w:color="000000"/>
            </w:tcBorders>
          </w:tcPr>
          <w:p>
            <w:pPr>
              <w:pStyle w:val="BodyText"/>
              <w:widowControl w:val="false"/>
              <w:spacing w:lineRule="auto" w:line="360" w:before="0" w:after="140"/>
              <w:ind w:hanging="0"/>
              <w:jc w:val="center"/>
              <w:rPr/>
            </w:pPr>
            <w:r>
              <w:rPr/>
              <w:t>0,0140s</w:t>
            </w:r>
          </w:p>
        </w:tc>
        <w:tc>
          <w:tcPr>
            <w:tcW w:w="1513" w:type="dxa"/>
            <w:tcBorders>
              <w:start w:val="single" w:sz="4" w:space="0" w:color="000000"/>
              <w:bottom w:val="single" w:sz="4" w:space="0" w:color="000000"/>
              <w:end w:val="single" w:sz="4" w:space="0" w:color="000000"/>
            </w:tcBorders>
          </w:tcPr>
          <w:p>
            <w:pPr>
              <w:pStyle w:val="BodyText"/>
              <w:widowControl w:val="false"/>
              <w:spacing w:lineRule="auto" w:line="360" w:before="0" w:after="140"/>
              <w:ind w:hanging="0"/>
              <w:jc w:val="center"/>
              <w:rPr/>
            </w:pPr>
            <w:r>
              <w:rPr/>
              <w:t>0,0229s</w:t>
            </w:r>
          </w:p>
        </w:tc>
      </w:tr>
    </w:tbl>
    <w:p>
      <w:pPr>
        <w:pStyle w:val="Normal"/>
        <w:ind w:hanging="0"/>
        <w:rPr/>
      </w:pPr>
      <w:r>
        <w:rPr/>
      </w:r>
    </w:p>
    <w:p>
      <w:pPr>
        <w:pStyle w:val="Normal"/>
        <w:ind w:firstLine="708"/>
        <w:rPr/>
      </w:pPr>
      <w:r>
        <w:rPr/>
        <w:t>Analiza porównawcza czasów inferencji przeprowadzona na jednostkach CPU (</w:t>
      </w:r>
      <w:r>
        <w:rPr/>
        <w:fldChar w:fldCharType="begin"/>
      </w:r>
      <w:r>
        <w:rPr/>
        <w:instrText xml:space="preserve"> REF _Ref228224089 \h </w:instrText>
      </w:r>
      <w:r>
        <w:rPr/>
        <w:fldChar w:fldCharType="separate"/>
      </w:r>
      <w:r>
        <w:rPr/>
        <w:t>Tabela 6</w:t>
      </w:r>
      <w:r>
        <w:rPr/>
        <w:fldChar w:fldCharType="end"/>
      </w:r>
      <w:r>
        <w:rPr/>
        <w:t>) i GPU (</w:t>
      </w:r>
      <w:r>
        <w:rPr/>
        <w:fldChar w:fldCharType="begin"/>
      </w:r>
      <w:r>
        <w:rPr/>
        <w:instrText xml:space="preserve"> REF _Ref228224155 \h </w:instrText>
      </w:r>
      <w:r>
        <w:rPr/>
        <w:fldChar w:fldCharType="separate"/>
      </w:r>
      <w:r>
        <w:rPr/>
        <w:t>Tabela 7</w:t>
      </w:r>
      <w:r>
        <w:rPr/>
        <w:fldChar w:fldCharType="end"/>
      </w:r>
      <w:r>
        <w:rPr/>
        <w:t>) wykazuje istotne różnice w efektywności badanych architektur. Największy wzrost wydajności odnotowano dla modelu Vision Transformer (ViT), którego średni czas procesowania spadł z 0,1700 s na CPU do zaledwie 0,0140 s na GPU, co stanowi przyspieszenie o ponad 91%. Podobną tendencję wykazano dla modelu EfficientNet-B0, który na akceleratorze graficznym pracował o blisko 55% szybciej (0,0229 s) niż na procesorze (0,0507 s).</w:t>
      </w:r>
    </w:p>
    <w:p>
      <w:pPr>
        <w:pStyle w:val="Normal"/>
        <w:ind w:hanging="0"/>
        <w:rPr/>
      </w:pPr>
      <w:r>
        <w:rPr/>
      </w:r>
    </w:p>
    <w:p>
      <w:pPr>
        <w:pStyle w:val="Normal"/>
        <w:ind w:firstLine="708"/>
        <w:rPr/>
      </w:pPr>
      <w:r>
        <w:rPr/>
        <w:t>Należy jednak zwrócić uwagę na paradoksalne wyniki w przypadku modeli ResNet50 oraz CustomCNN, które na GPU uzyskały czasy gorsze o odpowiednio 12% i 25% względem jednostki CPU. Średni czas dla ResNet50 na GPU wyniósł 0,0790 s wobec 0,0706 s na CPU, natomiast CustomCNN spowolnił z 0,0226 s do 0,0283 s. Zjawisko to jest bezpośrednio związane z narzutem komunikacyjnym szyny danych i opóźnieniami przy przesyłaniu pojedynczych obrazów do pamięci VRAM. W przypadku mniej złożonych obliczeniowo struktur, czas potrzebny na inicjalizację procesów w środowisku CUDA przewyższa zysk z równoległego przetwarzania, co sprawia, że dla pojedynczych wywołań (inferencji jednostkowej) procesor CPU pozostaje rozwiązaniem efektywniejszym. Wyniki te potwierdzają, że pełna utylizacja mocy obliczeniowej GPU zachodzi dopiero przy modelach o wysokiej złożoności lub przetwarzaniu seryjnym.</w:t>
      </w:r>
    </w:p>
    <w:p>
      <w:pPr>
        <w:pStyle w:val="Heading2"/>
        <w:numPr>
          <w:ilvl w:val="1"/>
          <w:numId w:val="24"/>
        </w:numPr>
        <w:rPr/>
      </w:pPr>
      <w:r>
        <w:rPr/>
        <w:t>Analiza skuteczności modeli i zespołów klasyfikacyjnych</w:t>
      </w:r>
    </w:p>
    <w:p>
      <w:pPr>
        <w:pStyle w:val="Normal"/>
        <w:ind w:hanging="0"/>
        <w:rPr/>
      </w:pPr>
      <w:r>
        <w:rPr/>
        <w:tab/>
        <w:t>Analizie poddano również różne kombinacje modeli działających zespołowo, w których końcowa predykcja była wyznaczana na podstawie mechanizmu głosowania poszczególnych modeli. Dla każdej grupy zmian skórnych przetestowano różne konfiguracje modeli w celu wyznaczenia kombinacji zapewniającej najwyższą skuteczność klasyfikacji.</w:t>
      </w:r>
    </w:p>
    <w:p>
      <w:pPr>
        <w:pStyle w:val="Normal"/>
        <w:ind w:hanging="0"/>
        <w:rPr/>
      </w:pPr>
      <w:r>
        <w:rPr/>
        <w:tab/>
        <w:t>Uzyskane wyniki wskazują, że najlepsze rezultaty najczęściej osiągały konfiguracje zawierające modele EfficientNet oraz ViT. W przypadku zmian nowotworowych oraz łagodnych najwyższą skuteczność uzyskała kombinacja EfficientNet + MobileNetV3 + ViT, osiągając odpowiednio 81,77% oraz 81,64% accuracy dla analizowanych grup. Jednocześnie konfiguracja ta uzyskała skuteczność całkowitą na poziomie 90,36%, co stanowi wzrost o 2,</w:t>
      </w:r>
      <w:r>
        <w:rPr/>
        <w:t>36</w:t>
      </w:r>
      <w:r>
        <w:rPr/>
        <w:t xml:space="preserve"> punktu procentowego względem najlepszego modelu pojedynczego (EfficientNet – 8</w:t>
      </w:r>
      <w:r>
        <w:rPr/>
        <w:t>8</w:t>
      </w:r>
      <w:r>
        <w:rPr/>
        <w:t>%).</w:t>
        <w:br/>
        <w:t xml:space="preserve"> </w:t>
        <w:tab/>
        <w:t>Dla zmian przednowotworowych najlepsze wyniki uzyskała konfiguracja EfficientNet + ViT, osiągając 78,41% accuracy dla analizowanej grupy oraz 89,60% skuteczności całkowitej, co odpowiada wzrostowi o 2,01 punktu procentowego względem modelu EfficientNet. W grupie zmian wirusowych najwyższą skuteczność osiągnęła kombinacja CustomCNN + EfficientNet + ResNet50 + ViT, uzyskując 99,70% accuracy dla analizowanej grupy przy skuteczności całkowitej wynoszącej 88,43%, co oznacza poprawę o 0,84 punktu procentowego względem najlepszego modelu indywidualnego.</w:t>
      </w:r>
    </w:p>
    <w:p>
      <w:pPr>
        <w:pStyle w:val="Normal"/>
        <w:ind w:hanging="0"/>
        <w:rPr/>
      </w:pPr>
      <w:r>
        <w:rPr/>
        <w:tab/>
        <w:t>Dla klasy zdrowej najwyższą skuteczność klasyfikacji wyniosła 100,00%, osiągnięta przez konfigurację EfficientNet + MobileNetV3 + ViT, która jednocześnie uzyskała 90,36% skuteczności całkowitej. W przypadku zmian naczyniowych najlepszy wynik osiągnęła kombinacja EfficientNet + MobileNetV3 (96,15%), uzyskując skuteczność całkowitą na poziomie 88,79%, co oznacza wzrost o 1,20 punktu procentowego względem modelu EfficientNet.</w:t>
      </w:r>
    </w:p>
    <w:p>
      <w:pPr>
        <w:pStyle w:val="Tabela"/>
        <w:rPr/>
      </w:pPr>
      <w:r>
        <w:rPr/>
        <w:t xml:space="preserve">Tabela </w:t>
      </w:r>
      <w:r>
        <w:rPr/>
        <w:fldChar w:fldCharType="begin"/>
      </w:r>
      <w:r>
        <w:rPr/>
        <w:instrText xml:space="preserve"> SEQ Tabela \* ARABIC </w:instrText>
      </w:r>
      <w:r>
        <w:rPr/>
        <w:fldChar w:fldCharType="separate"/>
      </w:r>
      <w:r>
        <w:rPr/>
        <w:t>8</w:t>
      </w:r>
      <w:r>
        <w:rPr/>
        <w:fldChar w:fldCharType="end"/>
      </w:r>
      <w:r>
        <w:rPr/>
        <w:t>: Najlepsze kombinacje modeli dla poszczególnych grup zmian skórnych</w:t>
      </w:r>
    </w:p>
    <w:tbl>
      <w:tblPr>
        <w:tblW w:w="5000" w:type="pct"/>
        <w:jc w:val="start"/>
        <w:tblInd w:w="-5" w:type="dxa"/>
        <w:tblLayout w:type="fixed"/>
        <w:tblCellMar>
          <w:top w:w="55" w:type="dxa"/>
          <w:start w:w="55" w:type="dxa"/>
          <w:bottom w:w="55" w:type="dxa"/>
          <w:end w:w="55" w:type="dxa"/>
        </w:tblCellMar>
      </w:tblPr>
      <w:tblGrid>
        <w:gridCol w:w="2268"/>
        <w:gridCol w:w="2268"/>
        <w:gridCol w:w="2268"/>
        <w:gridCol w:w="2268"/>
      </w:tblGrid>
      <w:tr>
        <w:trPr/>
        <w:tc>
          <w:tcPr>
            <w:tcW w:w="2268" w:type="dxa"/>
            <w:tcBorders>
              <w:top w:val="single" w:sz="4" w:space="0" w:color="000000"/>
              <w:start w:val="single" w:sz="4" w:space="0" w:color="000000"/>
              <w:bottom w:val="single" w:sz="4" w:space="0" w:color="000000"/>
            </w:tcBorders>
          </w:tcPr>
          <w:p>
            <w:pPr>
              <w:pStyle w:val="Zawartotabeli"/>
              <w:ind w:hanging="0" w:start="0"/>
              <w:rPr/>
            </w:pPr>
            <w:r>
              <w:rPr/>
              <w:t>Grupa zmian</w:t>
            </w:r>
          </w:p>
        </w:tc>
        <w:tc>
          <w:tcPr>
            <w:tcW w:w="2268" w:type="dxa"/>
            <w:tcBorders>
              <w:top w:val="single" w:sz="4" w:space="0" w:color="000000"/>
              <w:start w:val="single" w:sz="4" w:space="0" w:color="000000"/>
              <w:bottom w:val="single" w:sz="4" w:space="0" w:color="000000"/>
            </w:tcBorders>
          </w:tcPr>
          <w:p>
            <w:pPr>
              <w:pStyle w:val="Zawartotabeli"/>
              <w:ind w:hanging="0" w:start="0"/>
              <w:rPr/>
            </w:pPr>
            <w:r>
              <w:rPr/>
              <w:t>Najlepsza kombinacja modeli</w:t>
            </w:r>
          </w:p>
        </w:tc>
        <w:tc>
          <w:tcPr>
            <w:tcW w:w="2268" w:type="dxa"/>
            <w:tcBorders>
              <w:top w:val="single" w:sz="4" w:space="0" w:color="000000"/>
              <w:start w:val="single" w:sz="4" w:space="0" w:color="000000"/>
              <w:bottom w:val="single" w:sz="4" w:space="0" w:color="000000"/>
            </w:tcBorders>
          </w:tcPr>
          <w:p>
            <w:pPr>
              <w:pStyle w:val="Zawartotabeli"/>
              <w:ind w:hanging="0" w:start="0"/>
              <w:rPr/>
            </w:pPr>
            <w:r>
              <w:rPr/>
              <w:t xml:space="preserve">Accuracy grupy [%] </w:t>
            </w:r>
          </w:p>
        </w:tc>
        <w:tc>
          <w:tcPr>
            <w:tcW w:w="2268" w:type="dxa"/>
            <w:tcBorders>
              <w:top w:val="single" w:sz="4" w:space="0" w:color="000000"/>
              <w:start w:val="single" w:sz="4" w:space="0" w:color="000000"/>
              <w:bottom w:val="single" w:sz="4" w:space="0" w:color="000000"/>
              <w:end w:val="single" w:sz="4" w:space="0" w:color="000000"/>
            </w:tcBorders>
          </w:tcPr>
          <w:p>
            <w:pPr>
              <w:pStyle w:val="Zawartotabeli"/>
              <w:ind w:hanging="0" w:start="0"/>
              <w:rPr/>
            </w:pPr>
            <w:r>
              <w:rPr/>
              <w:t xml:space="preserve">Overall accuracy [%] </w:t>
            </w:r>
          </w:p>
        </w:tc>
      </w:tr>
      <w:tr>
        <w:trPr/>
        <w:tc>
          <w:tcPr>
            <w:tcW w:w="2268" w:type="dxa"/>
            <w:tcBorders>
              <w:start w:val="single" w:sz="4" w:space="0" w:color="000000"/>
              <w:bottom w:val="single" w:sz="4" w:space="0" w:color="000000"/>
            </w:tcBorders>
          </w:tcPr>
          <w:p>
            <w:pPr>
              <w:pStyle w:val="Zawartotabeli"/>
              <w:ind w:hanging="0" w:start="0"/>
              <w:rPr/>
            </w:pPr>
            <w:r>
              <w:rPr/>
              <w:t xml:space="preserve">Przednowotworowe </w:t>
            </w:r>
          </w:p>
        </w:tc>
        <w:tc>
          <w:tcPr>
            <w:tcW w:w="2268" w:type="dxa"/>
            <w:tcBorders>
              <w:start w:val="single" w:sz="4" w:space="0" w:color="000000"/>
              <w:bottom w:val="single" w:sz="4" w:space="0" w:color="000000"/>
            </w:tcBorders>
          </w:tcPr>
          <w:p>
            <w:pPr>
              <w:pStyle w:val="Zawartotabeli"/>
              <w:ind w:hanging="0" w:start="0"/>
              <w:rPr/>
            </w:pPr>
            <w:r>
              <w:rPr/>
              <w:t xml:space="preserve">EfficientNet + ViT </w:t>
            </w:r>
          </w:p>
        </w:tc>
        <w:tc>
          <w:tcPr>
            <w:tcW w:w="2268" w:type="dxa"/>
            <w:tcBorders>
              <w:start w:val="single" w:sz="4" w:space="0" w:color="000000"/>
              <w:bottom w:val="single" w:sz="4" w:space="0" w:color="000000"/>
            </w:tcBorders>
          </w:tcPr>
          <w:p>
            <w:pPr>
              <w:pStyle w:val="Zawartotabeli"/>
              <w:rPr/>
            </w:pPr>
            <w:r>
              <w:rPr/>
              <w:t xml:space="preserve">78,41 </w:t>
            </w:r>
          </w:p>
        </w:tc>
        <w:tc>
          <w:tcPr>
            <w:tcW w:w="2268" w:type="dxa"/>
            <w:tcBorders>
              <w:start w:val="single" w:sz="4" w:space="0" w:color="000000"/>
              <w:bottom w:val="single" w:sz="4" w:space="0" w:color="000000"/>
              <w:end w:val="single" w:sz="4" w:space="0" w:color="000000"/>
            </w:tcBorders>
          </w:tcPr>
          <w:p>
            <w:pPr>
              <w:pStyle w:val="Zawartotabeli"/>
              <w:rPr/>
            </w:pPr>
            <w:r>
              <w:rPr/>
              <w:t xml:space="preserve">89,60 </w:t>
            </w:r>
          </w:p>
        </w:tc>
      </w:tr>
      <w:tr>
        <w:trPr/>
        <w:tc>
          <w:tcPr>
            <w:tcW w:w="2268" w:type="dxa"/>
            <w:tcBorders>
              <w:start w:val="single" w:sz="4" w:space="0" w:color="000000"/>
              <w:bottom w:val="single" w:sz="4" w:space="0" w:color="000000"/>
            </w:tcBorders>
          </w:tcPr>
          <w:p>
            <w:pPr>
              <w:pStyle w:val="Zawartotabeli"/>
              <w:ind w:hanging="0" w:start="0"/>
              <w:rPr/>
            </w:pPr>
            <w:r>
              <w:rPr/>
              <w:t xml:space="preserve">Nowotworowe </w:t>
            </w:r>
          </w:p>
        </w:tc>
        <w:tc>
          <w:tcPr>
            <w:tcW w:w="2268" w:type="dxa"/>
            <w:tcBorders>
              <w:start w:val="single" w:sz="4" w:space="0" w:color="000000"/>
              <w:bottom w:val="single" w:sz="4" w:space="0" w:color="000000"/>
            </w:tcBorders>
          </w:tcPr>
          <w:p>
            <w:pPr>
              <w:pStyle w:val="Zawartotabeli"/>
              <w:ind w:hanging="0" w:start="0"/>
              <w:rPr/>
            </w:pPr>
            <w:r>
              <w:rPr/>
              <w:t xml:space="preserve">EfficientNet + MobileNetV3 + ViT </w:t>
            </w:r>
          </w:p>
        </w:tc>
        <w:tc>
          <w:tcPr>
            <w:tcW w:w="2268" w:type="dxa"/>
            <w:tcBorders>
              <w:start w:val="single" w:sz="4" w:space="0" w:color="000000"/>
              <w:bottom w:val="single" w:sz="4" w:space="0" w:color="000000"/>
            </w:tcBorders>
          </w:tcPr>
          <w:p>
            <w:pPr>
              <w:pStyle w:val="Zawartotabeli"/>
              <w:rPr/>
            </w:pPr>
            <w:r>
              <w:rPr/>
              <w:t xml:space="preserve">81,77 </w:t>
            </w:r>
          </w:p>
        </w:tc>
        <w:tc>
          <w:tcPr>
            <w:tcW w:w="2268" w:type="dxa"/>
            <w:tcBorders>
              <w:start w:val="single" w:sz="4" w:space="0" w:color="000000"/>
              <w:bottom w:val="single" w:sz="4" w:space="0" w:color="000000"/>
              <w:end w:val="single" w:sz="4" w:space="0" w:color="000000"/>
            </w:tcBorders>
          </w:tcPr>
          <w:p>
            <w:pPr>
              <w:pStyle w:val="Zawartotabeli"/>
              <w:rPr/>
            </w:pPr>
            <w:r>
              <w:rPr/>
              <w:t xml:space="preserve">90,36 </w:t>
            </w:r>
          </w:p>
        </w:tc>
      </w:tr>
      <w:tr>
        <w:trPr/>
        <w:tc>
          <w:tcPr>
            <w:tcW w:w="2268" w:type="dxa"/>
            <w:tcBorders>
              <w:start w:val="single" w:sz="4" w:space="0" w:color="000000"/>
              <w:bottom w:val="single" w:sz="4" w:space="0" w:color="000000"/>
            </w:tcBorders>
          </w:tcPr>
          <w:p>
            <w:pPr>
              <w:pStyle w:val="Zawartotabeli"/>
              <w:ind w:hanging="0" w:start="0"/>
              <w:rPr/>
            </w:pPr>
            <w:r>
              <w:rPr/>
              <w:t xml:space="preserve">Łagodne </w:t>
            </w:r>
          </w:p>
        </w:tc>
        <w:tc>
          <w:tcPr>
            <w:tcW w:w="2268" w:type="dxa"/>
            <w:tcBorders>
              <w:start w:val="single" w:sz="4" w:space="0" w:color="000000"/>
              <w:bottom w:val="single" w:sz="4" w:space="0" w:color="000000"/>
            </w:tcBorders>
          </w:tcPr>
          <w:p>
            <w:pPr>
              <w:pStyle w:val="Zawartotabeli"/>
              <w:ind w:hanging="0" w:start="0"/>
              <w:rPr/>
            </w:pPr>
            <w:r>
              <w:rPr/>
              <w:t xml:space="preserve">EfficientNet + MobileNetV3 + ViT </w:t>
            </w:r>
          </w:p>
        </w:tc>
        <w:tc>
          <w:tcPr>
            <w:tcW w:w="2268" w:type="dxa"/>
            <w:tcBorders>
              <w:start w:val="single" w:sz="4" w:space="0" w:color="000000"/>
              <w:bottom w:val="single" w:sz="4" w:space="0" w:color="000000"/>
            </w:tcBorders>
          </w:tcPr>
          <w:p>
            <w:pPr>
              <w:pStyle w:val="Zawartotabeli"/>
              <w:rPr/>
            </w:pPr>
            <w:r>
              <w:rPr/>
              <w:t xml:space="preserve">81,64 </w:t>
            </w:r>
          </w:p>
        </w:tc>
        <w:tc>
          <w:tcPr>
            <w:tcW w:w="2268" w:type="dxa"/>
            <w:tcBorders>
              <w:start w:val="single" w:sz="4" w:space="0" w:color="000000"/>
              <w:bottom w:val="single" w:sz="4" w:space="0" w:color="000000"/>
              <w:end w:val="single" w:sz="4" w:space="0" w:color="000000"/>
            </w:tcBorders>
          </w:tcPr>
          <w:p>
            <w:pPr>
              <w:pStyle w:val="Zawartotabeli"/>
              <w:rPr/>
            </w:pPr>
            <w:r>
              <w:rPr/>
              <w:t xml:space="preserve">90,36 </w:t>
            </w:r>
          </w:p>
        </w:tc>
      </w:tr>
      <w:tr>
        <w:trPr/>
        <w:tc>
          <w:tcPr>
            <w:tcW w:w="2268" w:type="dxa"/>
            <w:tcBorders>
              <w:start w:val="single" w:sz="4" w:space="0" w:color="000000"/>
              <w:bottom w:val="single" w:sz="4" w:space="0" w:color="000000"/>
            </w:tcBorders>
          </w:tcPr>
          <w:p>
            <w:pPr>
              <w:pStyle w:val="Zawartotabeli"/>
              <w:ind w:hanging="0" w:start="0"/>
              <w:rPr/>
            </w:pPr>
            <w:r>
              <w:rPr/>
              <w:t xml:space="preserve">Wirusowe </w:t>
            </w:r>
          </w:p>
        </w:tc>
        <w:tc>
          <w:tcPr>
            <w:tcW w:w="2268" w:type="dxa"/>
            <w:tcBorders>
              <w:start w:val="single" w:sz="4" w:space="0" w:color="000000"/>
              <w:bottom w:val="single" w:sz="4" w:space="0" w:color="000000"/>
            </w:tcBorders>
          </w:tcPr>
          <w:p>
            <w:pPr>
              <w:pStyle w:val="Zawartotabeli"/>
              <w:ind w:hanging="0" w:start="0"/>
              <w:rPr/>
            </w:pPr>
            <w:r>
              <w:rPr/>
              <w:t xml:space="preserve">CustomCNN + EfficientNet + ResNet50 + ViT </w:t>
            </w:r>
          </w:p>
        </w:tc>
        <w:tc>
          <w:tcPr>
            <w:tcW w:w="2268" w:type="dxa"/>
            <w:tcBorders>
              <w:start w:val="single" w:sz="4" w:space="0" w:color="000000"/>
              <w:bottom w:val="single" w:sz="4" w:space="0" w:color="000000"/>
            </w:tcBorders>
          </w:tcPr>
          <w:p>
            <w:pPr>
              <w:pStyle w:val="Zawartotabeli"/>
              <w:rPr/>
            </w:pPr>
            <w:r>
              <w:rPr/>
              <w:t xml:space="preserve">99,70 </w:t>
            </w:r>
          </w:p>
        </w:tc>
        <w:tc>
          <w:tcPr>
            <w:tcW w:w="2268" w:type="dxa"/>
            <w:tcBorders>
              <w:start w:val="single" w:sz="4" w:space="0" w:color="000000"/>
              <w:bottom w:val="single" w:sz="4" w:space="0" w:color="000000"/>
              <w:end w:val="single" w:sz="4" w:space="0" w:color="000000"/>
            </w:tcBorders>
          </w:tcPr>
          <w:p>
            <w:pPr>
              <w:pStyle w:val="Zawartotabeli"/>
              <w:rPr/>
            </w:pPr>
            <w:r>
              <w:rPr/>
              <w:t xml:space="preserve">88,43 </w:t>
            </w:r>
          </w:p>
        </w:tc>
      </w:tr>
      <w:tr>
        <w:trPr/>
        <w:tc>
          <w:tcPr>
            <w:tcW w:w="2268" w:type="dxa"/>
            <w:tcBorders>
              <w:start w:val="single" w:sz="4" w:space="0" w:color="000000"/>
              <w:bottom w:val="single" w:sz="4" w:space="0" w:color="000000"/>
            </w:tcBorders>
          </w:tcPr>
          <w:p>
            <w:pPr>
              <w:pStyle w:val="Zawartotabeli"/>
              <w:ind w:hanging="0" w:start="0"/>
              <w:rPr/>
            </w:pPr>
            <w:r>
              <w:rPr/>
              <w:t xml:space="preserve">Zdrowe </w:t>
            </w:r>
          </w:p>
        </w:tc>
        <w:tc>
          <w:tcPr>
            <w:tcW w:w="2268" w:type="dxa"/>
            <w:tcBorders>
              <w:start w:val="single" w:sz="4" w:space="0" w:color="000000"/>
              <w:bottom w:val="single" w:sz="4" w:space="0" w:color="000000"/>
            </w:tcBorders>
          </w:tcPr>
          <w:p>
            <w:pPr>
              <w:pStyle w:val="Zawartotabeli"/>
              <w:ind w:hanging="0" w:start="0"/>
              <w:rPr/>
            </w:pPr>
            <w:r>
              <w:rPr/>
              <w:t xml:space="preserve">EfficientNet + MobileNetV3 + ViT </w:t>
            </w:r>
          </w:p>
        </w:tc>
        <w:tc>
          <w:tcPr>
            <w:tcW w:w="2268" w:type="dxa"/>
            <w:tcBorders>
              <w:start w:val="single" w:sz="4" w:space="0" w:color="000000"/>
              <w:bottom w:val="single" w:sz="4" w:space="0" w:color="000000"/>
            </w:tcBorders>
          </w:tcPr>
          <w:p>
            <w:pPr>
              <w:pStyle w:val="Zawartotabeli"/>
              <w:rPr/>
            </w:pPr>
            <w:r>
              <w:rPr/>
              <w:t xml:space="preserve">100,00 </w:t>
            </w:r>
          </w:p>
        </w:tc>
        <w:tc>
          <w:tcPr>
            <w:tcW w:w="2268" w:type="dxa"/>
            <w:tcBorders>
              <w:start w:val="single" w:sz="4" w:space="0" w:color="000000"/>
              <w:bottom w:val="single" w:sz="4" w:space="0" w:color="000000"/>
              <w:end w:val="single" w:sz="4" w:space="0" w:color="000000"/>
            </w:tcBorders>
          </w:tcPr>
          <w:p>
            <w:pPr>
              <w:pStyle w:val="Zawartotabeli"/>
              <w:rPr/>
            </w:pPr>
            <w:r>
              <w:rPr/>
              <w:t xml:space="preserve">90,36 </w:t>
            </w:r>
          </w:p>
        </w:tc>
      </w:tr>
      <w:tr>
        <w:trPr/>
        <w:tc>
          <w:tcPr>
            <w:tcW w:w="2268" w:type="dxa"/>
            <w:tcBorders>
              <w:start w:val="single" w:sz="4" w:space="0" w:color="000000"/>
              <w:bottom w:val="single" w:sz="4" w:space="0" w:color="000000"/>
            </w:tcBorders>
          </w:tcPr>
          <w:p>
            <w:pPr>
              <w:pStyle w:val="Zawartotabeli"/>
              <w:ind w:hanging="0" w:start="0"/>
              <w:rPr/>
            </w:pPr>
            <w:r>
              <w:rPr/>
              <w:t xml:space="preserve">Naczyniowe / Łagodne </w:t>
            </w:r>
          </w:p>
        </w:tc>
        <w:tc>
          <w:tcPr>
            <w:tcW w:w="2268" w:type="dxa"/>
            <w:tcBorders>
              <w:start w:val="single" w:sz="4" w:space="0" w:color="000000"/>
              <w:bottom w:val="single" w:sz="4" w:space="0" w:color="000000"/>
            </w:tcBorders>
          </w:tcPr>
          <w:p>
            <w:pPr>
              <w:pStyle w:val="Zawartotabeli"/>
              <w:ind w:hanging="0" w:start="0"/>
              <w:rPr/>
            </w:pPr>
            <w:r>
              <w:rPr/>
              <w:t xml:space="preserve">EfficientNet + MobileNetV3 </w:t>
            </w:r>
          </w:p>
        </w:tc>
        <w:tc>
          <w:tcPr>
            <w:tcW w:w="2268" w:type="dxa"/>
            <w:tcBorders>
              <w:start w:val="single" w:sz="4" w:space="0" w:color="000000"/>
              <w:bottom w:val="single" w:sz="4" w:space="0" w:color="000000"/>
            </w:tcBorders>
          </w:tcPr>
          <w:p>
            <w:pPr>
              <w:pStyle w:val="Zawartotabeli"/>
              <w:rPr/>
            </w:pPr>
            <w:r>
              <w:rPr/>
              <w:t xml:space="preserve">96,15 </w:t>
            </w:r>
          </w:p>
        </w:tc>
        <w:tc>
          <w:tcPr>
            <w:tcW w:w="2268" w:type="dxa"/>
            <w:tcBorders>
              <w:start w:val="single" w:sz="4" w:space="0" w:color="000000"/>
              <w:bottom w:val="single" w:sz="4" w:space="0" w:color="000000"/>
              <w:end w:val="single" w:sz="4" w:space="0" w:color="000000"/>
            </w:tcBorders>
          </w:tcPr>
          <w:p>
            <w:pPr>
              <w:pStyle w:val="Zawartotabeli"/>
              <w:rPr/>
            </w:pPr>
            <w:r>
              <w:rPr/>
              <w:t xml:space="preserve">88,79 </w:t>
            </w:r>
          </w:p>
        </w:tc>
      </w:tr>
    </w:tbl>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46" w:name="_Toc137420687"/>
      <w:bookmarkStart w:id="147" w:name="_Toc228645136"/>
      <w:r>
        <w:rPr/>
        <w:t>Podsumowanie</w:t>
      </w:r>
      <w:bookmarkEnd w:id="146"/>
      <w:bookmarkEnd w:id="114"/>
      <w:bookmarkEnd w:id="115"/>
      <w:bookmarkEnd w:id="147"/>
    </w:p>
    <w:p>
      <w:pPr>
        <w:pStyle w:val="Normal"/>
        <w:rPr/>
      </w:pPr>
      <w:r>
        <w:rPr/>
        <w:t>Celem niniejszej pracy było zaprojektowanie, implementacja oraz porównanie pięciu architektur głębokiego uczenia w zadaniu automatycznej klasyfikacji czternastu klas zmian skórnych, obejmujących zarówno choroby zakaźne, jak i zmiany nowotworowe. Eksperymenty przeprowadzono na zbiorze danych liczącym ponad 18 000 obrazów dermatoskopowych, z podziałem na zbiory treningowy, walidacyjny i testowy. Ocenę skuteczności modeli przeprowadzono z wykorzystaniem metryk klasyfikacyjnych, analizy macierzy konfuzji, testów odporności na zakłócenia obrazu oraz pomiarów czasu inferencji.</w:t>
      </w:r>
    </w:p>
    <w:p>
      <w:pPr>
        <w:pStyle w:val="Normal"/>
        <w:rPr/>
      </w:pPr>
      <w:r>
        <w:rPr/>
        <w:br/>
        <w:tab/>
        <w:t>Spośród analizowanych architektur najwyższą skuteczność wśród modeli pojedynczych osiągnął EfficientNet-B0, uzyskując dokładność klasyfikacji na poziomie 88% oraz makro F1 równe 0,86. Model ten stanowił najlepszy kompromis pomiędzy skutecznością klasyfikacji a kosztem obliczeniowym. Zbliżone wyniki osiągnął również Vision Transformer (87%), który wykazał wysoką stabilność pomiędzy klasami oraz odporność na wybrane degradacje jakości obrazu. Modele ResNet50 i MobileNetV3 osiągnęły dokładność 84%, przy czym MobileNetV3 wyróżniał się najniższą latencją inferencji, co wskazuje na jego potencjał w zastosowaniach mobilnych. Najniższą skuteczność uzyskał model CustomCNN (62%), trenowany bez wykorzystania pretrenowanych wag, co potwierdza przewagę podejścia transfer learning w analizie obrazów dermatoskopowych.</w:t>
      </w:r>
    </w:p>
    <w:p>
      <w:pPr>
        <w:pStyle w:val="Normal"/>
        <w:ind w:hanging="0" w:start="0"/>
        <w:rPr/>
      </w:pPr>
      <w:r>
        <w:rPr/>
        <w:br/>
        <w:tab/>
        <w:t>Przeprowadzona analiza modeli zespołowych wykazała ponadto, że połączenie architektur konwolucyjnych oraz transformatorowych pozwala zwiększyć skuteczność klasyfikacji względem modeli pojedynczych. Najlepsze konfiguracje, wykorzystujące głosowanie predykcji modeli, osiągnęły dokładność całkowitą na poziomie 90,36%, co oznacza poprawę o 2,77 punktu procentowego względem najlepszego modelu indywidualnego. Najwyższą skuteczność uzyskiwały konfiguracje zawierające modele EfficientNet, MobileNetV3 oraz Vision Transformer, szczególnie w klasyfikacji zmian nowotworowych i łagodnych. Wyniki sugerują, że połączenie modeli CNN, odpowiedzialnych za ekstrakcję lokalnych cech obrazu, z architekturą transformatorową analizującą zależności globalne, pozwala ograniczyć błędy pojedynczych modeli i zwiększyć stabilność klasyfikacji.</w:t>
      </w:r>
    </w:p>
    <w:p>
      <w:pPr>
        <w:pStyle w:val="Normal"/>
        <w:ind w:hanging="0" w:start="0"/>
        <w:rPr/>
      </w:pPr>
      <w:r>
        <w:rPr/>
        <w:tab/>
        <w:t>Uzyskane rezultaty potwierdzają, że zastosowanie metod głębokiego uczenia, w szczególności modeli zespołowych łączących architektury CNN i Transformer, może stanowić skuteczne narzędzie wspomagające klasyfikację zmian skórnych.</w:t>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start="851"/>
            <w:rPr/>
          </w:pPr>
          <w:bookmarkStart w:id="148" w:name="_Toc228645137"/>
          <w:r>
            <w:rPr/>
            <w:t>Bibliografia</w:t>
          </w:r>
          <w:bookmarkEnd w:id="148"/>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start"/>
        <w:tblInd w:w="0" w:type="dxa"/>
        <w:tblLayout w:type="fixed"/>
        <w:tblCellMar>
          <w:top w:w="15" w:type="dxa"/>
          <w:start w:w="15" w:type="dxa"/>
          <w:bottom w:w="15" w:type="dxa"/>
          <w:end w:w="15" w:type="dxa"/>
        </w:tblCellMar>
        <w:tblLook w:firstRow="1" w:noVBand="1" w:lastRow="0" w:firstColumn="1" w:lastColumn="0" w:noHBand="0" w:val="04a0"/>
      </w:tblPr>
      <w:tblGrid>
        <w:gridCol w:w="1183"/>
        <w:gridCol w:w="7889"/>
      </w:tblGrid>
      <w:tr>
        <w:trPr/>
        <w:tc>
          <w:tcPr>
            <w:tcW w:w="1183" w:type="dxa"/>
            <w:tcBorders/>
          </w:tcPr>
          <w:p>
            <w:pPr>
              <w:pStyle w:val="Bibliography"/>
              <w:rPr>
                <w:kern w:val="0"/>
                <w:szCs w:val="24"/>
                <w14:ligatures w14:val="none"/>
              </w:rPr>
            </w:pPr>
            <w:r>
              <w:rPr/>
              <w:t xml:space="preserve">[1] </w:t>
            </w:r>
          </w:p>
        </w:tc>
        <w:tc>
          <w:tcPr>
            <w:tcW w:w="7889"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 xml:space="preserve">tom 542, nr 7639, pp. 115-118, 2017. </w:t>
            </w:r>
          </w:p>
        </w:tc>
      </w:tr>
      <w:tr>
        <w:trPr/>
        <w:tc>
          <w:tcPr>
            <w:tcW w:w="1183" w:type="dxa"/>
            <w:tcBorders/>
          </w:tcPr>
          <w:p>
            <w:pPr>
              <w:pStyle w:val="Bibliography"/>
              <w:rPr/>
            </w:pPr>
            <w:r>
              <w:rPr/>
              <w:t xml:space="preserve">[2] </w:t>
            </w:r>
          </w:p>
        </w:tc>
        <w:tc>
          <w:tcPr>
            <w:tcW w:w="7889"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 xml:space="preserve">tom 31, nr 6, p. 771–778, Grudzień 2021. </w:t>
            </w:r>
          </w:p>
        </w:tc>
      </w:tr>
      <w:tr>
        <w:trPr/>
        <w:tc>
          <w:tcPr>
            <w:tcW w:w="1183" w:type="dxa"/>
            <w:tcBorders/>
          </w:tcPr>
          <w:p>
            <w:pPr>
              <w:pStyle w:val="Bibliography"/>
              <w:rPr/>
            </w:pPr>
            <w:r>
              <w:rPr/>
              <w:t xml:space="preserve">[3] </w:t>
            </w:r>
          </w:p>
        </w:tc>
        <w:tc>
          <w:tcPr>
            <w:tcW w:w="7889" w:type="dxa"/>
            <w:tcBorders/>
          </w:tcPr>
          <w:p>
            <w:pPr>
              <w:pStyle w:val="Bibliography"/>
              <w:rPr/>
            </w:pPr>
            <w:r>
              <w:rPr>
                <w:lang w:val="en-US"/>
              </w:rPr>
              <w:t xml:space="preserve">ahmedxc4, „Skin Lesions Classification Dataset,” 2023. [Online]. Available: https://www.kaggle.com/datasets/ahmedxc4/skin-ds. </w:t>
            </w:r>
            <w:r>
              <w:rPr/>
              <w:t>[Data uzyskania dostępu: 12 03 2026].</w:t>
            </w:r>
          </w:p>
        </w:tc>
      </w:tr>
      <w:tr>
        <w:trPr/>
        <w:tc>
          <w:tcPr>
            <w:tcW w:w="1183" w:type="dxa"/>
            <w:tcBorders/>
          </w:tcPr>
          <w:p>
            <w:pPr>
              <w:pStyle w:val="Bibliography"/>
              <w:rPr/>
            </w:pPr>
            <w:r>
              <w:rPr/>
              <w:t xml:space="preserve">[4] </w:t>
            </w:r>
          </w:p>
        </w:tc>
        <w:tc>
          <w:tcPr>
            <w:tcW w:w="7889"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 xml:space="preserve">tom 85, nr 3, p. 653–664, Październik 2021. </w:t>
            </w:r>
          </w:p>
        </w:tc>
      </w:tr>
      <w:tr>
        <w:trPr/>
        <w:tc>
          <w:tcPr>
            <w:tcW w:w="1183" w:type="dxa"/>
            <w:tcBorders/>
          </w:tcPr>
          <w:p>
            <w:pPr>
              <w:pStyle w:val="Bibliography"/>
              <w:rPr/>
            </w:pPr>
            <w:r>
              <w:rPr/>
              <w:t xml:space="preserve">[5] </w:t>
            </w:r>
          </w:p>
        </w:tc>
        <w:tc>
          <w:tcPr>
            <w:tcW w:w="7889" w:type="dxa"/>
            <w:tcBorders/>
          </w:tcPr>
          <w:p>
            <w:pPr>
              <w:pStyle w:val="Bibliography"/>
              <w:rPr>
                <w:lang w:val="en-US"/>
              </w:rPr>
            </w:pPr>
            <w:r>
              <w:rPr>
                <w:lang w:val="en-US"/>
              </w:rPr>
              <w:t xml:space="preserve">Y. Xiao, M. Liao, J. Wang i S. Cao, „From actinic keratosis to cutaneous squamous cell carcinoma: the key pathogenesis and treatments,” </w:t>
            </w:r>
            <w:r>
              <w:rPr>
                <w:i/>
                <w:iCs/>
                <w:lang w:val="en-US"/>
              </w:rPr>
              <w:t xml:space="preserve">Frontiers in Oncology, </w:t>
            </w:r>
            <w:r>
              <w:rPr>
                <w:lang w:val="en-US"/>
              </w:rPr>
              <w:t xml:space="preserve">tom 13, p. 1150422, 2023. </w:t>
            </w:r>
          </w:p>
        </w:tc>
      </w:tr>
      <w:tr>
        <w:trPr/>
        <w:tc>
          <w:tcPr>
            <w:tcW w:w="1183" w:type="dxa"/>
            <w:tcBorders/>
          </w:tcPr>
          <w:p>
            <w:pPr>
              <w:pStyle w:val="Bibliography"/>
              <w:rPr/>
            </w:pPr>
            <w:r>
              <w:rPr/>
              <w:t xml:space="preserve">[6] </w:t>
            </w:r>
          </w:p>
        </w:tc>
        <w:tc>
          <w:tcPr>
            <w:tcW w:w="7889" w:type="dxa"/>
            <w:tcBorders/>
          </w:tcPr>
          <w:p>
            <w:pPr>
              <w:pStyle w:val="Bibliography"/>
              <w:rPr>
                <w:lang w:val="en-US"/>
              </w:rPr>
            </w:pPr>
            <w:r>
              <w:rPr>
                <w:lang w:val="en-US"/>
              </w:rPr>
              <w:t xml:space="preserve">R. Yadav, A. A. Chaudhary, U. Srivastava, S. Gupta, S. Rustagi, H. A. Rudayni, V. K. Kashyap i S. Kumar, „Mpox 2022 to 2025 Update: A Comprehensive Review on Its Complications, Transmission, Diagnosis, and Treatment,” </w:t>
            </w:r>
            <w:r>
              <w:rPr>
                <w:i/>
                <w:iCs/>
                <w:lang w:val="en-US"/>
              </w:rPr>
              <w:t xml:space="preserve">Viruses, </w:t>
            </w:r>
            <w:r>
              <w:rPr>
                <w:lang w:val="en-US"/>
              </w:rPr>
              <w:t xml:space="preserve">tom 17, p. 753, 2025. </w:t>
            </w:r>
          </w:p>
        </w:tc>
      </w:tr>
      <w:tr>
        <w:trPr/>
        <w:tc>
          <w:tcPr>
            <w:tcW w:w="1183" w:type="dxa"/>
            <w:tcBorders/>
          </w:tcPr>
          <w:p>
            <w:pPr>
              <w:pStyle w:val="Bibliography"/>
              <w:rPr/>
            </w:pPr>
            <w:r>
              <w:rPr/>
              <w:t xml:space="preserve">[7] </w:t>
            </w:r>
          </w:p>
        </w:tc>
        <w:tc>
          <w:tcPr>
            <w:tcW w:w="7889" w:type="dxa"/>
            <w:tcBorders/>
          </w:tcPr>
          <w:p>
            <w:pPr>
              <w:pStyle w:val="Bibliography"/>
              <w:rPr>
                <w:lang w:val="en-US"/>
              </w:rPr>
            </w:pPr>
            <w:r>
              <w:rPr>
                <w:lang w:val="en-US"/>
              </w:rPr>
              <w:t xml:space="preserve">H. M. Saleh, F. Ayoade i S. Kumar, „Varicella-Zoster Virus (Chickenpox),” Treasure Island (FL), StatPearls Publishing, 2025. </w:t>
            </w:r>
          </w:p>
        </w:tc>
      </w:tr>
      <w:tr>
        <w:trPr/>
        <w:tc>
          <w:tcPr>
            <w:tcW w:w="1183" w:type="dxa"/>
            <w:tcBorders/>
          </w:tcPr>
          <w:p>
            <w:pPr>
              <w:pStyle w:val="Bibliography"/>
              <w:rPr/>
            </w:pPr>
            <w:r>
              <w:rPr/>
              <w:t xml:space="preserve">[8] </w:t>
            </w:r>
          </w:p>
        </w:tc>
        <w:tc>
          <w:tcPr>
            <w:tcW w:w="7889" w:type="dxa"/>
            <w:tcBorders/>
          </w:tcPr>
          <w:p>
            <w:pPr>
              <w:pStyle w:val="Bibliography"/>
              <w:rPr/>
            </w:pPr>
            <w:r>
              <w:rPr>
                <w:lang w:val="en-US"/>
              </w:rPr>
              <w:t xml:space="preserve">N. P. Kondamudi, E. H. Tobin i J. R. Waymack., „Measles,” StatPearls Publishing, 2025. [Online]. Available: https://www.ncbi.nlm.nih.gov/books/NBK448068/. </w:t>
            </w:r>
            <w:r>
              <w:rPr/>
              <w:t>[Data uzyskania dostępu: 02.05.2026].</w:t>
            </w:r>
          </w:p>
        </w:tc>
      </w:tr>
      <w:tr>
        <w:trPr/>
        <w:tc>
          <w:tcPr>
            <w:tcW w:w="1183" w:type="dxa"/>
            <w:tcBorders/>
          </w:tcPr>
          <w:p>
            <w:pPr>
              <w:pStyle w:val="Bibliography"/>
              <w:rPr/>
            </w:pPr>
            <w:r>
              <w:rPr/>
              <w:t xml:space="preserve">[9] </w:t>
            </w:r>
          </w:p>
        </w:tc>
        <w:tc>
          <w:tcPr>
            <w:tcW w:w="7889" w:type="dxa"/>
            <w:tcBorders/>
          </w:tcPr>
          <w:p>
            <w:pPr>
              <w:pStyle w:val="Bibliography"/>
              <w:rPr>
                <w:lang w:val="en-US"/>
              </w:rPr>
            </w:pPr>
            <w:r>
              <w:rPr>
                <w:lang w:val="en-US"/>
              </w:rPr>
              <w:t>A. M. Guerra, E. Orille i M. Waseem., „Hand, Foot, and Mouth Disease,” StatPearls Publishing, 2023. [Online]. Available: https://www.ncbi.nlm.nih.gov/books/NBK431082/.</w:t>
            </w:r>
          </w:p>
        </w:tc>
      </w:tr>
      <w:tr>
        <w:trPr/>
        <w:tc>
          <w:tcPr>
            <w:tcW w:w="1183" w:type="dxa"/>
            <w:tcBorders/>
          </w:tcPr>
          <w:p>
            <w:pPr>
              <w:pStyle w:val="Bibliography"/>
              <w:rPr/>
            </w:pPr>
            <w:r>
              <w:rPr/>
              <w:t xml:space="preserve">[10] </w:t>
            </w:r>
          </w:p>
        </w:tc>
        <w:tc>
          <w:tcPr>
            <w:tcW w:w="7889" w:type="dxa"/>
            <w:tcBorders/>
          </w:tcPr>
          <w:p>
            <w:pPr>
              <w:pStyle w:val="Bibliography"/>
              <w:rPr>
                <w:lang w:val="en-US"/>
              </w:rPr>
            </w:pPr>
            <w:r>
              <w:rPr>
                <w:lang w:val="en-US"/>
              </w:rPr>
              <w:t xml:space="preserve">M. A. Carrera C, „Discriminating Nevi from Melanomas: Clues and Pitfalls,” </w:t>
            </w:r>
            <w:r>
              <w:rPr>
                <w:i/>
                <w:iCs/>
                <w:lang w:val="en-US"/>
              </w:rPr>
              <w:t xml:space="preserve">Dermatol Clin, </w:t>
            </w:r>
            <w:r>
              <w:rPr>
                <w:lang w:val="en-US"/>
              </w:rPr>
              <w:t xml:space="preserve">tom 34, 2016. </w:t>
            </w:r>
          </w:p>
        </w:tc>
      </w:tr>
      <w:tr>
        <w:trPr/>
        <w:tc>
          <w:tcPr>
            <w:tcW w:w="1183" w:type="dxa"/>
            <w:tcBorders/>
          </w:tcPr>
          <w:p>
            <w:pPr>
              <w:pStyle w:val="Bibliography"/>
              <w:rPr/>
            </w:pPr>
            <w:r>
              <w:rPr/>
              <w:t xml:space="preserve">[11] </w:t>
            </w:r>
          </w:p>
        </w:tc>
        <w:tc>
          <w:tcPr>
            <w:tcW w:w="7889" w:type="dxa"/>
            <w:tcBorders/>
          </w:tcPr>
          <w:p>
            <w:pPr>
              <w:pStyle w:val="Bibliography"/>
              <w:rPr>
                <w:lang w:val="en-US"/>
              </w:rPr>
            </w:pPr>
            <w:r>
              <w:rPr>
                <w:lang w:val="en-US"/>
              </w:rPr>
              <w:t xml:space="preserve">O. A. Scott R, „Benign Keratosis: A Useful Term?,” </w:t>
            </w:r>
            <w:r>
              <w:rPr>
                <w:i/>
                <w:iCs/>
                <w:lang w:val="en-US"/>
              </w:rPr>
              <w:t xml:space="preserve">Dermatol Pract Concept, </w:t>
            </w:r>
            <w:r>
              <w:rPr>
                <w:lang w:val="en-US"/>
              </w:rPr>
              <w:t xml:space="preserve">tom 13, 2023. </w:t>
            </w:r>
          </w:p>
        </w:tc>
      </w:tr>
      <w:tr>
        <w:trPr/>
        <w:tc>
          <w:tcPr>
            <w:tcW w:w="1183" w:type="dxa"/>
            <w:tcBorders/>
          </w:tcPr>
          <w:p>
            <w:pPr>
              <w:pStyle w:val="Bibliography"/>
              <w:rPr/>
            </w:pPr>
            <w:r>
              <w:rPr/>
              <w:t xml:space="preserve">[12] </w:t>
            </w:r>
          </w:p>
        </w:tc>
        <w:tc>
          <w:tcPr>
            <w:tcW w:w="7889" w:type="dxa"/>
            <w:tcBorders/>
          </w:tcPr>
          <w:p>
            <w:pPr>
              <w:pStyle w:val="Bibliography"/>
              <w:rPr>
                <w:lang w:val="en-US"/>
              </w:rPr>
            </w:pPr>
            <w:r>
              <w:rPr>
                <w:lang w:val="en-US"/>
              </w:rPr>
              <w:t>D. J. Myers i E. P. Fillman., „Dermatofibroma,” StatPearls Publishing, 2024. [Online]. Available: https://www.ncbi.nlm.nih.gov/books/NBK470538/.</w:t>
            </w:r>
          </w:p>
        </w:tc>
      </w:tr>
      <w:tr>
        <w:trPr/>
        <w:tc>
          <w:tcPr>
            <w:tcW w:w="1183" w:type="dxa"/>
            <w:tcBorders/>
          </w:tcPr>
          <w:p>
            <w:pPr>
              <w:pStyle w:val="Bibliography"/>
              <w:rPr/>
            </w:pPr>
            <w:r>
              <w:rPr/>
              <w:t xml:space="preserve">[13] </w:t>
            </w:r>
          </w:p>
        </w:tc>
        <w:tc>
          <w:tcPr>
            <w:tcW w:w="7889"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 xml:space="preserve">tom 5, nr 1, pp. 1-9, 2018. </w:t>
            </w:r>
          </w:p>
        </w:tc>
      </w:tr>
      <w:tr>
        <w:trPr/>
        <w:tc>
          <w:tcPr>
            <w:tcW w:w="1183" w:type="dxa"/>
            <w:tcBorders/>
          </w:tcPr>
          <w:p>
            <w:pPr>
              <w:pStyle w:val="Bibliography"/>
              <w:rPr/>
            </w:pPr>
            <w:r>
              <w:rPr/>
              <w:t xml:space="preserve">[14] </w:t>
            </w:r>
          </w:p>
        </w:tc>
        <w:tc>
          <w:tcPr>
            <w:tcW w:w="7889"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 xml:space="preserve">tom 521, nr 7553, pp. 436-444, 2015. </w:t>
            </w:r>
          </w:p>
        </w:tc>
      </w:tr>
      <w:tr>
        <w:trPr/>
        <w:tc>
          <w:tcPr>
            <w:tcW w:w="1183" w:type="dxa"/>
            <w:tcBorders/>
          </w:tcPr>
          <w:p>
            <w:pPr>
              <w:pStyle w:val="Bibliography"/>
              <w:rPr/>
            </w:pPr>
            <w:r>
              <w:rPr/>
              <w:t xml:space="preserve">[15] </w:t>
            </w:r>
          </w:p>
        </w:tc>
        <w:tc>
          <w:tcPr>
            <w:tcW w:w="7889" w:type="dxa"/>
            <w:tcBorders/>
          </w:tcPr>
          <w:p>
            <w:pPr>
              <w:pStyle w:val="Bibliography"/>
              <w:rPr>
                <w:lang w:val="en-US"/>
              </w:rPr>
            </w:pPr>
            <w:r>
              <w:rPr>
                <w:lang w:val="en-US"/>
              </w:rPr>
              <w:t xml:space="preserve">K. He, X. Zhang, S. Ren i J. Sun, „Deep residual learning for image recognition,” 2016. </w:t>
            </w:r>
          </w:p>
        </w:tc>
      </w:tr>
      <w:tr>
        <w:trPr/>
        <w:tc>
          <w:tcPr>
            <w:tcW w:w="1183" w:type="dxa"/>
            <w:tcBorders/>
          </w:tcPr>
          <w:p>
            <w:pPr>
              <w:pStyle w:val="Bibliography"/>
              <w:rPr/>
            </w:pPr>
            <w:r>
              <w:rPr/>
              <w:t xml:space="preserve">[16] </w:t>
            </w:r>
          </w:p>
        </w:tc>
        <w:tc>
          <w:tcPr>
            <w:tcW w:w="7889"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xml:space="preserve">, 2019. </w:t>
            </w:r>
          </w:p>
        </w:tc>
      </w:tr>
      <w:tr>
        <w:trPr/>
        <w:tc>
          <w:tcPr>
            <w:tcW w:w="1183" w:type="dxa"/>
            <w:tcBorders/>
          </w:tcPr>
          <w:p>
            <w:pPr>
              <w:pStyle w:val="Bibliography"/>
              <w:rPr/>
            </w:pPr>
            <w:r>
              <w:rPr/>
              <w:t xml:space="preserve">[17] </w:t>
            </w:r>
          </w:p>
        </w:tc>
        <w:tc>
          <w:tcPr>
            <w:tcW w:w="7889"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xml:space="preserve">, 2019. </w:t>
            </w:r>
          </w:p>
        </w:tc>
      </w:tr>
      <w:tr>
        <w:trPr/>
        <w:tc>
          <w:tcPr>
            <w:tcW w:w="1183" w:type="dxa"/>
            <w:tcBorders/>
          </w:tcPr>
          <w:p>
            <w:pPr>
              <w:pStyle w:val="Bibliography"/>
              <w:rPr/>
            </w:pPr>
            <w:r>
              <w:rPr/>
              <w:t xml:space="preserve">[18] </w:t>
            </w:r>
          </w:p>
        </w:tc>
        <w:tc>
          <w:tcPr>
            <w:tcW w:w="7889"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3" w:type="dxa"/>
            <w:tcBorders/>
          </w:tcPr>
          <w:p>
            <w:pPr>
              <w:pStyle w:val="Bibliography"/>
              <w:rPr/>
            </w:pPr>
            <w:r>
              <w:rPr/>
              <w:t xml:space="preserve">[19] </w:t>
            </w:r>
          </w:p>
        </w:tc>
        <w:tc>
          <w:tcPr>
            <w:tcW w:w="7889"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 xml:space="preserve">tom 6, nr 1, pp. 1-48, 2019. </w:t>
            </w:r>
          </w:p>
        </w:tc>
      </w:tr>
      <w:tr>
        <w:trPr/>
        <w:tc>
          <w:tcPr>
            <w:tcW w:w="1183" w:type="dxa"/>
            <w:tcBorders/>
          </w:tcPr>
          <w:p>
            <w:pPr>
              <w:pStyle w:val="Bibliography"/>
              <w:rPr/>
            </w:pPr>
            <w:r>
              <w:rPr/>
              <w:t xml:space="preserve">[20] </w:t>
            </w:r>
          </w:p>
        </w:tc>
        <w:tc>
          <w:tcPr>
            <w:tcW w:w="7889"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xml:space="preserve">, 2017. </w:t>
            </w:r>
          </w:p>
        </w:tc>
      </w:tr>
      <w:tr>
        <w:trPr/>
        <w:tc>
          <w:tcPr>
            <w:tcW w:w="1183" w:type="dxa"/>
            <w:tcBorders/>
          </w:tcPr>
          <w:p>
            <w:pPr>
              <w:pStyle w:val="Bibliography"/>
              <w:rPr/>
            </w:pPr>
            <w:r>
              <w:rPr/>
              <w:t xml:space="preserve">[21] </w:t>
            </w:r>
          </w:p>
        </w:tc>
        <w:tc>
          <w:tcPr>
            <w:tcW w:w="7889"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3" w:type="dxa"/>
            <w:tcBorders/>
          </w:tcPr>
          <w:p>
            <w:pPr>
              <w:pStyle w:val="Bibliography"/>
              <w:rPr/>
            </w:pPr>
            <w:r>
              <w:rPr/>
              <w:t xml:space="preserve">[22] </w:t>
            </w:r>
          </w:p>
        </w:tc>
        <w:tc>
          <w:tcPr>
            <w:tcW w:w="7889" w:type="dxa"/>
            <w:tcBorders/>
          </w:tcPr>
          <w:p>
            <w:pPr>
              <w:pStyle w:val="Bibliography"/>
              <w:rPr>
                <w:lang w:val="en-US"/>
              </w:rPr>
            </w:pPr>
            <w:r>
              <w:rPr>
                <w:lang w:val="en-US"/>
              </w:rPr>
              <w:t xml:space="preserve">D. Saleh, S. N. S. Yarrarapu i S. Sharma, „Herpes Simplex Type 1,” w </w:t>
            </w:r>
            <w:r>
              <w:rPr>
                <w:i/>
                <w:iCs/>
                <w:lang w:val="en-US"/>
              </w:rPr>
              <w:t>StatPearls</w:t>
            </w:r>
            <w:r>
              <w:rPr>
                <w:lang w:val="en-US"/>
              </w:rPr>
              <w:t xml:space="preserve">, Treasure Island (FL), StatPearls Publishing, 2023. </w:t>
            </w:r>
          </w:p>
        </w:tc>
      </w:tr>
    </w:tbl>
    <w:p>
      <w:pPr>
        <w:pStyle w:val="Normal"/>
        <w:rPr>
          <w:rFonts w:eastAsia="Times New Roman"/>
          <w:lang w:val="en-US"/>
        </w:rPr>
      </w:pPr>
      <w:r>
        <w:rPr>
          <w:rFonts w:eastAsia="Times New Roman"/>
          <w:lang w:val="en-US"/>
        </w:rPr>
      </w:r>
    </w:p>
    <w:p>
      <w:pPr>
        <w:pStyle w:val="Normal"/>
        <w:ind w:hanging="0"/>
        <w:rPr/>
      </w:pPr>
      <w:r>
        <w:rPr/>
      </w:r>
      <w:r>
        <w:rPr/>
        <w:fldChar w:fldCharType="end"/>
      </w:r>
    </w:p>
    <w:p>
      <w:pPr>
        <w:pStyle w:val="Normal"/>
        <w:ind w:hanging="0"/>
        <w:rPr/>
      </w:pPr>
      <w:r>
        <w:rPr/>
      </w:r>
    </w:p>
    <w:p>
      <w:pPr>
        <w:pStyle w:val="Normal"/>
        <w:ind w:hanging="0"/>
        <w:rPr/>
      </w:pPr>
      <w:r>
        <w:rPr/>
      </w:r>
      <w:bookmarkStart w:id="149" w:name="OLE_LINK35"/>
      <w:bookmarkStart w:id="150" w:name="OLE_LINK34"/>
      <w:bookmarkStart w:id="151" w:name="_Toc137420689"/>
      <w:bookmarkStart w:id="152" w:name="OLE_LINK35"/>
      <w:bookmarkStart w:id="153" w:name="OLE_LINK34"/>
      <w:bookmarkStart w:id="154" w:name="_Toc137420689"/>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55" w:name="OLE_LINK35"/>
      <w:bookmarkStart w:id="156" w:name="OLE_LINK34"/>
      <w:bookmarkStart w:id="157" w:name="_Toc137420689"/>
      <w:bookmarkStart w:id="158" w:name="_Toc228645138"/>
      <w:r>
        <w:rPr/>
        <w:t>Spis rysunków</w:t>
      </w:r>
      <w:bookmarkStart w:id="159" w:name="_Toc471993124"/>
      <w:bookmarkEnd w:id="155"/>
      <w:bookmarkEnd w:id="156"/>
      <w:bookmarkEnd w:id="157"/>
      <w:bookmarkEnd w:id="158"/>
      <w:bookmarkEnd w:id="159"/>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lang w:val="en-US"/>
        </w:rPr>
        <w:instrText xml:space="preserve"> TOC \c "Rysunek" \h </w:instrText>
      </w:r>
      <w:r>
        <w:rPr>
          <w:rStyle w:val="czeindeksu"/>
          <w:lang w:val="en-US"/>
        </w:rPr>
        <w:fldChar w:fldCharType="separate"/>
      </w:r>
      <w:hyperlink w:anchor="_Toc228645495">
        <w:bookmarkStart w:id="160" w:name="_Toc137420690"/>
        <w:r>
          <w:rPr>
            <w:rStyle w:val="czeindeksu"/>
            <w:lang w:val="en-US"/>
          </w:rPr>
          <w:t>Rysunek 1 Czerniak Źródło: Skin Lesions Classification Dataset [3]</w:t>
        </w:r>
        <w:r>
          <w:rPr>
            <w:webHidden/>
          </w:rPr>
          <w:fldChar w:fldCharType="begin"/>
        </w:r>
        <w:r>
          <w:rPr>
            <w:webHidden/>
          </w:rPr>
          <w:instrText xml:space="preserve">PAGEREF _Toc228645495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496">
        <w:r>
          <w:rPr>
            <w:rStyle w:val="czeindeksu"/>
          </w:rPr>
          <w:t>Rysunek 2 Rak podstawnokomórkowy, BCC Źródło: Skin Lesions Classification Dataset [3]</w:t>
        </w:r>
        <w:r>
          <w:rPr>
            <w:webHidden/>
          </w:rPr>
          <w:fldChar w:fldCharType="begin"/>
        </w:r>
        <w:r>
          <w:rPr>
            <w:webHidden/>
          </w:rPr>
          <w:instrText xml:space="preserve">PAGEREF _Toc228645496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497">
        <w:r>
          <w:rPr>
            <w:rStyle w:val="czeindeksu"/>
          </w:rPr>
          <w:t>Rysunek 3 Rak płaskonabłonkowy Źródło: Skin Lesions Classification Dataset [3]</w:t>
        </w:r>
        <w:r>
          <w:rPr>
            <w:webHidden/>
          </w:rPr>
          <w:fldChar w:fldCharType="begin"/>
        </w:r>
        <w:r>
          <w:rPr>
            <w:webHidden/>
          </w:rPr>
          <w:instrText xml:space="preserve">PAGEREF _Toc228645497 \h</w:instrText>
        </w:r>
        <w:r>
          <w:rPr>
            <w:webHidden/>
          </w:rPr>
          <w:fldChar w:fldCharType="separate"/>
        </w:r>
        <w:r>
          <w:rPr>
            <w:rStyle w:val="czeindeksu"/>
            <w:vanish w:val="false"/>
          </w:rPr>
          <w:tab/>
          <w:t>15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498">
        <w:r>
          <w:rPr>
            <w:rStyle w:val="czeindeksu"/>
          </w:rPr>
          <w:t xml:space="preserve">Rysunek 4 Rogowacenie słoneczne </w:t>
        </w:r>
        <w:r>
          <w:rPr>
            <w:rStyle w:val="czeindeksu"/>
            <w:lang w:val="en-US"/>
          </w:rPr>
          <w:t>Źródło: Skin Lesions Classification Dataset [3]</w:t>
        </w:r>
        <w:r>
          <w:rPr>
            <w:webHidden/>
          </w:rPr>
          <w:fldChar w:fldCharType="begin"/>
        </w:r>
        <w:r>
          <w:rPr>
            <w:webHidden/>
          </w:rPr>
          <w:instrText xml:space="preserve">PAGEREF _Toc228645498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499">
        <w:r>
          <w:rPr>
            <w:rStyle w:val="czeindeksu"/>
            <w:lang w:val="en-US"/>
          </w:rPr>
          <w:t>Rysunek 5 : Ospa małpia Źródło: Skin Lesions Classification Dataset [3]</w:t>
        </w:r>
        <w:r>
          <w:rPr>
            <w:webHidden/>
          </w:rPr>
          <w:fldChar w:fldCharType="begin"/>
        </w:r>
        <w:r>
          <w:rPr>
            <w:webHidden/>
          </w:rPr>
          <w:instrText xml:space="preserve">PAGEREF _Toc228645499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0">
        <w:r>
          <w:rPr>
            <w:rStyle w:val="czeindeksu"/>
            <w:lang w:val="en-US"/>
          </w:rPr>
          <w:t>Rysunek 6 Ospa wietrzna Źródło: Skin Lesions Classification Dataset [3]</w:t>
        </w:r>
        <w:r>
          <w:rPr>
            <w:webHidden/>
          </w:rPr>
          <w:fldChar w:fldCharType="begin"/>
        </w:r>
        <w:r>
          <w:rPr>
            <w:webHidden/>
          </w:rPr>
          <w:instrText xml:space="preserve">PAGEREF _Toc228645500 \h</w:instrText>
        </w:r>
        <w:r>
          <w:rPr>
            <w:webHidden/>
          </w:rPr>
          <w:fldChar w:fldCharType="separate"/>
        </w:r>
        <w:r>
          <w:rPr>
            <w:rStyle w:val="czeindeksu"/>
            <w:vanish w:val="false"/>
          </w:rPr>
          <w:tab/>
          <w:t>17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1">
        <w:r>
          <w:rPr>
            <w:rStyle w:val="czeindeksu"/>
            <w:lang w:val="en-US"/>
          </w:rPr>
          <w:t>Rysunek 7 : Odra Źródło: Skin Lesions Classification Dataset [3]</w:t>
        </w:r>
        <w:r>
          <w:rPr>
            <w:webHidden/>
          </w:rPr>
          <w:fldChar w:fldCharType="begin"/>
        </w:r>
        <w:r>
          <w:rPr>
            <w:webHidden/>
          </w:rPr>
          <w:instrText xml:space="preserve">PAGEREF _Toc228645501 \h</w:instrText>
        </w:r>
        <w:r>
          <w:rPr>
            <w:webHidden/>
          </w:rPr>
          <w:fldChar w:fldCharType="separate"/>
        </w:r>
        <w:r>
          <w:rPr>
            <w:rStyle w:val="czeindeksu"/>
            <w:vanish w:val="false"/>
          </w:rPr>
          <w:tab/>
          <w:t>18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2">
        <w:r>
          <w:rPr>
            <w:rStyle w:val="czeindeksu"/>
            <w:lang w:val="en-US"/>
          </w:rPr>
          <w:t>Rysunek 8 : HFMD Źródło: Skin Lesions Classification Dataset [3]</w:t>
        </w:r>
        <w:r>
          <w:rPr>
            <w:webHidden/>
          </w:rPr>
          <w:fldChar w:fldCharType="begin"/>
        </w:r>
        <w:r>
          <w:rPr>
            <w:webHidden/>
          </w:rPr>
          <w:instrText xml:space="preserve">PAGEREF _Toc228645502 \h</w:instrText>
        </w:r>
        <w:r>
          <w:rPr>
            <w:webHidden/>
          </w:rPr>
          <w:fldChar w:fldCharType="separate"/>
        </w:r>
        <w:r>
          <w:rPr>
            <w:rStyle w:val="czeindeksu"/>
            <w:vanish w:val="false"/>
          </w:rPr>
          <w:tab/>
          <w:t>19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3">
        <w:r>
          <w:rPr>
            <w:rStyle w:val="czeindeksu"/>
          </w:rPr>
          <w:t>Rysunek 9 Znamiona melanocytarne Źródło: Skin Lesions Classification Dataset [3]</w:t>
        </w:r>
        <w:r>
          <w:rPr>
            <w:webHidden/>
          </w:rPr>
          <w:fldChar w:fldCharType="begin"/>
        </w:r>
        <w:r>
          <w:rPr>
            <w:webHidden/>
          </w:rPr>
          <w:instrText xml:space="preserve">PAGEREF _Toc228645503 \h</w:instrText>
        </w:r>
        <w:r>
          <w:rPr>
            <w:webHidden/>
          </w:rPr>
          <w:fldChar w:fldCharType="separate"/>
        </w:r>
        <w:r>
          <w:rPr>
            <w:rStyle w:val="czeindeksu"/>
            <w:vanish w:val="false"/>
          </w:rPr>
          <w:tab/>
          <w:t>20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4">
        <w:r>
          <w:rPr>
            <w:rStyle w:val="czeindeksu"/>
          </w:rPr>
          <w:t>Rysunek 10 łagodne zmiany keratozopodobne Źródło: Skin Lesions Classification Dataset [3]</w:t>
        </w:r>
        <w:r>
          <w:rPr>
            <w:webHidden/>
          </w:rPr>
          <w:fldChar w:fldCharType="begin"/>
        </w:r>
        <w:r>
          <w:rPr>
            <w:webHidden/>
          </w:rPr>
          <w:instrText xml:space="preserve">PAGEREF _Toc228645504 \h</w:instrText>
        </w:r>
        <w:r>
          <w:rPr>
            <w:webHidden/>
          </w:rPr>
          <w:fldChar w:fldCharType="separate"/>
        </w:r>
        <w:r>
          <w:rPr>
            <w:rStyle w:val="czeindeksu"/>
            <w:vanish w:val="false"/>
          </w:rPr>
          <w:tab/>
          <w:t>20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5">
        <w:r>
          <w:rPr>
            <w:rStyle w:val="czeindeksu"/>
            <w:lang w:val="en-US"/>
          </w:rPr>
          <w:t>Rysunek 11 Włókniak skóry Źródło: Skin Lesions Classification Dataset [3]</w:t>
        </w:r>
        <w:r>
          <w:rPr>
            <w:webHidden/>
          </w:rPr>
          <w:fldChar w:fldCharType="begin"/>
        </w:r>
        <w:r>
          <w:rPr>
            <w:webHidden/>
          </w:rPr>
          <w:instrText xml:space="preserve">PAGEREF _Toc228645505 \h</w:instrText>
        </w:r>
        <w:r>
          <w:rPr>
            <w:webHidden/>
          </w:rPr>
          <w:fldChar w:fldCharType="separate"/>
        </w:r>
        <w:r>
          <w:rPr>
            <w:rStyle w:val="czeindeksu"/>
            <w:vanish w:val="false"/>
          </w:rPr>
          <w:tab/>
          <w:t>21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6">
        <w:r>
          <w:rPr>
            <w:rStyle w:val="czeindeksu"/>
          </w:rPr>
          <w:t xml:space="preserve">Rysunek 12 Zmiany naczyniowe </w:t>
        </w:r>
        <w:r>
          <w:rPr>
            <w:rStyle w:val="czeindeksu"/>
            <w:lang w:val="en-US"/>
          </w:rPr>
          <w:t>Źródło: Skin Lesions Classification Dataset [3]</w:t>
        </w:r>
        <w:r>
          <w:rPr>
            <w:webHidden/>
          </w:rPr>
          <w:fldChar w:fldCharType="begin"/>
        </w:r>
        <w:r>
          <w:rPr>
            <w:webHidden/>
          </w:rPr>
          <w:instrText xml:space="preserve">PAGEREF _Toc228645506 \h</w:instrText>
        </w:r>
        <w:r>
          <w:rPr>
            <w:webHidden/>
          </w:rPr>
          <w:fldChar w:fldCharType="separate"/>
        </w:r>
        <w:r>
          <w:rPr>
            <w:rStyle w:val="czeindeksu"/>
            <w:vanish w:val="false"/>
          </w:rPr>
          <w:tab/>
          <w:t>21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7">
        <w:r>
          <w:rPr>
            <w:rStyle w:val="czeindeksu"/>
          </w:rPr>
          <w:t>Rysunek 13 CNN jak działa?  Źródło: http://python.plainenglish.io/decoding-cnns-a-beginners-guide-to-convolutional-neural-networks-and-their-applications-1a8806cbf536</w:t>
        </w:r>
        <w:r>
          <w:rPr>
            <w:webHidden/>
          </w:rPr>
          <w:fldChar w:fldCharType="begin"/>
        </w:r>
        <w:r>
          <w:rPr>
            <w:webHidden/>
          </w:rPr>
          <w:instrText xml:space="preserve">PAGEREF _Toc228645507 \h</w:instrText>
        </w:r>
        <w:r>
          <w:rPr>
            <w:webHidden/>
          </w:rPr>
          <w:fldChar w:fldCharType="separate"/>
        </w:r>
        <w:r>
          <w:rPr>
            <w:rStyle w:val="czeindeksu"/>
            <w:vanish w:val="false"/>
          </w:rPr>
          <w:tab/>
          <w:t>23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8">
        <w:r>
          <w:rPr>
            <w:rStyle w:val="czeindeksu"/>
          </w:rPr>
          <w:t>Rysunek 14 ResNet50  Źródło: https://blog.devgenius.io/resnet50-6b42934db431</w:t>
        </w:r>
        <w:r>
          <w:rPr>
            <w:webHidden/>
          </w:rPr>
          <w:fldChar w:fldCharType="begin"/>
        </w:r>
        <w:r>
          <w:rPr>
            <w:webHidden/>
          </w:rPr>
          <w:instrText xml:space="preserve">PAGEREF _Toc228645508 \h</w:instrText>
        </w:r>
        <w:r>
          <w:rPr>
            <w:webHidden/>
          </w:rPr>
          <w:fldChar w:fldCharType="separate"/>
        </w:r>
        <w:r>
          <w:rPr>
            <w:rStyle w:val="czeindeksu"/>
            <w:vanish w:val="false"/>
          </w:rPr>
          <w:tab/>
          <w:t>24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09">
        <w:r>
          <w:rPr>
            <w:rStyle w:val="czeindeksu"/>
          </w:rPr>
          <w:t>Rysunek 15 MobileNetV3  Źródło: https://pytorch.org/blog/torchvision-mobilenet-v3-implementation/</w:t>
        </w:r>
        <w:r>
          <w:rPr>
            <w:webHidden/>
          </w:rPr>
          <w:fldChar w:fldCharType="begin"/>
        </w:r>
        <w:r>
          <w:rPr>
            <w:webHidden/>
          </w:rPr>
          <w:instrText xml:space="preserve">PAGEREF _Toc228645509 \h</w:instrText>
        </w:r>
        <w:r>
          <w:rPr>
            <w:webHidden/>
          </w:rPr>
          <w:fldChar w:fldCharType="separate"/>
        </w:r>
        <w:r>
          <w:rPr>
            <w:rStyle w:val="czeindeksu"/>
            <w:vanish w:val="false"/>
          </w:rPr>
          <w:tab/>
          <w:t>25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0">
        <w:r>
          <w:rPr>
            <w:rStyle w:val="czeindeksu"/>
          </w:rPr>
          <w:t>Rysunek 16 EfficientNet architektura  Źródło: https://viso.ai/deep-learning/efficientnet/</w:t>
        </w:r>
        <w:r>
          <w:rPr>
            <w:webHidden/>
          </w:rPr>
          <w:fldChar w:fldCharType="begin"/>
        </w:r>
        <w:r>
          <w:rPr>
            <w:webHidden/>
          </w:rPr>
          <w:instrText xml:space="preserve">PAGEREF _Toc228645510 \h</w:instrText>
        </w:r>
        <w:r>
          <w:rPr>
            <w:webHidden/>
          </w:rPr>
          <w:fldChar w:fldCharType="separate"/>
        </w:r>
        <w:r>
          <w:rPr>
            <w:rStyle w:val="czeindeksu"/>
            <w:vanish w:val="false"/>
          </w:rPr>
          <w:tab/>
          <w:t>26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1">
        <w:r>
          <w:rPr>
            <w:rStyle w:val="czeindeksu"/>
          </w:rPr>
          <w:t>Rysunek 17 Vision Transformer - Jak działa?  Źródło: https://sh-tsang.medium.com/review-vision-transformer-vit-406568603de0</w:t>
        </w:r>
        <w:r>
          <w:rPr>
            <w:webHidden/>
          </w:rPr>
          <w:fldChar w:fldCharType="begin"/>
        </w:r>
        <w:r>
          <w:rPr>
            <w:webHidden/>
          </w:rPr>
          <w:instrText xml:space="preserve">PAGEREF _Toc228645511 \h</w:instrText>
        </w:r>
        <w:r>
          <w:rPr>
            <w:webHidden/>
          </w:rPr>
          <w:fldChar w:fldCharType="separate"/>
        </w:r>
        <w:r>
          <w:rPr>
            <w:rStyle w:val="czeindeksu"/>
            <w:vanish w:val="false"/>
          </w:rPr>
          <w:tab/>
          <w:t>28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2">
        <w:r>
          <w:rPr>
            <w:rStyle w:val="czeindeksu"/>
          </w:rPr>
          <w:t>Rysunek 18 CNN - architektura modelu</w:t>
        </w:r>
        <w:r>
          <w:rPr>
            <w:webHidden/>
          </w:rPr>
          <w:fldChar w:fldCharType="begin"/>
        </w:r>
        <w:r>
          <w:rPr>
            <w:webHidden/>
          </w:rPr>
          <w:instrText xml:space="preserve">PAGEREF _Toc228645512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3">
        <w:r>
          <w:rPr>
            <w:rStyle w:val="czeindeksu"/>
          </w:rPr>
          <w:t>Rysunek 19 Z lewej strony oryginalne zdjęcie pacjenta z Krowianką, po lewej GRAD-CAM modelu mobilNetV3, pokazujący, gdzie skupił największą uwagę podczas oceny.</w:t>
        </w:r>
        <w:r>
          <w:rPr>
            <w:webHidden/>
          </w:rPr>
          <w:fldChar w:fldCharType="begin"/>
        </w:r>
        <w:r>
          <w:rPr>
            <w:webHidden/>
          </w:rPr>
          <w:instrText xml:space="preserve">PAGEREF _Toc228645513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4">
        <w:r>
          <w:rPr>
            <w:rStyle w:val="czeindeksu"/>
          </w:rPr>
          <w:t>Rysunek 20 Model bazy danych</w:t>
        </w:r>
        <w:r>
          <w:rPr>
            <w:webHidden/>
          </w:rPr>
          <w:fldChar w:fldCharType="begin"/>
        </w:r>
        <w:r>
          <w:rPr>
            <w:webHidden/>
          </w:rPr>
          <w:instrText xml:space="preserve">PAGEREF _Toc228645514 \h</w:instrText>
        </w:r>
        <w:r>
          <w:rPr>
            <w:webHidden/>
          </w:rPr>
          <w:fldChar w:fldCharType="separate"/>
        </w:r>
        <w:r>
          <w:rPr>
            <w:rStyle w:val="czeindeksu"/>
            <w:vanish w:val="false"/>
          </w:rPr>
          <w:tab/>
          <w:t>41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5">
        <w:r>
          <w:rPr>
            <w:rStyle w:val="czeindeksu"/>
          </w:rPr>
          <w:t>Rysunek 21 Schemat przepływu danych</w:t>
        </w:r>
        <w:r>
          <w:rPr>
            <w:webHidden/>
          </w:rPr>
          <w:fldChar w:fldCharType="begin"/>
        </w:r>
        <w:r>
          <w:rPr>
            <w:webHidden/>
          </w:rPr>
          <w:instrText xml:space="preserve">PAGEREF _Toc228645515 \h</w:instrText>
        </w:r>
        <w:r>
          <w:rPr>
            <w:webHidden/>
          </w:rPr>
          <w:fldChar w:fldCharType="separate"/>
        </w:r>
        <w:r>
          <w:rPr>
            <w:rStyle w:val="czeindeksu"/>
            <w:vanish w:val="false"/>
          </w:rPr>
          <w:tab/>
          <w:t>44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6">
        <w:r>
          <w:rPr>
            <w:rStyle w:val="czeindeksu"/>
          </w:rPr>
          <w:t>Rysunek 22 Czas trwania treningu oraz ilość użytych GPU</w:t>
        </w:r>
        <w:r>
          <w:rPr>
            <w:webHidden/>
          </w:rPr>
          <w:fldChar w:fldCharType="begin"/>
        </w:r>
        <w:r>
          <w:rPr>
            <w:webHidden/>
          </w:rPr>
          <w:instrText xml:space="preserve">PAGEREF _Toc228645516 \h</w:instrText>
        </w:r>
        <w:r>
          <w:rPr>
            <w:webHidden/>
          </w:rPr>
          <w:fldChar w:fldCharType="separate"/>
        </w:r>
        <w:r>
          <w:rPr>
            <w:rStyle w:val="czeindeksu"/>
            <w:vanish w:val="false"/>
          </w:rPr>
          <w:tab/>
          <w:t>47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7">
        <w:r>
          <w:rPr>
            <w:rStyle w:val="czeindeksu"/>
          </w:rPr>
          <w:t>Rysunek 23 GradCam modelu mobilenetV3-Large podczas wykrywania choroby</w:t>
        </w:r>
        <w:r>
          <w:rPr>
            <w:webHidden/>
          </w:rPr>
          <w:fldChar w:fldCharType="begin"/>
        </w:r>
        <w:r>
          <w:rPr>
            <w:webHidden/>
          </w:rPr>
          <w:instrText xml:space="preserve">PAGEREF _Toc228645517 \h</w:instrText>
        </w:r>
        <w:r>
          <w:rPr>
            <w:webHidden/>
          </w:rPr>
          <w:fldChar w:fldCharType="separate"/>
        </w:r>
        <w:r>
          <w:rPr>
            <w:rStyle w:val="czeindeksu"/>
            <w:vanish w:val="false"/>
          </w:rPr>
          <w:tab/>
          <w:t>52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8">
        <w:r>
          <w:rPr>
            <w:rStyle w:val="czeindeksu"/>
          </w:rPr>
          <w:t>Rysunek 24 System głosowania</w:t>
        </w:r>
        <w:r>
          <w:rPr>
            <w:webHidden/>
          </w:rPr>
          <w:fldChar w:fldCharType="begin"/>
        </w:r>
        <w:r>
          <w:rPr>
            <w:webHidden/>
          </w:rPr>
          <w:instrText xml:space="preserve">PAGEREF _Toc228645518 \h</w:instrText>
        </w:r>
        <w:r>
          <w:rPr>
            <w:webHidden/>
          </w:rPr>
          <w:fldChar w:fldCharType="separate"/>
        </w:r>
        <w:r>
          <w:rPr>
            <w:rStyle w:val="czeindeksu"/>
            <w:vanish w:val="false"/>
          </w:rPr>
          <w:tab/>
          <w:t>54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19">
        <w:r>
          <w:rPr>
            <w:rStyle w:val="czeindeksu"/>
          </w:rPr>
          <w:t>Rysunek 25 Zakładka skaner z dwoma trybami „Wgraj” oraz „Aparat”</w:t>
        </w:r>
        <w:r>
          <w:rPr>
            <w:webHidden/>
          </w:rPr>
          <w:fldChar w:fldCharType="begin"/>
        </w:r>
        <w:r>
          <w:rPr>
            <w:webHidden/>
          </w:rPr>
          <w:instrText xml:space="preserve">PAGEREF _Toc228645519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0">
        <w:r>
          <w:rPr>
            <w:rStyle w:val="czeindeksu"/>
          </w:rPr>
          <w:t>Rysunek 26 Wybranie i podgląd zdjęcia przed analizą</w:t>
        </w:r>
        <w:r>
          <w:rPr>
            <w:webHidden/>
          </w:rPr>
          <w:fldChar w:fldCharType="begin"/>
        </w:r>
        <w:r>
          <w:rPr>
            <w:webHidden/>
          </w:rPr>
          <w:instrText xml:space="preserve">PAGEREF _Toc228645520 \h</w:instrText>
        </w:r>
        <w:r>
          <w:rPr>
            <w:webHidden/>
          </w:rPr>
          <w:fldChar w:fldCharType="separate"/>
        </w:r>
        <w:r>
          <w:rPr>
            <w:rStyle w:val="czeindeksu"/>
            <w:vanish w:val="false"/>
          </w:rPr>
          <w:tab/>
          <w:t>55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1">
        <w:r>
          <w:rPr>
            <w:rStyle w:val="czeindeksu"/>
          </w:rPr>
          <w:t>Rysunek 27 Wynik konsensusu modeli</w:t>
        </w:r>
        <w:r>
          <w:rPr>
            <w:webHidden/>
          </w:rPr>
          <w:fldChar w:fldCharType="begin"/>
        </w:r>
        <w:r>
          <w:rPr>
            <w:webHidden/>
          </w:rPr>
          <w:instrText xml:space="preserve">PAGEREF _Toc228645521 \h</w:instrText>
        </w:r>
        <w:r>
          <w:rPr>
            <w:webHidden/>
          </w:rPr>
          <w:fldChar w:fldCharType="separate"/>
        </w:r>
        <w:r>
          <w:rPr>
            <w:rStyle w:val="czeindeksu"/>
            <w:vanish w:val="false"/>
          </w:rPr>
          <w:tab/>
          <w:t>56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2">
        <w:r>
          <w:rPr>
            <w:rStyle w:val="czeindeksu"/>
          </w:rPr>
          <w:t>Rysunek 28 Wyświetlenie diagnozy oraz prawdopodobieństwa każdego modelu</w:t>
        </w:r>
        <w:r>
          <w:rPr>
            <w:webHidden/>
          </w:rPr>
          <w:fldChar w:fldCharType="begin"/>
        </w:r>
        <w:r>
          <w:rPr>
            <w:webHidden/>
          </w:rPr>
          <w:instrText xml:space="preserve">PAGEREF _Toc228645522 \h</w:instrText>
        </w:r>
        <w:r>
          <w:rPr>
            <w:webHidden/>
          </w:rPr>
          <w:fldChar w:fldCharType="separate"/>
        </w:r>
        <w:r>
          <w:rPr>
            <w:rStyle w:val="czeindeksu"/>
            <w:vanish w:val="false"/>
          </w:rPr>
          <w:tab/>
          <w:t>56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3">
        <w:r>
          <w:rPr>
            <w:rStyle w:val="czeindeksu"/>
          </w:rPr>
          <w:t>Rysunek 29 Diagnoza wybranego modelu oraz jego Grad-Cam</w:t>
        </w:r>
        <w:r>
          <w:rPr>
            <w:webHidden/>
          </w:rPr>
          <w:fldChar w:fldCharType="begin"/>
        </w:r>
        <w:r>
          <w:rPr>
            <w:webHidden/>
          </w:rPr>
          <w:instrText xml:space="preserve">PAGEREF _Toc228645523 \h</w:instrText>
        </w:r>
        <w:r>
          <w:rPr>
            <w:webHidden/>
          </w:rPr>
          <w:fldChar w:fldCharType="separate"/>
        </w:r>
        <w:r>
          <w:rPr>
            <w:rStyle w:val="czeindeksu"/>
            <w:vanish w:val="false"/>
          </w:rPr>
          <w:tab/>
          <w:t>57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4">
        <w:r>
          <w:rPr>
            <w:rStyle w:val="czeindeksu"/>
          </w:rPr>
          <w:t>Rysunek 30 Widok zakładki 'Historia'</w:t>
        </w:r>
        <w:r>
          <w:rPr>
            <w:webHidden/>
          </w:rPr>
          <w:fldChar w:fldCharType="begin"/>
        </w:r>
        <w:r>
          <w:rPr>
            <w:webHidden/>
          </w:rPr>
          <w:instrText xml:space="preserve">PAGEREF _Toc228645524 \h</w:instrText>
        </w:r>
        <w:r>
          <w:rPr>
            <w:webHidden/>
          </w:rPr>
          <w:fldChar w:fldCharType="separate"/>
        </w:r>
        <w:r>
          <w:rPr>
            <w:rStyle w:val="czeindeksu"/>
            <w:vanish w:val="false"/>
          </w:rPr>
          <w:tab/>
          <w:t>58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5">
        <w:r>
          <w:rPr>
            <w:rStyle w:val="czeindeksu"/>
          </w:rPr>
          <w:t>Rysunek 31 Podgląd historycznej analizy</w:t>
        </w:r>
        <w:r>
          <w:rPr>
            <w:webHidden/>
          </w:rPr>
          <w:fldChar w:fldCharType="begin"/>
        </w:r>
        <w:r>
          <w:rPr>
            <w:webHidden/>
          </w:rPr>
          <w:instrText xml:space="preserve">PAGEREF _Toc228645525 \h</w:instrText>
        </w:r>
        <w:r>
          <w:rPr>
            <w:webHidden/>
          </w:rPr>
          <w:fldChar w:fldCharType="separate"/>
        </w:r>
        <w:r>
          <w:rPr>
            <w:rStyle w:val="czeindeksu"/>
            <w:vanish w:val="false"/>
          </w:rPr>
          <w:tab/>
          <w:t>59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6">
        <w:r>
          <w:rPr>
            <w:rStyle w:val="czeindeksu"/>
          </w:rPr>
          <w:t>Rysunek 32 Podgląd Grad-Cam dla historycznego badania</w:t>
        </w:r>
        <w:r>
          <w:rPr>
            <w:webHidden/>
          </w:rPr>
          <w:fldChar w:fldCharType="begin"/>
        </w:r>
        <w:r>
          <w:rPr>
            <w:webHidden/>
          </w:rPr>
          <w:instrText xml:space="preserve">PAGEREF _Toc228645526 \h</w:instrText>
        </w:r>
        <w:r>
          <w:rPr>
            <w:webHidden/>
          </w:rPr>
          <w:fldChar w:fldCharType="separate"/>
        </w:r>
        <w:r>
          <w:rPr>
            <w:rStyle w:val="czeindeksu"/>
            <w:vanish w:val="false"/>
          </w:rPr>
          <w:tab/>
          <w:t>59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7">
        <w:r>
          <w:rPr>
            <w:rStyle w:val="czeindeksu"/>
          </w:rPr>
          <w:t>Rysunek 33 Przechwytywanie strumienia nadawanego z telefonu</w:t>
        </w:r>
        <w:r>
          <w:rPr>
            <w:webHidden/>
          </w:rPr>
          <w:fldChar w:fldCharType="begin"/>
        </w:r>
        <w:r>
          <w:rPr>
            <w:webHidden/>
          </w:rPr>
          <w:instrText xml:space="preserve">PAGEREF _Toc228645527 \h</w:instrText>
        </w:r>
        <w:r>
          <w:rPr>
            <w:webHidden/>
          </w:rPr>
          <w:fldChar w:fldCharType="separate"/>
        </w:r>
        <w:r>
          <w:rPr>
            <w:rStyle w:val="czeindeksu"/>
            <w:vanish w:val="false"/>
          </w:rPr>
          <w:tab/>
          <w:t>60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8">
        <w:r>
          <w:rPr>
            <w:rStyle w:val="czeindeksu"/>
          </w:rPr>
          <w:t>Rysunek 34 Strumień z telefonu</w:t>
        </w:r>
        <w:r>
          <w:rPr>
            <w:webHidden/>
          </w:rPr>
          <w:fldChar w:fldCharType="begin"/>
        </w:r>
        <w:r>
          <w:rPr>
            <w:webHidden/>
          </w:rPr>
          <w:instrText xml:space="preserve">PAGEREF _Toc228645528 \h</w:instrText>
        </w:r>
        <w:r>
          <w:rPr>
            <w:webHidden/>
          </w:rPr>
          <w:fldChar w:fldCharType="separate"/>
        </w:r>
        <w:r>
          <w:rPr>
            <w:rStyle w:val="czeindeksu"/>
            <w:vanish w:val="false"/>
          </w:rPr>
          <w:tab/>
          <w:t>61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29">
        <w:r>
          <w:rPr>
            <w:rStyle w:val="czeindeksu"/>
          </w:rPr>
          <w:t>Rysunek 35 : Podgląd zakładki "Mapy ciała"</w:t>
        </w:r>
        <w:r>
          <w:rPr>
            <w:webHidden/>
          </w:rPr>
          <w:fldChar w:fldCharType="begin"/>
        </w:r>
        <w:r>
          <w:rPr>
            <w:webHidden/>
          </w:rPr>
          <w:instrText xml:space="preserve">PAGEREF _Toc228645529 \h</w:instrText>
        </w:r>
        <w:r>
          <w:rPr>
            <w:webHidden/>
          </w:rPr>
          <w:fldChar w:fldCharType="separate"/>
        </w:r>
        <w:r>
          <w:rPr>
            <w:rStyle w:val="czeindeksu"/>
            <w:vanish w:val="false"/>
          </w:rPr>
          <w:tab/>
          <w:t>62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0">
        <w:r>
          <w:rPr>
            <w:rStyle w:val="czeindeksu"/>
          </w:rPr>
          <w:t>Rysunek 36 Widok ustawień</w:t>
        </w:r>
        <w:r>
          <w:rPr>
            <w:webHidden/>
          </w:rPr>
          <w:fldChar w:fldCharType="begin"/>
        </w:r>
        <w:r>
          <w:rPr>
            <w:webHidden/>
          </w:rPr>
          <w:instrText xml:space="preserve">PAGEREF _Toc228645530 \h</w:instrText>
        </w:r>
        <w:r>
          <w:rPr>
            <w:webHidden/>
          </w:rPr>
          <w:fldChar w:fldCharType="separate"/>
        </w:r>
        <w:r>
          <w:rPr>
            <w:rStyle w:val="czeindeksu"/>
            <w:vanish w:val="false"/>
          </w:rPr>
          <w:tab/>
          <w:t>64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1">
        <w:r>
          <w:rPr>
            <w:rStyle w:val="czeindeksu"/>
          </w:rPr>
          <w:t>Rysunek 37 Dokładność walidacyjna w kolejnych epokach (po lewej) oraz łączny czas treningu modeli (po prawej).</w:t>
        </w:r>
        <w:r>
          <w:rPr>
            <w:webHidden/>
          </w:rPr>
          <w:fldChar w:fldCharType="begin"/>
        </w:r>
        <w:r>
          <w:rPr>
            <w:webHidden/>
          </w:rPr>
          <w:instrText xml:space="preserve">PAGEREF _Toc228645531 \h</w:instrText>
        </w:r>
        <w:r>
          <w:rPr>
            <w:webHidden/>
          </w:rPr>
          <w:fldChar w:fldCharType="separate"/>
        </w:r>
        <w:r>
          <w:rPr>
            <w:rStyle w:val="czeindeksu"/>
            <w:vanish w:val="false"/>
          </w:rPr>
          <w:tab/>
          <w:t>66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2">
        <w:r>
          <w:rPr>
            <w:rStyle w:val="czeindeksu"/>
          </w:rPr>
          <w:t>Rysunek 38 Macierz pomyłek modelu CustomCNN.</w:t>
        </w:r>
        <w:r>
          <w:rPr>
            <w:webHidden/>
          </w:rPr>
          <w:fldChar w:fldCharType="begin"/>
        </w:r>
        <w:r>
          <w:rPr>
            <w:webHidden/>
          </w:rPr>
          <w:instrText xml:space="preserve">PAGEREF _Toc228645532 \h</w:instrText>
        </w:r>
        <w:r>
          <w:rPr>
            <w:webHidden/>
          </w:rPr>
          <w:fldChar w:fldCharType="separate"/>
        </w:r>
        <w:r>
          <w:rPr>
            <w:rStyle w:val="czeindeksu"/>
            <w:vanish w:val="false"/>
          </w:rPr>
          <w:tab/>
          <w:t>69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3">
        <w:r>
          <w:rPr>
            <w:rStyle w:val="czeindeksu"/>
          </w:rPr>
          <w:t>Rysunek 39 Macierz konfuzji modelu ResNet50</w:t>
        </w:r>
        <w:r>
          <w:rPr>
            <w:webHidden/>
          </w:rPr>
          <w:fldChar w:fldCharType="begin"/>
        </w:r>
        <w:r>
          <w:rPr>
            <w:webHidden/>
          </w:rPr>
          <w:instrText xml:space="preserve">PAGEREF _Toc228645533 \h</w:instrText>
        </w:r>
        <w:r>
          <w:rPr>
            <w:webHidden/>
          </w:rPr>
          <w:fldChar w:fldCharType="separate"/>
        </w:r>
        <w:r>
          <w:rPr>
            <w:rStyle w:val="czeindeksu"/>
            <w:vanish w:val="false"/>
          </w:rPr>
          <w:tab/>
          <w:t>70</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4">
        <w:r>
          <w:rPr>
            <w:rStyle w:val="czeindeksu"/>
          </w:rPr>
          <w:t>Rysunek 40 Macierz konfuzji modelu MobileNetV3.</w:t>
        </w:r>
        <w:r>
          <w:rPr>
            <w:webHidden/>
          </w:rPr>
          <w:fldChar w:fldCharType="begin"/>
        </w:r>
        <w:r>
          <w:rPr>
            <w:webHidden/>
          </w:rPr>
          <w:instrText xml:space="preserve">PAGEREF _Toc228645534 \h</w:instrText>
        </w:r>
        <w:r>
          <w:rPr>
            <w:webHidden/>
          </w:rPr>
          <w:fldChar w:fldCharType="separate"/>
        </w:r>
        <w:r>
          <w:rPr>
            <w:rStyle w:val="czeindeksu"/>
            <w:vanish w:val="false"/>
          </w:rPr>
          <w:tab/>
          <w:t>71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5">
        <w:r>
          <w:rPr>
            <w:rStyle w:val="czeindeksu"/>
          </w:rPr>
          <w:t>Rysunek 41 Macierz konfuzji modelu ViT.</w:t>
        </w:r>
        <w:r>
          <w:rPr>
            <w:webHidden/>
          </w:rPr>
          <w:fldChar w:fldCharType="begin"/>
        </w:r>
        <w:r>
          <w:rPr>
            <w:webHidden/>
          </w:rPr>
          <w:instrText xml:space="preserve">PAGEREF _Toc228645535 \h</w:instrText>
        </w:r>
        <w:r>
          <w:rPr>
            <w:webHidden/>
          </w:rPr>
          <w:fldChar w:fldCharType="separate"/>
        </w:r>
        <w:r>
          <w:rPr>
            <w:rStyle w:val="czeindeksu"/>
            <w:vanish w:val="false"/>
          </w:rPr>
          <w:tab/>
          <w:t>72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536">
        <w:r>
          <w:rPr>
            <w:rStyle w:val="czeindeksu"/>
          </w:rPr>
          <w:t>Rysunek 42 Macierz konfuzji modelu EfficientNet.</w:t>
        </w:r>
        <w:r>
          <w:rPr>
            <w:webHidden/>
          </w:rPr>
          <w:fldChar w:fldCharType="begin"/>
        </w:r>
        <w:r>
          <w:rPr>
            <w:webHidden/>
          </w:rPr>
          <w:instrText xml:space="preserve">PAGEREF _Toc228645536 \h</w:instrText>
        </w:r>
        <w:r>
          <w:rPr>
            <w:webHidden/>
          </w:rPr>
          <w:fldChar w:fldCharType="separate"/>
        </w:r>
        <w:r>
          <w:rPr>
            <w:rStyle w:val="czeindeksu"/>
            <w:vanish w:val="false"/>
          </w:rPr>
          <w:tab/>
          <w:t>73</w:t>
        </w:r>
        <w:r>
          <w:rPr>
            <w:webHidden/>
          </w:rPr>
          <w:fldChar w:fldCharType="end"/>
        </w:r>
      </w:hyperlink>
      <w:r>
        <w:rPr>
          <w:rStyle w:val="czeindeksu"/>
          <w:vanish w:val="false"/>
        </w:rPr>
        <w:fldChar w:fldCharType="end"/>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Heading1"/>
        <w:numPr>
          <w:ilvl w:val="0"/>
          <w:numId w:val="2"/>
        </w:numPr>
        <w:ind w:hanging="851" w:start="851"/>
        <w:rPr/>
      </w:pPr>
      <w:bookmarkStart w:id="161" w:name="_Toc137420690"/>
      <w:bookmarkStart w:id="162" w:name="_Toc228645139"/>
      <w:r>
        <w:rPr/>
        <w:t>Spis tabel</w:t>
      </w:r>
      <w:bookmarkEnd w:id="161"/>
      <w:bookmarkEnd w:id="162"/>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228645182">
        <w:r>
          <w:rPr>
            <w:rStyle w:val="czeindeksu"/>
          </w:rPr>
          <w:t>Tabela 1 Liczba próbek w zbiorze testowym dla poszczególnych klas</w:t>
        </w:r>
        <w:r>
          <w:rPr>
            <w:webHidden/>
          </w:rPr>
          <w:fldChar w:fldCharType="begin"/>
        </w:r>
        <w:r>
          <w:rPr>
            <w:webHidden/>
          </w:rPr>
          <w:instrText xml:space="preserve">PAGEREF _Toc228645182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3">
        <w:r>
          <w:rPr>
            <w:rStyle w:val="czeindeksu"/>
          </w:rPr>
          <w:t>Tabela 2 Klasy wraz z ilością zdjęć</w:t>
        </w:r>
        <w:r>
          <w:rPr>
            <w:webHidden/>
          </w:rPr>
          <w:fldChar w:fldCharType="begin"/>
        </w:r>
        <w:r>
          <w:rPr>
            <w:webHidden/>
          </w:rPr>
          <w:instrText xml:space="preserve">PAGEREF _Toc228645183 \h</w:instrText>
        </w:r>
        <w:r>
          <w:rPr>
            <w:webHidden/>
          </w:rPr>
          <w:fldChar w:fldCharType="separate"/>
        </w:r>
        <w:r>
          <w:rPr>
            <w:rStyle w:val="czeindeksu"/>
            <w:vanish w:val="false"/>
          </w:rPr>
          <w:tab/>
          <w:t>45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4">
        <w:r>
          <w:rPr>
            <w:rStyle w:val="czeindeksu"/>
          </w:rPr>
          <w:t>Tabela 3 Porównanie architektury i parametrów wybranych modeli sieci neuronowych.</w:t>
        </w:r>
        <w:r>
          <w:rPr>
            <w:webHidden/>
          </w:rPr>
          <w:fldChar w:fldCharType="begin"/>
        </w:r>
        <w:r>
          <w:rPr>
            <w:webHidden/>
          </w:rPr>
          <w:instrText xml:space="preserve">PAGEREF _Toc228645184 \h</w:instrText>
        </w:r>
        <w:r>
          <w:rPr>
            <w:webHidden/>
          </w:rPr>
          <w:fldChar w:fldCharType="separate"/>
        </w:r>
        <w:r>
          <w:rPr>
            <w:rStyle w:val="czeindeksu"/>
            <w:vanish w:val="false"/>
          </w:rPr>
          <w:tab/>
          <w:t>49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5">
        <w:r>
          <w:rPr>
            <w:rStyle w:val="czeindeksu"/>
          </w:rPr>
          <w:t>Tabela 4: Zestawienie wyników klasyfikacji i czasu treningu dla badanych modeli. Najlepszy wynik wyróżniono pogrubieniem.</w:t>
        </w:r>
        <w:r>
          <w:rPr>
            <w:webHidden/>
          </w:rPr>
          <w:fldChar w:fldCharType="begin"/>
        </w:r>
        <w:r>
          <w:rPr>
            <w:webHidden/>
          </w:rPr>
          <w:instrText xml:space="preserve">PAGEREF _Toc228645185 \h</w:instrText>
        </w:r>
        <w:r>
          <w:rPr>
            <w:webHidden/>
          </w:rPr>
          <w:fldChar w:fldCharType="separate"/>
        </w:r>
        <w:r>
          <w:rPr>
            <w:rStyle w:val="czeindeksu"/>
            <w:vanish w:val="false"/>
          </w:rPr>
          <w:tab/>
          <w:t>67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6">
        <w:r>
          <w:rPr>
            <w:rStyle w:val="czeindeksu"/>
          </w:rPr>
          <w:t>Tabela 5: Wyniki testu odporności na zakłócenia. Wartości dokładności na zbiorze testowym po zastosowaniu szumu i rozmycia gaussowskiego wraz ze zmianą względem wyniku bez zakłóceń.</w:t>
        </w:r>
        <w:r>
          <w:rPr>
            <w:webHidden/>
          </w:rPr>
          <w:fldChar w:fldCharType="begin"/>
        </w:r>
        <w:r>
          <w:rPr>
            <w:webHidden/>
          </w:rPr>
          <w:instrText xml:space="preserve">PAGEREF _Toc228645186 \h</w:instrText>
        </w:r>
        <w:r>
          <w:rPr>
            <w:webHidden/>
          </w:rPr>
          <w:fldChar w:fldCharType="separate"/>
        </w:r>
        <w:r>
          <w:rPr>
            <w:rStyle w:val="czeindeksu"/>
            <w:vanish w:val="false"/>
          </w:rPr>
          <w:tab/>
          <w:t>74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7">
        <w:r>
          <w:rPr>
            <w:rStyle w:val="czeindeksu"/>
          </w:rPr>
          <w:t>Tabela 6 Tabela średniego czasu analizy modelów (10 próbek) CPU 12th Gen Intel(R) Core(TM) i5-1250P</w:t>
        </w:r>
        <w:r>
          <w:rPr>
            <w:webHidden/>
          </w:rPr>
          <w:fldChar w:fldCharType="begin"/>
        </w:r>
        <w:r>
          <w:rPr>
            <w:webHidden/>
          </w:rPr>
          <w:instrText xml:space="preserve">PAGEREF _Toc228645187 \h</w:instrText>
        </w:r>
        <w:r>
          <w:rPr>
            <w:webHidden/>
          </w:rPr>
          <w:fldChar w:fldCharType="separate"/>
        </w:r>
        <w:r>
          <w:rPr>
            <w:rStyle w:val="czeindeksu"/>
            <w:vanish w:val="false"/>
          </w:rPr>
          <w:tab/>
          <w:t>76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sz w:val="24"/>
          <w:szCs w:val="24"/>
          <w:lang w:eastAsia="pl-PL"/>
          <w14:ligatures w14:val="standardContextual"/>
        </w:rPr>
      </w:pPr>
      <w:hyperlink w:anchor="_Toc228645188">
        <w:r>
          <w:rPr>
            <w:rStyle w:val="czeindeksu"/>
          </w:rPr>
          <w:t>Tabela 7 Tabela średniego czasu ananlizy modelów (10 próbek) GPU RTX 4060</w:t>
        </w:r>
        <w:r>
          <w:rPr>
            <w:webHidden/>
          </w:rPr>
          <w:fldChar w:fldCharType="begin"/>
        </w:r>
        <w:r>
          <w:rPr>
            <w:webHidden/>
          </w:rPr>
          <w:instrText xml:space="preserve">PAGEREF _Toc228645188 \h</w:instrText>
        </w:r>
        <w:r>
          <w:rPr>
            <w:webHidden/>
          </w:rPr>
          <w:fldChar w:fldCharType="separate"/>
        </w:r>
        <w:r>
          <w:rPr>
            <w:rStyle w:val="czeindeksu"/>
            <w:vanish w:val="false"/>
          </w:rPr>
          <w:tab/>
          <w:t>77</w:t>
        </w:r>
        <w:r>
          <w:rPr>
            <w:webHidden/>
          </w:rPr>
          <w:fldChar w:fldCharType="end"/>
        </w:r>
      </w:hyperlink>
      <w:r>
        <w:rPr>
          <w:rStyle w:val="czeindeksu"/>
          <w:vanish w:val="false"/>
        </w:rPr>
        <w:fldChar w:fldCharType="end"/>
      </w:r>
    </w:p>
    <w:p>
      <w:pPr>
        <w:pStyle w:val="TableofFigures"/>
        <w:tabs>
          <w:tab w:val="clear" w:pos="708"/>
          <w:tab w:val="right" w:pos="9062" w:leader="dot"/>
        </w:tabs>
        <w:spacing w:lineRule="auto" w:line="360"/>
        <w:rPr>
          <w:rFonts w:ascii="Times New Roman" w:hAnsi="Times New Roman"/>
        </w:rPr>
        <w:sectPr>
          <w:footerReference w:type="even" r:id="rId46"/>
          <w:footerReference w:type="default" r:id="rId47"/>
          <w:footerReference w:type="first" r:id="rId48"/>
          <w:type w:val="nextPage"/>
          <w:pgSz w:w="11906" w:h="16838"/>
          <w:pgMar w:left="1417" w:right="1417" w:gutter="0" w:header="0" w:top="1417" w:footer="708" w:bottom="1417"/>
          <w:pgNumType w:start="1" w:fmt="decimal"/>
          <w:formProt w:val="false"/>
          <w:titlePg/>
          <w:textDirection w:val="lrTb"/>
          <w:docGrid w:type="default" w:linePitch="360" w:charSpace="0"/>
        </w:sectPr>
      </w:pPr>
      <w:r>
        <w:rPr>
          <w:rFonts w:ascii="Times New Roman" w:hAnsi="Times New Roman"/>
        </w:rPr>
      </w:r>
    </w:p>
    <w:p>
      <w:pPr>
        <w:pStyle w:val="Normal"/>
        <w:spacing w:lineRule="auto" w:line="259" w:before="0" w:after="160"/>
        <w:ind w:hanging="0"/>
        <w:jc w:val="start"/>
        <w:rPr/>
      </w:pPr>
      <w:r>
        <w:rPr/>
      </w:r>
    </w:p>
    <w:sectPr>
      <w:footerReference w:type="default" r:id="rId49"/>
      <w:footerReference w:type="first" r:id="rId50"/>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roman"/>
    <w:pitch w:val="variable"/>
  </w:font>
  <w:font w:name="Liberation Sans">
    <w:altName w:val="Arial"/>
    <w:charset w:val="ee" w:characterSet="windows-1250"/>
    <w:family w:val="swiss"/>
    <w:pitch w:val="variable"/>
  </w:font>
  <w:font w:name="Calibri Light">
    <w:charset w:val="ee" w:characterSet="windows-1250"/>
    <w:family w:val="roman"/>
    <w:pitch w:val="variable"/>
  </w:font>
  <w:font w:name="Calibri">
    <w:charset w:val="ee" w:characterSet="windows-1250"/>
    <w:family w:val="swiss"/>
    <w:pitch w:val="variable"/>
  </w:font>
  <w:font w:name="Cambria Math">
    <w:charset w:val="ee" w:characterSet="windows-125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89</w:t>
        </w:r>
        <w:r>
          <w:rPr/>
          <w:fldChar w:fldCharType="end"/>
        </w:r>
      </w:p>
    </w:sdtContent>
  </w:sdt>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0"/>
        </w:tabs>
        <w:ind w:start="502" w:hanging="360"/>
      </w:pPr>
      <w:rPr/>
    </w:lvl>
    <w:lvl w:ilvl="1">
      <w:start w:val="1"/>
      <w:numFmt w:val="decimal"/>
      <w:isLgl/>
      <w:lvlText w:val="%2."/>
      <w:lvlJc w:val="start"/>
      <w:pPr>
        <w:tabs>
          <w:tab w:val="num" w:pos="0"/>
        </w:tabs>
        <w:ind w:start="1459" w:hanging="390"/>
      </w:pPr>
      <w:rPr>
        <w:rFonts w:ascii="Times New Roman" w:hAnsi="Times New Roman" w:eastAsia="Calibri" w:cs="Arial" w:cstheme="minorBidi" w:eastAsiaTheme="minorHAnsi"/>
      </w:rPr>
    </w:lvl>
    <w:lvl w:ilvl="2">
      <w:start w:val="1"/>
      <w:numFmt w:val="decimal"/>
      <w:isLgl/>
      <w:lvlText w:val="%1.%2.%3"/>
      <w:lvlJc w:val="start"/>
      <w:pPr>
        <w:tabs>
          <w:tab w:val="num" w:pos="0"/>
        </w:tabs>
        <w:ind w:start="1789" w:hanging="720"/>
      </w:pPr>
      <w:rPr/>
    </w:lvl>
    <w:lvl w:ilvl="3">
      <w:start w:val="1"/>
      <w:numFmt w:val="decimal"/>
      <w:isLgl/>
      <w:lvlText w:val="%1.%2.%3.%4"/>
      <w:lvlJc w:val="start"/>
      <w:pPr>
        <w:tabs>
          <w:tab w:val="num" w:pos="0"/>
        </w:tabs>
        <w:ind w:start="1789" w:hanging="720"/>
      </w:pPr>
      <w:rPr/>
    </w:lvl>
    <w:lvl w:ilvl="4">
      <w:start w:val="1"/>
      <w:numFmt w:val="decimal"/>
      <w:isLgl/>
      <w:lvlText w:val="%1.%2.%3.%4.%5"/>
      <w:lvlJc w:val="start"/>
      <w:pPr>
        <w:tabs>
          <w:tab w:val="num" w:pos="0"/>
        </w:tabs>
        <w:ind w:start="2149" w:hanging="1080"/>
      </w:pPr>
      <w:rPr/>
    </w:lvl>
    <w:lvl w:ilvl="5">
      <w:start w:val="1"/>
      <w:numFmt w:val="decimal"/>
      <w:isLgl/>
      <w:lvlText w:val="%1.%2.%3.%4.%5.%6"/>
      <w:lvlJc w:val="start"/>
      <w:pPr>
        <w:tabs>
          <w:tab w:val="num" w:pos="0"/>
        </w:tabs>
        <w:ind w:start="2149" w:hanging="1080"/>
      </w:pPr>
      <w:rPr/>
    </w:lvl>
    <w:lvl w:ilvl="6">
      <w:start w:val="1"/>
      <w:numFmt w:val="decimal"/>
      <w:isLgl/>
      <w:lvlText w:val="%1.%2.%3.%4.%5.%6.%7"/>
      <w:lvlJc w:val="start"/>
      <w:pPr>
        <w:tabs>
          <w:tab w:val="num" w:pos="0"/>
        </w:tabs>
        <w:ind w:start="2509" w:hanging="1440"/>
      </w:pPr>
      <w:rPr/>
    </w:lvl>
    <w:lvl w:ilvl="7">
      <w:start w:val="1"/>
      <w:numFmt w:val="decimal"/>
      <w:isLgl/>
      <w:lvlText w:val="%1.%2.%3.%4.%5.%6.%7.%8"/>
      <w:lvlJc w:val="start"/>
      <w:pPr>
        <w:tabs>
          <w:tab w:val="num" w:pos="0"/>
        </w:tabs>
        <w:ind w:start="2509" w:hanging="1440"/>
      </w:pPr>
      <w:rPr/>
    </w:lvl>
    <w:lvl w:ilvl="8">
      <w:start w:val="1"/>
      <w:numFmt w:val="decimal"/>
      <w:isLgl/>
      <w:lvlText w:val="%1.%2.%3.%4.%5.%6.%7.%8.%9"/>
      <w:lvlJc w:val="start"/>
      <w:pPr>
        <w:tabs>
          <w:tab w:val="num" w:pos="0"/>
        </w:tabs>
        <w:ind w:start="2869" w:hanging="1800"/>
      </w:pPr>
      <w:rPr/>
    </w:lvl>
  </w:abstractNum>
  <w:abstractNum w:abstractNumId="3">
    <w:lvl w:ilvl="0">
      <w:start w:val="2"/>
      <w:numFmt w:val="decimal"/>
      <w:lvlText w:val="%1."/>
      <w:lvlJc w:val="start"/>
      <w:pPr>
        <w:tabs>
          <w:tab w:val="num" w:pos="0"/>
        </w:tabs>
        <w:ind w:start="540" w:hanging="540"/>
      </w:pPr>
      <w:rPr/>
    </w:lvl>
    <w:lvl w:ilvl="1">
      <w:start w:val="1"/>
      <w:numFmt w:val="decimal"/>
      <w:lvlText w:val="%1.%2."/>
      <w:lvlJc w:val="start"/>
      <w:pPr>
        <w:tabs>
          <w:tab w:val="num" w:pos="0"/>
        </w:tabs>
        <w:ind w:start="1571" w:hanging="720"/>
      </w:pPr>
      <w:rPr/>
    </w:lvl>
    <w:lvl w:ilvl="2">
      <w:start w:val="1"/>
      <w:numFmt w:val="decimal"/>
      <w:lvlText w:val="%1.%2.%3."/>
      <w:lvlJc w:val="start"/>
      <w:pPr>
        <w:tabs>
          <w:tab w:val="num" w:pos="0"/>
        </w:tabs>
        <w:ind w:start="1222" w:hanging="108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2160" w:hanging="216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4">
    <w:lvl w:ilvl="0">
      <w:start w:val="1"/>
      <w:numFmt w:val="decimal"/>
      <w:lvlText w:val="%1."/>
      <w:lvlJc w:val="start"/>
      <w:pPr>
        <w:tabs>
          <w:tab w:val="num" w:pos="0"/>
        </w:tabs>
        <w:ind w:start="1287" w:hanging="360"/>
      </w:pPr>
      <w:rPr/>
    </w:lvl>
    <w:lvl w:ilvl="1">
      <w:start w:val="1"/>
      <w:numFmt w:val="lowerLetter"/>
      <w:lvlText w:val="%2."/>
      <w:lvlJc w:val="start"/>
      <w:pPr>
        <w:tabs>
          <w:tab w:val="num" w:pos="0"/>
        </w:tabs>
        <w:ind w:start="2007" w:hanging="360"/>
      </w:pPr>
      <w:rPr/>
    </w:lvl>
    <w:lvl w:ilvl="2">
      <w:start w:val="1"/>
      <w:numFmt w:val="lowerRoman"/>
      <w:lvlText w:val="%3."/>
      <w:lvlJc w:val="end"/>
      <w:pPr>
        <w:tabs>
          <w:tab w:val="num" w:pos="0"/>
        </w:tabs>
        <w:ind w:start="2727" w:hanging="180"/>
      </w:pPr>
      <w:rPr/>
    </w:lvl>
    <w:lvl w:ilvl="3">
      <w:start w:val="1"/>
      <w:numFmt w:val="decimal"/>
      <w:lvlText w:val="%4."/>
      <w:lvlJc w:val="start"/>
      <w:pPr>
        <w:tabs>
          <w:tab w:val="num" w:pos="0"/>
        </w:tabs>
        <w:ind w:start="3447" w:hanging="360"/>
      </w:pPr>
      <w:rPr/>
    </w:lvl>
    <w:lvl w:ilvl="4">
      <w:start w:val="1"/>
      <w:numFmt w:val="lowerLetter"/>
      <w:lvlText w:val="%5."/>
      <w:lvlJc w:val="start"/>
      <w:pPr>
        <w:tabs>
          <w:tab w:val="num" w:pos="0"/>
        </w:tabs>
        <w:ind w:start="4167" w:hanging="360"/>
      </w:pPr>
      <w:rPr/>
    </w:lvl>
    <w:lvl w:ilvl="5">
      <w:start w:val="1"/>
      <w:numFmt w:val="lowerRoman"/>
      <w:lvlText w:val="%6."/>
      <w:lvlJc w:val="end"/>
      <w:pPr>
        <w:tabs>
          <w:tab w:val="num" w:pos="0"/>
        </w:tabs>
        <w:ind w:start="4887" w:hanging="180"/>
      </w:pPr>
      <w:rPr/>
    </w:lvl>
    <w:lvl w:ilvl="6">
      <w:start w:val="1"/>
      <w:numFmt w:val="decimal"/>
      <w:lvlText w:val="%7."/>
      <w:lvlJc w:val="start"/>
      <w:pPr>
        <w:tabs>
          <w:tab w:val="num" w:pos="0"/>
        </w:tabs>
        <w:ind w:start="5607" w:hanging="360"/>
      </w:pPr>
      <w:rPr/>
    </w:lvl>
    <w:lvl w:ilvl="7">
      <w:start w:val="1"/>
      <w:numFmt w:val="lowerLetter"/>
      <w:lvlText w:val="%8."/>
      <w:lvlJc w:val="start"/>
      <w:pPr>
        <w:tabs>
          <w:tab w:val="num" w:pos="0"/>
        </w:tabs>
        <w:ind w:start="6327" w:hanging="360"/>
      </w:pPr>
      <w:rPr/>
    </w:lvl>
    <w:lvl w:ilvl="8">
      <w:start w:val="1"/>
      <w:numFmt w:val="lowerRoman"/>
      <w:lvlText w:val="%9."/>
      <w:lvlJc w:val="end"/>
      <w:pPr>
        <w:tabs>
          <w:tab w:val="num" w:pos="0"/>
        </w:tabs>
        <w:ind w:start="7047" w:hanging="180"/>
      </w:pPr>
      <w:rPr/>
    </w:lvl>
  </w:abstractNum>
  <w:abstractNum w:abstractNumId="5">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6">
    <w:lvl w:ilvl="0">
      <w:start w:val="1"/>
      <w:numFmt w:val="decimal"/>
      <w:lvlText w:val="%1."/>
      <w:lvlJc w:val="start"/>
      <w:pPr>
        <w:tabs>
          <w:tab w:val="num" w:pos="0"/>
        </w:tabs>
        <w:ind w:start="360" w:hanging="360"/>
      </w:pPr>
      <w:rPr>
        <w:sz w:val="36"/>
      </w:rPr>
    </w:lvl>
    <w:lvl w:ilvl="1">
      <w:start w:val="1"/>
      <w:numFmt w:val="decimal"/>
      <w:lvlText w:val="%1.%2."/>
      <w:lvlJc w:val="start"/>
      <w:pPr>
        <w:tabs>
          <w:tab w:val="num" w:pos="0"/>
        </w:tabs>
        <w:ind w:start="1069" w:hanging="360"/>
      </w:pPr>
      <w:rPr>
        <w:sz w:val="32"/>
        <w:szCs w:val="32"/>
      </w:rPr>
    </w:lvl>
    <w:lvl w:ilvl="2">
      <w:start w:val="1"/>
      <w:numFmt w:val="decimal"/>
      <w:lvlText w:val="%1.%2.%3."/>
      <w:lvlJc w:val="start"/>
      <w:pPr>
        <w:tabs>
          <w:tab w:val="num" w:pos="0"/>
        </w:tabs>
        <w:ind w:start="2138" w:hanging="720"/>
      </w:pPr>
      <w:rPr>
        <w:sz w:val="28"/>
        <w:szCs w:val="28"/>
      </w:rPr>
    </w:lvl>
    <w:lvl w:ilvl="3">
      <w:start w:val="1"/>
      <w:numFmt w:val="decimal"/>
      <w:lvlText w:val="%1.%2.%3.%4."/>
      <w:lvlJc w:val="start"/>
      <w:pPr>
        <w:tabs>
          <w:tab w:val="num" w:pos="0"/>
        </w:tabs>
        <w:ind w:start="2847" w:hanging="720"/>
      </w:pPr>
      <w:rPr/>
    </w:lvl>
    <w:lvl w:ilvl="4">
      <w:start w:val="1"/>
      <w:numFmt w:val="decimal"/>
      <w:lvlText w:val="%1.%2.%3.%4.%5."/>
      <w:lvlJc w:val="start"/>
      <w:pPr>
        <w:tabs>
          <w:tab w:val="num" w:pos="0"/>
        </w:tabs>
        <w:ind w:start="3916" w:hanging="1080"/>
      </w:pPr>
      <w:rPr/>
    </w:lvl>
    <w:lvl w:ilvl="5">
      <w:start w:val="1"/>
      <w:numFmt w:val="decimal"/>
      <w:lvlText w:val="%1.%2.%3.%4.%5.%6."/>
      <w:lvlJc w:val="start"/>
      <w:pPr>
        <w:tabs>
          <w:tab w:val="num" w:pos="0"/>
        </w:tabs>
        <w:ind w:start="4625" w:hanging="1080"/>
      </w:pPr>
      <w:rPr/>
    </w:lvl>
    <w:lvl w:ilvl="6">
      <w:start w:val="1"/>
      <w:numFmt w:val="decimal"/>
      <w:lvlText w:val="%1.%2.%3.%4.%5.%6.%7."/>
      <w:lvlJc w:val="start"/>
      <w:pPr>
        <w:tabs>
          <w:tab w:val="num" w:pos="0"/>
        </w:tabs>
        <w:ind w:start="5694" w:hanging="1440"/>
      </w:pPr>
      <w:rPr/>
    </w:lvl>
    <w:lvl w:ilvl="7">
      <w:start w:val="1"/>
      <w:numFmt w:val="decimal"/>
      <w:lvlText w:val="%1.%2.%3.%4.%5.%6.%7.%8."/>
      <w:lvlJc w:val="start"/>
      <w:pPr>
        <w:tabs>
          <w:tab w:val="num" w:pos="0"/>
        </w:tabs>
        <w:ind w:start="6403" w:hanging="1440"/>
      </w:pPr>
      <w:rPr/>
    </w:lvl>
    <w:lvl w:ilvl="8">
      <w:start w:val="1"/>
      <w:numFmt w:val="decimal"/>
      <w:lvlText w:val="%1.%2.%3.%4.%5.%6.%7.%8.%9."/>
      <w:lvlJc w:val="start"/>
      <w:pPr>
        <w:tabs>
          <w:tab w:val="num" w:pos="0"/>
        </w:tabs>
        <w:ind w:start="7472" w:hanging="1800"/>
      </w:pPr>
      <w:rPr/>
    </w:lvl>
  </w:abstractNum>
  <w:abstractNum w:abstractNumId="7">
    <w:lvl w:ilvl="0">
      <w:start w:val="1"/>
      <w:numFmt w:val="decimal"/>
      <w:lvlText w:val="%1"/>
      <w:lvlJc w:val="start"/>
      <w:pPr>
        <w:tabs>
          <w:tab w:val="num" w:pos="0"/>
        </w:tabs>
        <w:ind w:start="450" w:hanging="45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8">
    <w:lvl w:ilvl="0">
      <w:start w:val="3"/>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9">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0">
    <w:lvl w:ilvl="0">
      <w:start w:val="1"/>
      <w:numFmt w:val="decimal"/>
      <w:lvlText w:val="%1"/>
      <w:lvlJc w:val="start"/>
      <w:pPr>
        <w:tabs>
          <w:tab w:val="num" w:pos="0"/>
        </w:tabs>
        <w:ind w:start="732" w:hanging="732"/>
      </w:pPr>
      <w:rPr/>
    </w:lvl>
    <w:lvl w:ilvl="1">
      <w:start w:val="1"/>
      <w:numFmt w:val="decimal"/>
      <w:lvlText w:val="%1.%2"/>
      <w:lvlJc w:val="start"/>
      <w:pPr>
        <w:tabs>
          <w:tab w:val="num" w:pos="0"/>
        </w:tabs>
        <w:ind w:start="732" w:hanging="732"/>
      </w:pPr>
      <w:rPr/>
    </w:lvl>
    <w:lvl w:ilvl="2">
      <w:start w:val="2"/>
      <w:numFmt w:val="decimal"/>
      <w:lvlText w:val="%1.%2.%3"/>
      <w:lvlJc w:val="start"/>
      <w:pPr>
        <w:tabs>
          <w:tab w:val="num" w:pos="0"/>
        </w:tabs>
        <w:ind w:start="732" w:hanging="732"/>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1">
    <w:lvl w:ilvl="0">
      <w:start w:val="1"/>
      <w:numFmt w:val="decimal"/>
      <w:lvlText w:val="%1"/>
      <w:lvlJc w:val="start"/>
      <w:pPr>
        <w:tabs>
          <w:tab w:val="num" w:pos="0"/>
        </w:tabs>
        <w:ind w:start="672" w:hanging="672"/>
      </w:pPr>
      <w:rPr/>
    </w:lvl>
    <w:lvl w:ilvl="1">
      <w:start w:val="2"/>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160" w:hanging="2160"/>
      </w:pPr>
      <w:rPr/>
    </w:lvl>
  </w:abstractNum>
  <w:abstractNum w:abstractNumId="12">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6">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start w:val="4"/>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75"/>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start="851"/>
      <w:jc w:val="start"/>
      <w:outlineLvl w:val="0"/>
    </w:pPr>
    <w:rPr>
      <w:rFonts w:eastAsia="游ゴシック Light" w:cs="Times New Roman"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start"/>
      <w:outlineLvl w:val="1"/>
    </w:pPr>
    <w:rPr>
      <w:rFonts w:eastAsia="游ゴシック Light" w:cs="Times New Roman"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游ゴシック Light" w:cs="Times New Roman"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start"/>
      <w:outlineLvl w:val="3"/>
    </w:pPr>
    <w:rPr>
      <w:rFonts w:eastAsia="游ゴシック Light" w:cs="Times New Roman"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游ゴシック Light" w:cs="Times New Roman" w:cstheme="majorBidi" w:eastAsiaTheme="majorEastAsia"/>
      <w:b/>
    </w:rPr>
  </w:style>
  <w:style w:type="character" w:styleId="DefaultParagraphFont" w:default="1">
    <w:name w:val="Default Paragraph Font"/>
    <w:uiPriority w:val="1"/>
    <w:semiHidden/>
    <w:unhideWhenUsed/>
    <w:qFormat/>
    <w:rPr/>
  </w:style>
  <w:style w:type="character" w:styleId="Nagwek1Znak" w:customStyle="1">
    <w:name w:val="Nagłówek 1 Znak"/>
    <w:basedOn w:val="DefaultParagraphFont"/>
    <w:uiPriority w:val="9"/>
    <w:qFormat/>
    <w:rsid w:val="00547614"/>
    <w:rPr>
      <w:rFonts w:ascii="Times New Roman" w:hAnsi="Times New Roman" w:eastAsia="游ゴシック Light" w:cs="Times New Roman"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游ゴシック Light" w:cs="Times New Roman"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游ゴシック Light" w:cs="Times New Roman"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basedOn w:val="DefaultParagraphFont"/>
    <w:uiPriority w:val="99"/>
    <w:semiHidden/>
    <w:unhideWhenUsed/>
    <w:qFormat/>
    <w:rsid w:val="00d164ca"/>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TekstpodstawowyZnak" w:customStyle="1">
    <w:name w:val="Tekst podstawowy Znak"/>
    <w:basedOn w:val="DefaultParagraphFont"/>
    <w:qFormat/>
    <w:rsid w:val="00d67bb7"/>
    <w:rPr>
      <w:rFonts w:ascii="Times New Roman" w:hAnsi="Times New Roman" w:eastAsia="Calibri" w:cs="Arial"/>
      <w:color w:themeColor="text1" w:val="000000"/>
      <w:sz w:val="24"/>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kstpodstawowyZnak"/>
    <w:rsid w:val="00d67bb7"/>
    <w:pPr>
      <w:spacing w:lineRule="auto" w:line="276" w:before="0" w:after="140"/>
    </w:pPr>
    <w:rPr>
      <w:rFonts w:eastAsia="Calibri" w:cs="Arial"/>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star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star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start="714"/>
    </w:pPr>
    <w:rPr>
      <w:rFonts w:eastAsia="Calibri" w:cs="Times New Roman"/>
    </w:rPr>
  </w:style>
  <w:style w:type="paragraph" w:styleId="ListParagraph">
    <w:name w:val="List Paragraph"/>
    <w:basedOn w:val="Normal"/>
    <w:uiPriority w:val="34"/>
    <w:qFormat/>
    <w:pPr>
      <w:spacing w:before="0" w:after="0"/>
      <w:ind w:star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star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star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star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star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star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star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bidi w:val="0"/>
      <w:spacing w:lineRule="auto" w:line="240" w:before="0" w:after="0"/>
      <w:jc w:val="star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Zawartotabeliuser" w:customStyle="1">
    <w:name w:val="Zawartość tabeli (user)"/>
    <w:basedOn w:val="Normal"/>
    <w:qFormat/>
    <w:rsid w:val="00655543"/>
    <w:pPr>
      <w:widowControl w:val="false"/>
      <w:suppressLineNumbers/>
    </w:pPr>
    <w:rPr>
      <w:rFonts w:eastAsia="Calibri" w:cs="Arial"/>
    </w:rPr>
  </w:style>
  <w:style w:type="paragraph" w:styleId="Zawartotabeli" w:customStyle="1">
    <w:name w:val="Zawartość tabeli"/>
    <w:basedOn w:val="Normal"/>
    <w:qFormat/>
    <w:rsid w:val="00f44ad7"/>
    <w:pPr>
      <w:widowControl w:val="false"/>
      <w:suppressLineNumbers/>
    </w:pPr>
    <w:rPr>
      <w:rFonts w:eastAsia="Calibri" w:cs="Arial"/>
    </w:rPr>
  </w:style>
  <w:style w:type="paragraph" w:styleId="Tabela" w:customStyle="1">
    <w:name w:val="Tabela"/>
    <w:basedOn w:val="Caption"/>
    <w:qFormat/>
    <w:rsid w:val="00d62e77"/>
    <w:pPr/>
    <w:rPr/>
  </w:style>
  <w:style w:type="paragraph" w:styleId="Zawartoramki">
    <w:name w:val="Zawartość ramki"/>
    <w:basedOn w:val="Normal"/>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sv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jpe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jpe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footer" Target="footer4.xml"/><Relationship Id="rId50" Type="http://schemas.openxmlformats.org/officeDocument/2006/relationships/footer" Target="footer5.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glossaryDocument" Target="glossary/document.xml"/><Relationship Id="rId56" Type="http://schemas.openxmlformats.org/officeDocument/2006/relationships/customXml" Target="../customXml/item1.xml"/><Relationship Id="rId57" Type="http://schemas.openxmlformats.org/officeDocument/2006/relationships/customXml" Target="../customXml/item2.xml"/><Relationship Id="rId58" Type="http://schemas.openxmlformats.org/officeDocument/2006/relationships/customXml" Target="../customXml/item3.xml"/><Relationship Id="rId59"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0A53E3"/>
    <w:rsid w:val="000E7C57"/>
    <w:rsid w:val="00115C42"/>
    <w:rsid w:val="00156FEF"/>
    <w:rsid w:val="001C7F91"/>
    <w:rsid w:val="001F5CD8"/>
    <w:rsid w:val="00292FAA"/>
    <w:rsid w:val="002B50FC"/>
    <w:rsid w:val="00335A6A"/>
    <w:rsid w:val="003E632D"/>
    <w:rsid w:val="00452D6B"/>
    <w:rsid w:val="00463696"/>
    <w:rsid w:val="0055348C"/>
    <w:rsid w:val="005661B5"/>
    <w:rsid w:val="005F16E5"/>
    <w:rsid w:val="006365FA"/>
    <w:rsid w:val="00655024"/>
    <w:rsid w:val="006A7118"/>
    <w:rsid w:val="006B63E8"/>
    <w:rsid w:val="006D3579"/>
    <w:rsid w:val="0071635D"/>
    <w:rsid w:val="0071664C"/>
    <w:rsid w:val="007D36E7"/>
    <w:rsid w:val="00861D97"/>
    <w:rsid w:val="00877AD9"/>
    <w:rsid w:val="008B2F85"/>
    <w:rsid w:val="008E1D7A"/>
    <w:rsid w:val="008E7A7F"/>
    <w:rsid w:val="009374D0"/>
    <w:rsid w:val="00955271"/>
    <w:rsid w:val="009974F4"/>
    <w:rsid w:val="009D6003"/>
    <w:rsid w:val="00A30BEF"/>
    <w:rsid w:val="00A76CFA"/>
    <w:rsid w:val="00AF11AE"/>
    <w:rsid w:val="00B9076F"/>
    <w:rsid w:val="00BA7885"/>
    <w:rsid w:val="00C34C4C"/>
    <w:rsid w:val="00C44D41"/>
    <w:rsid w:val="00C450F0"/>
    <w:rsid w:val="00CB3EDC"/>
    <w:rsid w:val="00CF2B74"/>
    <w:rsid w:val="00CF3BE8"/>
    <w:rsid w:val="00D57D47"/>
    <w:rsid w:val="00D70768"/>
    <w:rsid w:val="00DD2A55"/>
    <w:rsid w:val="00DD5738"/>
    <w:rsid w:val="00E11551"/>
    <w:rsid w:val="00EE2BF8"/>
    <w:rsid w:val="00F23403"/>
    <w:rsid w:val="00F53E57"/>
    <w:rsid w:val="00F678C3"/>
    <w:rsid w:val="00F732A7"/>
    <w:rsid w:val="00FB7FAF"/>
    <w:rsid w:val="00FC2763"/>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D3579"/>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4</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13</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1</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18</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15</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16</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17</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20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21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14</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19</b:RefOrder>
  </b:Source>
  <b:Source>
    <b:Tag>ahm23</b:Tag>
    <b:SourceType>DocumentFromInternetSite</b:SourceType>
    <b:Guid>{F96B1902-19B0-45DE-A23D-FCB51F4534DA}</b:Guid>
    <b:Title>Skin Lesions Classification Dataset</b:Title>
    <b:Year>2023</b:Year>
    <b:Author>
      <b:Author>
        <b:NameList>
          <b:Person>
            <b:Last>ahmedxc4</b:Last>
          </b:Person>
        </b:NameList>
      </b:Author>
    </b:Author>
    <b:YearAccessed>2026</b:YearAccessed>
    <b:MonthAccessed>03</b:MonthAccessed>
    <b:DayAccessed>12</b:DayAccessed>
    <b:URL>https://www.kaggle.com/datasets/ahmedxc4/skin-ds</b:URL>
    <b:RefOrder>3</b:RefOrder>
  </b:Source>
  <b:Source>
    <b:Tag>Xia23</b:Tag>
    <b:SourceType>ArticleInAPeriodical</b:SourceType>
    <b:Guid>{5624B02A-DAB3-4B21-861A-B6B8E84B02BC}</b:Guid>
    <b:Year>2023</b:Year>
    <b:Author>
      <b:Author>
        <b:NameList>
          <b:Person>
            <b:Last>Xiao</b:Last>
            <b:First>Y.</b:First>
          </b:Person>
          <b:Person>
            <b:Last>Liao</b:Last>
            <b:First>M.</b:First>
          </b:Person>
          <b:Person>
            <b:Last>Wang</b:Last>
            <b:First>J.</b:First>
          </b:Person>
          <b:Person>
            <b:Last>Cao</b:Last>
            <b:First>S.</b:First>
          </b:Person>
        </b:NameList>
      </b:Author>
    </b:Author>
    <b:PeriodicalTitle>Frontiers in Oncology</b:PeriodicalTitle>
    <b:Pages>1150422</b:Pages>
    <b:Volume>13</b:Volume>
    <b:DOI> 10.3389/fonc.2023.1150422</b:DOI>
    <b:Title>From actinic keratosis to cutaneous squamous cell carcinoma: the key pathogenesis and treatments</b:Title>
    <b:RefOrder>5</b:RefOrder>
  </b:Source>
  <b:Source>
    <b:Tag>Sal23</b:Tag>
    <b:SourceType>BookSection</b:SourceType>
    <b:Guid>{9CA322BF-A52D-49C8-937B-F28B926D9479}</b:Guid>
    <b:Title>Herpes Simplex Type 1</b:Title>
    <b:Year>2023</b:Year>
    <b:Author>
      <b:Author>
        <b:NameList>
          <b:Person>
            <b:Last>Saleh</b:Last>
            <b:First>D.</b:First>
          </b:Person>
          <b:Person>
            <b:Last>Yarrarapu</b:Last>
            <b:First>S.</b:First>
            <b:Middle>N. S.</b:Middle>
          </b:Person>
          <b:Person>
            <b:Last>Sharma</b:Last>
            <b:First>S.</b:First>
          </b:Person>
        </b:NameList>
      </b:Author>
      <b:BookAuthor>
        <b:NameList>
          <b:Person>
            <b:Last>Publishing</b:Last>
            <b:First>StatPearls</b:First>
          </b:Person>
        </b:NameList>
      </b:BookAuthor>
    </b:Author>
    <b:BookTitle>StatPearls</b:BookTitle>
    <b:City>Treasure Island (FL)</b:City>
    <b:Publisher>StatPearls Publishing</b:Publisher>
    <b:URL>https://www.ncbi.nlm.nih.gov/books/NBK470538/</b:URL>
    <b:RefOrder>22</b:RefOrder>
  </b:Source>
  <b:Source>
    <b:Tag>Yad25</b:Tag>
    <b:SourceType>ArticleInAPeriodical</b:SourceType>
    <b:Guid>{DAD1A495-1469-4229-857E-80F287C6A94C}</b:Guid>
    <b:Author>
      <b:Author>
        <b:NameList>
          <b:Person>
            <b:Last>Yadav</b:Last>
            <b:First>R.</b:First>
          </b:Person>
          <b:Person>
            <b:Last>Chaudhary</b:Last>
            <b:First>A.</b:First>
            <b:Middle>A.</b:Middle>
          </b:Person>
          <b:Person>
            <b:Last>Srivastava</b:Last>
            <b:First>U.</b:First>
          </b:Person>
          <b:Person>
            <b:Last>Gupta</b:Last>
            <b:First>S.</b:First>
          </b:Person>
          <b:Person>
            <b:Last>Rustagi</b:Last>
            <b:First>S.</b:First>
          </b:Person>
          <b:Person>
            <b:Last>Rudayni</b:Last>
            <b:First>H.</b:First>
            <b:Middle>A.</b:Middle>
          </b:Person>
          <b:Person>
            <b:Last>Kashyap</b:Last>
            <b:First>V.</b:First>
            <b:Middle>K.</b:Middle>
          </b:Person>
          <b:Person>
            <b:Last>Kumar</b:Last>
            <b:First>S.</b:First>
          </b:Person>
        </b:NameList>
      </b:Author>
    </b:Author>
    <b:PeriodicalTitle>Viruses</b:PeriodicalTitle>
    <b:Year>2025</b:Year>
    <b:Pages>753</b:Pages>
    <b:Volume>17</b:Volume>
    <b:DOI>10.3390/v17060753</b:DOI>
    <b:Title>Mpox 2022 to 2025 Update: A Comprehensive Review on Its Complications, Transmission, Diagnosis, and Treatment</b:Title>
    <b:RefOrder>6</b:RefOrder>
  </b:Source>
  <b:Source>
    <b:Tag>Sal25</b:Tag>
    <b:SourceType>BookSection</b:SourceType>
    <b:Guid>{15CB950F-2EF0-41AD-83A2-051C6D2844DB}</b:Guid>
    <b:Author>
      <b:Author>
        <b:NameList>
          <b:Person>
            <b:Last>Saleh</b:Last>
            <b:First>H.</b:First>
            <b:Middle>M.</b:Middle>
          </b:Person>
          <b:Person>
            <b:Last>Ayoade</b:Last>
            <b:First>F.</b:First>
          </b:Person>
          <b:Person>
            <b:Last>Kumar</b:Last>
            <b:First>S.</b:First>
          </b:Person>
        </b:NameList>
      </b:Author>
    </b:Author>
    <b:Title>Varicella-Zoster Virus (Chickenpox)</b:Title>
    <b:Year>2025</b:Year>
    <b:City>Treasure Island (FL)</b:City>
    <b:Publisher>StatPearls Publishing</b:Publisher>
    <b:URL>https://www.ncbi.nlm.nih.gov/books/NBK448191/</b:URL>
    <b:RefOrder>7</b:RefOrder>
  </b:Source>
  <b:Source>
    <b:Tag>Kon25</b:Tag>
    <b:SourceType>InternetSite</b:SourceType>
    <b:Guid>{69EC372E-1D69-4D2A-AC4B-7C75E6B82CA5}</b:Guid>
    <b:Author>
      <b:Author>
        <b:NameList>
          <b:Person>
            <b:Last>Kondamudi</b:Last>
            <b:First>Noah</b:First>
            <b:Middle>P.</b:Middle>
          </b:Person>
          <b:Person>
            <b:Last>Tobin</b:Last>
            <b:First>Ellis</b:First>
            <b:Middle>H.</b:Middle>
          </b:Person>
          <b:Person>
            <b:Last>Waymack.</b:Last>
            <b:First>James</b:First>
            <b:Middle>R.</b:Middle>
          </b:Person>
        </b:NameList>
      </b:Author>
    </b:Author>
    <b:Title>Measles</b:Title>
    <b:Year>2025</b:Year>
    <b:ProductionCompany>StatPearls Publishing</b:ProductionCompany>
    <b:YearAccessed>02.05.2026</b:YearAccessed>
    <b:URL>https://www.ncbi.nlm.nih.gov/books/NBK448068/</b:URL>
    <b:RefOrder>8</b:RefOrder>
  </b:Source>
  <b:Source>
    <b:Tag>Gue23</b:Tag>
    <b:SourceType>InternetSite</b:SourceType>
    <b:Guid>{581B711F-52F4-4FAD-9031-FBBBEF4270D0}</b:Guid>
    <b:Author>
      <b:Author>
        <b:NameList>
          <b:Person>
            <b:Last>Guerra</b:Last>
            <b:First>Amanda</b:First>
            <b:Middle>M.</b:Middle>
          </b:Person>
          <b:Person>
            <b:Last>Orille</b:Last>
            <b:First>Emily</b:First>
          </b:Person>
          <b:Person>
            <b:Last>Waseem.</b:Last>
            <b:First>Muhammad</b:First>
          </b:Person>
        </b:NameList>
      </b:Author>
    </b:Author>
    <b:Title>Hand, Foot, and Mouth Disease</b:Title>
    <b:ProductionCompany>StatPearls Publishing</b:ProductionCompany>
    <b:Year>2023</b:Year>
    <b:URL>https://www.ncbi.nlm.nih.gov/books/NBK431082/</b:URL>
    <b:RefOrder>9</b:RefOrder>
  </b:Source>
  <b:Source>
    <b:Tag>Car16</b:Tag>
    <b:SourceType>ArticleInAPeriodical</b:SourceType>
    <b:Guid>{57843586-D737-4023-8396-8729546822AB}</b:Guid>
    <b:Author>
      <b:Author>
        <b:NameList>
          <b:Person>
            <b:Last>Carrera C</b:Last>
            <b:First>Marghoob</b:First>
            <b:Middle>AA</b:Middle>
          </b:Person>
        </b:NameList>
      </b:Author>
    </b:Author>
    <b:Title>Discriminating Nevi from Melanomas: Clues and Pitfalls</b:Title>
    <b:Year>2016</b:Year>
    <b:PeriodicalTitle>Dermatol Clin</b:PeriodicalTitle>
    <b:Volume>34</b:Volume>
    <b:DOI>10.1016/j.det.2016.05.003</b:DOI>
    <b:RefOrder>10</b:RefOrder>
  </b:Source>
  <b:Source>
    <b:Tag>Sco23</b:Tag>
    <b:SourceType>ArticleInAPeriodical</b:SourceType>
    <b:Guid>{40DF5250-B5D1-44FE-86CC-4561E38573F6}</b:Guid>
    <b:Author>
      <b:Author>
        <b:NameList>
          <b:Person>
            <b:Last>Scott R</b:Last>
            <b:First>Oakley</b:First>
            <b:Middle>A</b:Middle>
          </b:Person>
        </b:NameList>
      </b:Author>
    </b:Author>
    <b:Title>Benign Keratosis: A Useful Term?</b:Title>
    <b:PeriodicalTitle>Dermatol Pract Concept</b:PeriodicalTitle>
    <b:Year>2023</b:Year>
    <b:Volume>13</b:Volume>
    <b:DOI>10.5826/dpc.1302a115</b:DOI>
    <b:RefOrder>11</b:RefOrder>
  </b:Source>
  <b:Source>
    <b:Tag>Mye24</b:Tag>
    <b:SourceType>InternetSite</b:SourceType>
    <b:Guid>{0065BC9C-284B-4556-82D1-406E9CD451D4}</b:Guid>
    <b:Author>
      <b:Author>
        <b:NameList>
          <b:Person>
            <b:Last>Myers</b:Last>
            <b:First>David</b:First>
            <b:Middle>J.</b:Middle>
          </b:Person>
          <b:Person>
            <b:Last>Fillman.</b:Last>
            <b:First>Eric</b:First>
            <b:Middle>P.</b:Middle>
          </b:Person>
        </b:NameList>
      </b:Author>
    </b:Author>
    <b:Title>Dermatofibroma</b:Title>
    <b:Year>2024</b:Year>
    <b:ProductionCompany>StatPearls Publishing</b:ProductionCompany>
    <b:URL>https://www.ncbi.nlm.nih.gov/books/NBK470538/</b:URL>
    <b:RefOrder>12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4157DE-58D9-4EBE-9373-1E7D1F59B7D3}">
  <ds:schemaRefs>
    <ds:schemaRef ds:uri="http://schemas.openxmlformats.org/officeDocument/2006/bibliography"/>
  </ds:schemaRefs>
</ds:datastoreItem>
</file>

<file path=customXml/itemProps2.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3.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9FC01-F627-46C6-B2D6-2B90DC45D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LibreOffice/25.8.6.2$Windows_X86_64 LibreOffice_project/b4b39682cd9868fa725bc664aff94278d315bd04</Application>
  <AppVersion>15.0000</AppVersion>
  <Pages>89</Pages>
  <Words>13163</Words>
  <Characters>90313</Characters>
  <CharactersWithSpaces>102538</CharactersWithSpaces>
  <Paragraphs>990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2026-05-04T17:36:00Z</dcterms:created>
  <dc:creator>Lukasz Wieclaw</dc:creator>
  <dc:description/>
  <dc:language>pl-PL</dc:language>
  <cp:lastModifiedBy/>
  <cp:lastPrinted>2025-01-09T12:30:00Z</cp:lastPrinted>
  <dcterms:modified xsi:type="dcterms:W3CDTF">2026-05-25T11:13:26Z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