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145" w:rsidRPr="00E86145" w:rsidRDefault="00DD028B" w:rsidP="00E8614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anchor distT="0" distB="0" distL="114300" distR="114300" simplePos="0" relativeHeight="251658240" behindDoc="0" locked="0" layoutInCell="1" allowOverlap="1" wp14:anchorId="66807222" wp14:editId="68A77F2E">
            <wp:simplePos x="0" y="0"/>
            <wp:positionH relativeFrom="margin">
              <wp:posOffset>0</wp:posOffset>
            </wp:positionH>
            <wp:positionV relativeFrom="margin">
              <wp:posOffset>530225</wp:posOffset>
            </wp:positionV>
            <wp:extent cx="2520315" cy="1560195"/>
            <wp:effectExtent l="0" t="0" r="0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rbo-piling_sm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Современная косметология имеет целый арсенал способов, которые способствуют регенерации кожи и ее обновлению. Сравнительно недавно появился еще один метод – карбоновый </w:t>
      </w:r>
      <w:proofErr w:type="spellStart"/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пилинг</w:t>
      </w:r>
      <w:proofErr w:type="spellEnd"/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который борется с первыми признаками старения и кожей проблемного типа.</w:t>
      </w:r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  <w:t xml:space="preserve"> Карбоновый </w:t>
      </w:r>
      <w:proofErr w:type="spellStart"/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пилинг</w:t>
      </w:r>
      <w:proofErr w:type="spellEnd"/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проводится с помощью лазера и включает в себя также </w:t>
      </w:r>
      <w:proofErr w:type="spellStart"/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фотоомоложение</w:t>
      </w:r>
      <w:proofErr w:type="spellEnd"/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Для этого используется </w:t>
      </w:r>
      <w:proofErr w:type="spellStart"/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наногель</w:t>
      </w:r>
      <w:proofErr w:type="spellEnd"/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– специальный углеродный усилитель, который наносится в виде маски.</w:t>
      </w:r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  <w:t> </w:t>
      </w:r>
      <w:proofErr w:type="spellStart"/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Наногель</w:t>
      </w:r>
      <w:proofErr w:type="spellEnd"/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приникает в глубинные слои кожи. С его помощью клетки эпителия связываются, к тому же притягиваются остатки кожного жира и скопившейся грязи. Именно поэтому карбоновый </w:t>
      </w:r>
      <w:proofErr w:type="spellStart"/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пилинг</w:t>
      </w:r>
      <w:proofErr w:type="spellEnd"/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используют не только для кожи, которая начинает стареть, но и для подростковой, склонной к угревой сыпи.</w:t>
      </w:r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  <w:t> Лазер действует на отмершие клетки и способствует их выпариванию. Кроме того, он уничтожает болезнетворную микрофлору, которая может развиваться на к</w:t>
      </w:r>
      <w:bookmarkStart w:id="0" w:name="_GoBack"/>
      <w:bookmarkEnd w:id="0"/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оже, способствует выравниванию ее цвета и рельефа, выработке эластина и коллагена.</w:t>
      </w:r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  <w:t> </w:t>
      </w:r>
      <w:r w:rsidR="00E86145" w:rsidRPr="00E86145">
        <w:rPr>
          <w:rFonts w:ascii="Tahoma" w:eastAsia="Times New Roman" w:hAnsi="Tahoma" w:cs="Tahoma"/>
          <w:b/>
          <w:color w:val="000000"/>
          <w:sz w:val="18"/>
          <w:szCs w:val="18"/>
          <w:lang w:eastAsia="ru-RU"/>
        </w:rPr>
        <w:t xml:space="preserve">Этапы проведения карбонового </w:t>
      </w:r>
      <w:proofErr w:type="spellStart"/>
      <w:r w:rsidR="00E86145" w:rsidRPr="00E86145">
        <w:rPr>
          <w:rFonts w:ascii="Tahoma" w:eastAsia="Times New Roman" w:hAnsi="Tahoma" w:cs="Tahoma"/>
          <w:b/>
          <w:color w:val="000000"/>
          <w:sz w:val="18"/>
          <w:szCs w:val="18"/>
          <w:lang w:eastAsia="ru-RU"/>
        </w:rPr>
        <w:t>пилинга</w:t>
      </w:r>
      <w:proofErr w:type="spellEnd"/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  <w:t xml:space="preserve"> 1. Для очищения верхних слоев кожи на нее наносится </w:t>
      </w:r>
      <w:proofErr w:type="spellStart"/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наногель</w:t>
      </w:r>
      <w:proofErr w:type="spellEnd"/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Прежде чем проводить обработку лазером, необходимо, чтобы гель полностью высох. Лазерный луч «взрывает» частицы геля, что способствует отторжению ороговевших и отмерших клеток. Также первый этап помогает справиться с воспалительными процессами.</w:t>
      </w:r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  <w:t xml:space="preserve"> 2. Следующим этапом идет проведение лазерного термолиза, при котором подогреваются глубинные слои кожи. Такое воздействие на </w:t>
      </w:r>
      <w:proofErr w:type="spellStart"/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дермальный</w:t>
      </w:r>
      <w:proofErr w:type="spellEnd"/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слой способствует более активной выработке </w:t>
      </w:r>
      <w:proofErr w:type="spellStart"/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гиалуроновой</w:t>
      </w:r>
      <w:proofErr w:type="spellEnd"/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кислоты, эластина и коллагена. В результате кожа выглядит моложе и становится более упругой.</w:t>
      </w:r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  <w:t xml:space="preserve"> Курс карбонового </w:t>
      </w:r>
      <w:proofErr w:type="spellStart"/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пилинга</w:t>
      </w:r>
      <w:proofErr w:type="spellEnd"/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состоит из пяти сеансов, каждый из которых длится не более 20 минут. После каждого сеанса необходимо делать перерыв на пять дней.</w:t>
      </w:r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  <w:t> </w:t>
      </w:r>
      <w:r w:rsidR="00E86145" w:rsidRPr="00E86145">
        <w:rPr>
          <w:rFonts w:ascii="Tahoma" w:eastAsia="Times New Roman" w:hAnsi="Tahoma" w:cs="Tahoma"/>
          <w:b/>
          <w:color w:val="000000"/>
          <w:sz w:val="18"/>
          <w:szCs w:val="18"/>
          <w:lang w:eastAsia="ru-RU"/>
        </w:rPr>
        <w:t>Показания:</w:t>
      </w:r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  <w:t> - жирный тип кожи;</w:t>
      </w:r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  <w:t> -первые неглубокие морщины;</w:t>
      </w:r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  <w:t> - пигментные пятна;</w:t>
      </w:r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  <w:t> -дефекты;</w:t>
      </w:r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  <w:t> -увядание и потеря упругости;</w:t>
      </w:r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  <w:t> - изменение цвета.</w:t>
      </w:r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  <w:t> </w:t>
      </w:r>
      <w:r w:rsidR="00E86145" w:rsidRPr="00E86145">
        <w:rPr>
          <w:rFonts w:ascii="Tahoma" w:eastAsia="Times New Roman" w:hAnsi="Tahoma" w:cs="Tahoma"/>
          <w:b/>
          <w:color w:val="000000"/>
          <w:sz w:val="18"/>
          <w:szCs w:val="18"/>
          <w:lang w:eastAsia="ru-RU"/>
        </w:rPr>
        <w:t>Противопоказания</w:t>
      </w:r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  <w:t xml:space="preserve"> Прежде чем решиться на карбоновый </w:t>
      </w:r>
      <w:proofErr w:type="spellStart"/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пилинг</w:t>
      </w:r>
      <w:proofErr w:type="spellEnd"/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необходимо проконсультироваться с врачом-косметологом. Процедура имеет ряд противопоказаний, при обнаружении которых от нее необходимо полностью отказаться. Карбоновый </w:t>
      </w:r>
      <w:proofErr w:type="spellStart"/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пилинг</w:t>
      </w:r>
      <w:proofErr w:type="spellEnd"/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запрещен в случае </w:t>
      </w:r>
      <w:proofErr w:type="spellStart"/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онкопатологии</w:t>
      </w:r>
      <w:proofErr w:type="spellEnd"/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если воспалительные процессы на коже перешли в хроническую стадию, при наличии келоидных рубцов. В период беременности и грудного вскармливания от </w:t>
      </w:r>
      <w:proofErr w:type="spellStart"/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пилинга</w:t>
      </w:r>
      <w:proofErr w:type="spellEnd"/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также нужно отказаться.</w:t>
      </w:r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  <w:t> </w:t>
      </w:r>
      <w:r w:rsidR="00E86145" w:rsidRPr="00E86145">
        <w:rPr>
          <w:rFonts w:ascii="Tahoma" w:eastAsia="Times New Roman" w:hAnsi="Tahoma" w:cs="Tahoma"/>
          <w:b/>
          <w:color w:val="000000"/>
          <w:sz w:val="18"/>
          <w:szCs w:val="18"/>
          <w:lang w:eastAsia="ru-RU"/>
        </w:rPr>
        <w:t xml:space="preserve">Преимущества карбонового </w:t>
      </w:r>
      <w:proofErr w:type="spellStart"/>
      <w:r w:rsidR="00E86145" w:rsidRPr="00E86145">
        <w:rPr>
          <w:rFonts w:ascii="Tahoma" w:eastAsia="Times New Roman" w:hAnsi="Tahoma" w:cs="Tahoma"/>
          <w:b/>
          <w:color w:val="000000"/>
          <w:sz w:val="18"/>
          <w:szCs w:val="18"/>
          <w:lang w:eastAsia="ru-RU"/>
        </w:rPr>
        <w:t>пилинга</w:t>
      </w:r>
      <w:proofErr w:type="spellEnd"/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  <w:t> 1. Результат виден сразу после окончания первого сеанса.</w:t>
      </w:r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  <w:t> 2. Процедура не вызывает дискомфорта и боли.</w:t>
      </w:r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  <w:t> 3. Побочные эффекты отсутствуют. Возможно только небольшое покраснение, которое исчезает самостоятельно через день.</w:t>
      </w:r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  <w:t> 4. Отсутствует период реабилитации. Пациентка может продолжать вести привычный образ жизни, а также использовать декоративную косметику. Однако необходимо избегать попадания прямых солнечных лучей на кожу в течение двух недель после процедуры.</w:t>
      </w:r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  <w:t xml:space="preserve"> Несмотря на то, что процедура появилась совсем недавно, ее эффективность уже смогли оценить многие женщины. Результат от карбонового </w:t>
      </w:r>
      <w:proofErr w:type="spellStart"/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пилинга</w:t>
      </w:r>
      <w:proofErr w:type="spellEnd"/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остается на протяжении трех лет. Если у вас появились первые показания для применения процедуры, можно без сомнений записываться на прием.</w:t>
      </w:r>
      <w:r w:rsidR="00E86145"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  <w:t> </w:t>
      </w:r>
    </w:p>
    <w:p w:rsidR="00E86145" w:rsidRPr="00E86145" w:rsidRDefault="00E86145" w:rsidP="00E86145">
      <w:pPr>
        <w:shd w:val="clear" w:color="auto" w:fill="FFFFFF"/>
        <w:spacing w:after="75" w:line="240" w:lineRule="auto"/>
        <w:outlineLvl w:val="3"/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</w:pPr>
      <w:r w:rsidRPr="00E86145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Частотность слов</w:t>
      </w:r>
    </w:p>
    <w:p w:rsidR="00E86145" w:rsidRPr="00E86145" w:rsidRDefault="00E86145" w:rsidP="00E8614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карбоновый</w:t>
      </w:r>
      <w:r w:rsidRPr="00E86145">
        <w:rPr>
          <w:rFonts w:ascii="Tahoma" w:eastAsia="Times New Roman" w:hAnsi="Tahoma" w:cs="Tahoma"/>
          <w:color w:val="000000"/>
          <w:sz w:val="18"/>
          <w:szCs w:val="18"/>
          <w:vertAlign w:val="superscript"/>
          <w:lang w:eastAsia="ru-RU"/>
        </w:rPr>
        <w:t>10 (3.81%)</w:t>
      </w:r>
      <w:r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кожа</w:t>
      </w:r>
      <w:r w:rsidRPr="00E86145">
        <w:rPr>
          <w:rFonts w:ascii="Tahoma" w:eastAsia="Times New Roman" w:hAnsi="Tahoma" w:cs="Tahoma"/>
          <w:color w:val="000000"/>
          <w:sz w:val="18"/>
          <w:szCs w:val="18"/>
          <w:vertAlign w:val="superscript"/>
          <w:lang w:eastAsia="ru-RU"/>
        </w:rPr>
        <w:t>10 (1.47%)</w:t>
      </w:r>
      <w:r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пилинг</w:t>
      </w:r>
      <w:r w:rsidRPr="00E86145">
        <w:rPr>
          <w:rFonts w:ascii="Tahoma" w:eastAsia="Times New Roman" w:hAnsi="Tahoma" w:cs="Tahoma"/>
          <w:color w:val="000000"/>
          <w:sz w:val="18"/>
          <w:szCs w:val="18"/>
          <w:vertAlign w:val="superscript"/>
          <w:lang w:eastAsia="ru-RU"/>
        </w:rPr>
        <w:t>6 (1.32%)</w:t>
      </w:r>
      <w:r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первый</w:t>
      </w:r>
      <w:r w:rsidRPr="00E86145">
        <w:rPr>
          <w:rFonts w:ascii="Tahoma" w:eastAsia="Times New Roman" w:hAnsi="Tahoma" w:cs="Tahoma"/>
          <w:color w:val="000000"/>
          <w:sz w:val="18"/>
          <w:szCs w:val="18"/>
          <w:vertAlign w:val="superscript"/>
          <w:lang w:eastAsia="ru-RU"/>
        </w:rPr>
        <w:t>5 (1.17%)</w:t>
      </w:r>
      <w:r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пилинга</w:t>
      </w:r>
      <w:r w:rsidRPr="00E86145">
        <w:rPr>
          <w:rFonts w:ascii="Tahoma" w:eastAsia="Times New Roman" w:hAnsi="Tahoma" w:cs="Tahoma"/>
          <w:color w:val="000000"/>
          <w:sz w:val="18"/>
          <w:szCs w:val="18"/>
          <w:vertAlign w:val="superscript"/>
          <w:lang w:eastAsia="ru-RU"/>
        </w:rPr>
        <w:t>5 (1.28%)</w:t>
      </w:r>
      <w:r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процедура</w:t>
      </w:r>
      <w:r w:rsidRPr="00E86145">
        <w:rPr>
          <w:rFonts w:ascii="Tahoma" w:eastAsia="Times New Roman" w:hAnsi="Tahoma" w:cs="Tahoma"/>
          <w:color w:val="000000"/>
          <w:sz w:val="18"/>
          <w:szCs w:val="18"/>
          <w:vertAlign w:val="superscript"/>
          <w:lang w:eastAsia="ru-RU"/>
        </w:rPr>
        <w:t>5 (1.65%)</w:t>
      </w:r>
      <w:r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способствовать</w:t>
      </w:r>
      <w:r w:rsidRPr="00E86145">
        <w:rPr>
          <w:rFonts w:ascii="Tahoma" w:eastAsia="Times New Roman" w:hAnsi="Tahoma" w:cs="Tahoma"/>
          <w:color w:val="000000"/>
          <w:sz w:val="18"/>
          <w:szCs w:val="18"/>
          <w:vertAlign w:val="superscript"/>
          <w:lang w:eastAsia="ru-RU"/>
        </w:rPr>
        <w:t>5 (2.20%)</w:t>
      </w:r>
      <w:r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необходимый</w:t>
      </w:r>
      <w:r w:rsidRPr="00E86145">
        <w:rPr>
          <w:rFonts w:ascii="Tahoma" w:eastAsia="Times New Roman" w:hAnsi="Tahoma" w:cs="Tahoma"/>
          <w:color w:val="000000"/>
          <w:sz w:val="18"/>
          <w:szCs w:val="18"/>
          <w:vertAlign w:val="superscript"/>
          <w:lang w:eastAsia="ru-RU"/>
        </w:rPr>
        <w:t>5 (1.83%)</w:t>
      </w:r>
      <w:r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клетка</w:t>
      </w:r>
      <w:r w:rsidRPr="00E86145">
        <w:rPr>
          <w:rFonts w:ascii="Tahoma" w:eastAsia="Times New Roman" w:hAnsi="Tahoma" w:cs="Tahoma"/>
          <w:color w:val="000000"/>
          <w:sz w:val="18"/>
          <w:szCs w:val="18"/>
          <w:vertAlign w:val="superscript"/>
          <w:lang w:eastAsia="ru-RU"/>
        </w:rPr>
        <w:t>3 (0.66%)</w:t>
      </w:r>
      <w:r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появиться</w:t>
      </w:r>
      <w:r w:rsidRPr="00E86145">
        <w:rPr>
          <w:rFonts w:ascii="Tahoma" w:eastAsia="Times New Roman" w:hAnsi="Tahoma" w:cs="Tahoma"/>
          <w:color w:val="000000"/>
          <w:sz w:val="18"/>
          <w:szCs w:val="18"/>
          <w:vertAlign w:val="superscript"/>
          <w:lang w:eastAsia="ru-RU"/>
        </w:rPr>
        <w:t>3 (0.95%)</w:t>
      </w:r>
      <w:r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результат</w:t>
      </w:r>
      <w:r w:rsidRPr="00E86145">
        <w:rPr>
          <w:rFonts w:ascii="Tahoma" w:eastAsia="Times New Roman" w:hAnsi="Tahoma" w:cs="Tahoma"/>
          <w:color w:val="000000"/>
          <w:sz w:val="18"/>
          <w:szCs w:val="18"/>
          <w:vertAlign w:val="superscript"/>
          <w:lang w:eastAsia="ru-RU"/>
        </w:rPr>
        <w:t>3 (1.03%)</w:t>
      </w:r>
      <w:r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сеанс</w:t>
      </w:r>
      <w:r w:rsidRPr="00E86145">
        <w:rPr>
          <w:rFonts w:ascii="Tahoma" w:eastAsia="Times New Roman" w:hAnsi="Tahoma" w:cs="Tahoma"/>
          <w:color w:val="000000"/>
          <w:sz w:val="18"/>
          <w:szCs w:val="18"/>
          <w:vertAlign w:val="superscript"/>
          <w:lang w:eastAsia="ru-RU"/>
        </w:rPr>
        <w:t>3 (0.70%)</w:t>
      </w:r>
      <w:r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слой</w:t>
      </w:r>
      <w:r w:rsidRPr="00E86145">
        <w:rPr>
          <w:rFonts w:ascii="Tahoma" w:eastAsia="Times New Roman" w:hAnsi="Tahoma" w:cs="Tahoma"/>
          <w:color w:val="000000"/>
          <w:sz w:val="18"/>
          <w:szCs w:val="18"/>
          <w:vertAlign w:val="superscript"/>
          <w:lang w:eastAsia="ru-RU"/>
        </w:rPr>
        <w:t>3 (0.44%)</w:t>
      </w:r>
      <w:r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этап</w:t>
      </w:r>
      <w:r w:rsidRPr="00E86145">
        <w:rPr>
          <w:rFonts w:ascii="Tahoma" w:eastAsia="Times New Roman" w:hAnsi="Tahoma" w:cs="Tahoma"/>
          <w:color w:val="000000"/>
          <w:sz w:val="18"/>
          <w:szCs w:val="18"/>
          <w:vertAlign w:val="superscript"/>
          <w:lang w:eastAsia="ru-RU"/>
        </w:rPr>
        <w:t>3 (0.55%)</w:t>
      </w:r>
      <w:r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лазер</w:t>
      </w:r>
      <w:r w:rsidRPr="00E86145">
        <w:rPr>
          <w:rFonts w:ascii="Tahoma" w:eastAsia="Times New Roman" w:hAnsi="Tahoma" w:cs="Tahoma"/>
          <w:color w:val="000000"/>
          <w:sz w:val="18"/>
          <w:szCs w:val="18"/>
          <w:vertAlign w:val="superscript"/>
          <w:lang w:eastAsia="ru-RU"/>
        </w:rPr>
        <w:t>3 (0.66%)</w:t>
      </w:r>
      <w:r w:rsidRPr="00E861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наногель</w:t>
      </w:r>
      <w:r w:rsidRPr="00E86145">
        <w:rPr>
          <w:rFonts w:ascii="Tahoma" w:eastAsia="Times New Roman" w:hAnsi="Tahoma" w:cs="Tahoma"/>
          <w:color w:val="000000"/>
          <w:sz w:val="18"/>
          <w:szCs w:val="18"/>
          <w:vertAlign w:val="superscript"/>
          <w:lang w:eastAsia="ru-RU"/>
        </w:rPr>
        <w:t>3 (0.88%)</w:t>
      </w:r>
    </w:p>
    <w:p w:rsidR="00CA5994" w:rsidRDefault="00DD028B"/>
    <w:sectPr w:rsidR="00CA5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9D3"/>
    <w:rsid w:val="000230C7"/>
    <w:rsid w:val="003229D3"/>
    <w:rsid w:val="008B48B3"/>
    <w:rsid w:val="00DD028B"/>
    <w:rsid w:val="00E8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B69D5F-889A-4ECF-8747-B4A91FB6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3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411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086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Genak</dc:creator>
  <cp:keywords/>
  <dc:description/>
  <cp:lastModifiedBy>Genak</cp:lastModifiedBy>
  <cp:revision>3</cp:revision>
  <dcterms:created xsi:type="dcterms:W3CDTF">2015-11-16T18:09:00Z</dcterms:created>
  <dcterms:modified xsi:type="dcterms:W3CDTF">2015-11-16T18:41:00Z</dcterms:modified>
</cp:coreProperties>
</file>