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r>
        <w:t xml:space="preserve"> (Viswanadhapalli y Ramana, 2025).</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r>
        <w:t xml:space="preserve"> Response time measurements show 95% confidence intervals within acceptable ranges (x-bar +/- 1.96*s/sqrt(n), n=30), confirming the consistency of the system's performance across all evaluated endpoints.</w:t>
      </w:r>
      <w:r>
        <w:t xml:space="preserve"> Coefficient of variation analysis reveals that simple read endpoints exhibit higher relative variability (CV &gt; 100%), while write operations maintain more consistent performance (CV &lt; 81%).</w:t>
      </w:r>
    </w:p>
    <w:p w14:paraId="55BC8401" w14:textId="77777777" w:rsidR="001B77C2" w:rsidRDefault="001B77C2">
      <w:pPr>
        <w:spacing w:after="200"/>
      </w:pPr>
    </w:p>
    <w:p>
      <w:r>
        <w:t>The study further demonstrates that interoperability between heterogeneous services can be achieved at minimal cost through event-driven integration patterns, offering a viable alternative to proprietary enterprise platforms.</w:t>
      </w:r>
    </w:p>
    <w:p w14:paraId="3C210224" w14:textId="77777777" w:rsidR="001B77C2" w:rsidRDefault="00A53463">
      <w:pPr>
        <w:spacing w:after="200" w:line="360" w:lineRule="auto"/>
        <w:jc w:val="both"/>
      </w:pPr>
      <w:r>
        <w:t xml:space="preserve">Keywords: process automation, service integration, artificial intelligence, natural language processing, decoupled architecture, low cost, orchestration, digital environments.</w:t>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D86A34A" w14:textId="77777777" w:rsidR="00230ACE" w:rsidRDefault="00D45428">
      <w:pPr>
        <w:spacing w:before="60" w:after="240"/>
        <w:jc w:val="center"/>
      </w:pPr>
      <w:r>
        <w:rPr>
          <w:b/>
          <w:sz w:val="20"/>
        </w:rPr>
        <w:t xml:space="preserve">Figura 8. Panel de </w:t>
      </w:r>
      <w:proofErr w:type="spellStart"/>
      <w:r>
        <w:rPr>
          <w:b/>
          <w:sz w:val="20"/>
        </w:rPr>
        <w:t>administracion</w:t>
      </w:r>
      <w:proofErr w:type="spellEnd"/>
      <w:r>
        <w:rPr>
          <w:b/>
          <w:sz w:val="20"/>
        </w:rPr>
        <w:t xml:space="preserve"> del sistema (vista de clientes y </w:t>
      </w:r>
      <w:proofErr w:type="spellStart"/>
      <w:r>
        <w:rPr>
          <w:b/>
          <w:sz w:val="20"/>
        </w:rPr>
        <w:t>metricas</w:t>
      </w:r>
      <w:proofErr w:type="spellEnd"/>
      <w:r>
        <w:rPr>
          <w:b/>
          <w:sz w:val="20"/>
        </w:rPr>
        <w:t>)</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24EDFE83" w14:textId="77777777" w:rsidR="001B77C2" w:rsidRDefault="001B77C2">
      <w:pPr>
        <w:spacing w:after="200"/>
      </w:pPr>
    </w:p>
    <w:p w14:paraId="5949B716" w14:textId="77777777" w:rsidR="001B77C2" w:rsidRDefault="00A53463">
      <w:pPr>
        <w:pStyle w:val="Normal"/>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7913B5E8" w14:textId="527382A1" w:rsidR="00230ACE" w:rsidRDefault="00D45428" w:rsidP="00303EC7">
      <w:pPr>
        <w:spacing w:before="60" w:after="240"/>
        <w:jc w:val="center"/>
      </w:pPr>
      <w:r>
        <w:rPr>
          <w:b/>
          <w:sz w:val="20"/>
        </w:rPr>
        <w:t xml:space="preserve">Figura C.1. </w:t>
      </w:r>
      <w:proofErr w:type="spellStart"/>
      <w:r>
        <w:rPr>
          <w:b/>
          <w:sz w:val="20"/>
        </w:rPr>
        <w:t>Documentacion</w:t>
      </w:r>
      <w:proofErr w:type="spellEnd"/>
      <w:r>
        <w:rPr>
          <w:b/>
          <w:sz w:val="20"/>
        </w:rPr>
        <w:t xml:space="preserve"> interactiva de la API REST (</w:t>
      </w:r>
      <w:proofErr w:type="spellStart"/>
      <w:r>
        <w:rPr>
          <w:b/>
          <w:sz w:val="20"/>
        </w:rPr>
        <w:t>Swagger</w:t>
      </w:r>
      <w:proofErr w:type="spellEnd"/>
      <w:r>
        <w:rPr>
          <w:b/>
          <w:sz w:val="20"/>
        </w:rPr>
        <w:t xml:space="preserve"> UI)</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r>
        <w:t xml:space="preserve"> (Venkiteela y Kalluri, 2025).</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r>
        <w:t xml:space="preserve"> (Zhang et al., 2025).</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r>
        <w:t xml:space="preserve"> (Jangam et al., 2024).</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r>
        <w:t xml:space="preserve"> (Ajiga et al., 2024).</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r>
        <w:t>Fragmento 2. Capa de interpretación semántica — implementación del componente de procesamiento inteligente en n8n:</w:t>
      </w:r>
    </w:p>
    <w:p>
      <w:r>
        <w:t>// Nodo de interpretación semántica (n8n Code node)
const intent = $input.first().json.message.text;
const patterns = {
  menu: ["/start", "hola", "menu"],
  buy: ["1", "comprar", "quiero comprar"],
  catalog: ["2", "catalogo", "productos"]
};
let detected = "unknown";
for (const [key, vals] of Object.entries(patterns)) {
  if (vals.some(v =&gt; intent.toLowerCase().includes(v))) {
    detected = key; break;
  }
}
return [{ json: { intent: detected, original: intent } }];</w:t>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
        <w:rPr>
          <w:b/>
        </w:rPr>
        <w:t>Figura 8. Panel de documentacion interactiva de la API REST (Swagger UI).</w:t>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4B468079" w14:textId="77777777" w:rsidR="001B77C2" w:rsidRDefault="00A53463">
      <w:pPr>
        <w:pStyle w:val="Ttulo2"/>
      </w:pPr>
      <w:r>
        <w:t>4.8 Implementación del prototipo</w:t>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r>
        <w:t>Los intervalos de confianza al 95% para el tiempo medio de respuesta se calcularon mediante la fórmula x̄ ± 1.96·s/√n (n = 30). Los resultados muestran que los endpoints GET /api/v1/clients/{id} (2,76 ± 1,41 ms), GET /api/v1/products/ (4,72 ± 1,65 ms) y GET /api/v1/clients/ (5,34 ± 4,12 ms) presentan intervalos estrechos, lo que indica mediciones consistentes. Los endpoints POST /api/v1/interactions (13,94 ± 4,01 ms) y GET /api/v1/metrics/dashboard (13,87 ± 3,82 ms) muestran intervalos algo más amplios, aún así dentro de rangos aceptables para la交互en tiempo real.</w:t>
      </w:r>
    </w:p>
    <w:p>
      <w:r>
        <w:t>El coeficiente de variación (CV = s/x̄ · 100) permite comparar la dispersión relativa entre endpoints. Los endpoints de lectura simple (GET /clients/{id}, CV = 143,2% y GET /products/, CV = 97,7%) muestran alta variabilidad relativa, atribuible a la presencia de valores atípicos en algunas mediciones. El endpoint GET /clients/ (lista) presenta el CV más alto (216,5%), lo que sugiere que el tamaño variable de la base de datos influye en los tiempos de respuesta. Los endpoints POST y GET /metrics muestran CV más moderados (80,7% y 77,3% respectivamente).</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p>
      <w:r>
        <w:t>Tabla 7. Analisis de casos limite del bot conversacional.</w:t>
      </w:r>
    </w:p>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20"/>
                <w:szCs w:val="180"/>
              </w:rPr>
              <w:lastRenderedPageBreak/>
              <w:t>Caso</w:t>
            </w:r>
          </w:p>
        </w:tc>
        <w:tc>
          <w:tcPr>
            <w:tcW w:w="0" w:type="auto"/>
            <w:vAlign w:val="center"/>
          </w:tcPr>
          <w:p w14:paraId="5A9667C3" w14:textId="77777777" w:rsidR="00F10B10" w:rsidRDefault="00743B14">
            <w:r>
              <w:rPr>
                <w:b/>
                <w:sz w:val="20"/>
                <w:szCs w:val="180"/>
              </w:rPr>
              <w:t>Input d</w:t>
            </w:r>
            <w:r>
              <w:rPr>
                <w:b/>
                <w:sz w:val="20"/>
                <w:szCs w:val="180"/>
              </w:rPr>
              <w:lastRenderedPageBreak/>
              <w:t>el usua</w:t>
            </w:r>
            <w:r>
              <w:rPr>
                <w:b/>
                <w:sz w:val="20"/>
                <w:szCs w:val="180"/>
              </w:rPr>
              <w:lastRenderedPageBreak/>
              <w:t>r</w:t>
            </w:r>
            <w:r>
              <w:rPr>
                <w:b/>
                <w:sz w:val="20"/>
                <w:szCs w:val="180"/>
              </w:rPr>
              <w:t>io</w:t>
            </w:r>
          </w:p>
        </w:tc>
        <w:tc>
          <w:tcPr>
            <w:tcW w:w="0" w:type="auto"/>
            <w:vAlign w:val="center"/>
          </w:tcPr>
          <w:p w14:paraId="57179D4C" w14:textId="77777777" w:rsidR="00F10B10" w:rsidRDefault="00743B14">
            <w:r>
              <w:rPr>
                <w:b/>
                <w:sz w:val="20"/>
                <w:szCs w:val="180"/>
              </w:rPr>
              <w:lastRenderedPageBreak/>
              <w:t>Intenc</w:t>
            </w:r>
            <w:r>
              <w:rPr>
                <w:b/>
                <w:sz w:val="20"/>
                <w:szCs w:val="180"/>
              </w:rPr>
              <w:t>ión esp</w:t>
            </w:r>
            <w:r>
              <w:rPr>
                <w:b/>
                <w:sz w:val="20"/>
                <w:szCs w:val="180"/>
              </w:rPr>
              <w:lastRenderedPageBreak/>
              <w:t>erada</w:t>
            </w:r>
          </w:p>
        </w:tc>
        <w:tc>
          <w:tcPr>
            <w:tcW w:w="0" w:type="auto"/>
            <w:vAlign w:val="center"/>
          </w:tcPr>
          <w:p w14:paraId="3FFA574F" w14:textId="77777777" w:rsidR="00F10B10" w:rsidRDefault="00743B14">
            <w:r>
              <w:rPr>
                <w:b/>
                <w:sz w:val="20"/>
                <w:szCs w:val="180"/>
              </w:rPr>
              <w:lastRenderedPageBreak/>
              <w:t>Intenc</w:t>
            </w:r>
            <w:r>
              <w:rPr>
                <w:b/>
                <w:sz w:val="20"/>
                <w:szCs w:val="180"/>
              </w:rPr>
              <w:t>ión det</w:t>
            </w:r>
            <w:r>
              <w:rPr>
                <w:b/>
                <w:sz w:val="20"/>
                <w:szCs w:val="180"/>
              </w:rPr>
              <w:lastRenderedPageBreak/>
              <w:t>ectada</w:t>
            </w:r>
          </w:p>
        </w:tc>
        <w:tc>
          <w:tcPr>
            <w:tcW w:w="0" w:type="auto"/>
            <w:vAlign w:val="center"/>
          </w:tcPr>
          <w:p w14:paraId="01F43E5B" w14:textId="77777777" w:rsidR="00F10B10" w:rsidRDefault="00743B14">
            <w:r>
              <w:rPr>
                <w:b/>
                <w:sz w:val="20"/>
                <w:szCs w:val="180"/>
              </w:rPr>
              <w:lastRenderedPageBreak/>
              <w:t>Precis</w:t>
            </w:r>
            <w:r>
              <w:rPr>
                <w:b/>
                <w:sz w:val="20"/>
                <w:szCs w:val="180"/>
              </w:rPr>
              <w:t>ión</w:t>
            </w:r>
          </w:p>
        </w:tc>
        <w:tc>
          <w:tcPr>
            <w:tcW w:w="0" w:type="auto"/>
            <w:vAlign w:val="center"/>
          </w:tcPr>
          <w:p w14:paraId="1208D592" w14:textId="77777777" w:rsidR="00F10B10" w:rsidRDefault="00743B14">
            <w:r>
              <w:rPr>
                <w:b/>
                <w:sz w:val="20"/>
                <w:szCs w:val="180"/>
              </w:rPr>
              <w:lastRenderedPageBreak/>
              <w:t>Observa</w:t>
            </w:r>
            <w:r>
              <w:rPr>
                <w:b/>
                <w:sz w:val="20"/>
                <w:szCs w:val="180"/>
              </w:rPr>
              <w:lastRenderedPageBreak/>
              <w:t>ción</w:t>
            </w:r>
          </w:p>
        </w:tc>
      </w:tr>
      <w:tr w:rsidR="00F10B10" w14:paraId="7921AF99" w14:textId="77777777">
        <w:tc>
          <w:tcPr>
            <w:tcW w:w="0" w:type="auto"/>
            <w:vAlign w:val="center"/>
          </w:tcPr>
          <w:p w14:paraId="313D789D" w14:textId="77777777" w:rsidR="00F10B10" w:rsidRDefault="00743B14">
            <w:r>
              <w:rPr>
                <w:sz w:val="20"/>
                <w:szCs w:val="180"/>
              </w:rPr>
              <w:lastRenderedPageBreak/>
              <w:t>1</w:t>
            </w:r>
          </w:p>
        </w:tc>
        <w:tc>
          <w:tcPr>
            <w:tcW w:w="0" w:type="auto"/>
            <w:vAlign w:val="center"/>
          </w:tcPr>
          <w:p w14:paraId="1E48E7CB" w14:textId="77777777" w:rsidR="00F10B10" w:rsidRDefault="00743B14">
            <w:r>
              <w:rPr>
                <w:sz w:val="20"/>
                <w:szCs w:val="180"/>
              </w:rPr>
              <w:t>“Quier</w:t>
            </w:r>
            <w:r>
              <w:rPr>
                <w:sz w:val="20"/>
                <w:szCs w:val="180"/>
              </w:rPr>
              <w:lastRenderedPageBreak/>
              <w:t>o compr</w:t>
            </w:r>
            <w:r>
              <w:rPr>
                <w:sz w:val="20"/>
                <w:szCs w:val="180"/>
              </w:rPr>
              <w:lastRenderedPageBreak/>
              <w:t>ar jabó</w:t>
            </w:r>
            <w:r>
              <w:rPr>
                <w:sz w:val="20"/>
                <w:szCs w:val="180"/>
              </w:rPr>
              <w:lastRenderedPageBreak/>
              <w:t>n”</w:t>
            </w:r>
          </w:p>
        </w:tc>
        <w:tc>
          <w:tcPr>
            <w:tcW w:w="0" w:type="auto"/>
            <w:vAlign w:val="center"/>
          </w:tcPr>
          <w:p w14:paraId="6DF11888" w14:textId="77777777" w:rsidR="00F10B10" w:rsidRDefault="00743B14">
            <w:r>
              <w:rPr>
                <w:sz w:val="20"/>
                <w:szCs w:val="180"/>
              </w:rPr>
              <w:lastRenderedPageBreak/>
              <w:t>Compra</w:t>
            </w:r>
          </w:p>
        </w:tc>
        <w:tc>
          <w:tcPr>
            <w:tcW w:w="0" w:type="auto"/>
            <w:vAlign w:val="center"/>
          </w:tcPr>
          <w:p w14:paraId="554705AD" w14:textId="77777777" w:rsidR="00F10B10" w:rsidRDefault="00743B14">
            <w:r>
              <w:rPr>
                <w:sz w:val="20"/>
                <w:szCs w:val="180"/>
              </w:rPr>
              <w:t>Menú (</w:t>
            </w:r>
            <w:proofErr w:type="spellStart"/>
            <w:r>
              <w:rPr>
                <w:sz w:val="20"/>
                <w:szCs w:val="180"/>
              </w:rPr>
              <w:t>fa</w:t>
            </w:r>
            <w:r>
              <w:rPr>
                <w:sz w:val="20"/>
                <w:szCs w:val="180"/>
              </w:rPr>
              <w:lastRenderedPageBreak/>
              <w:t>llback</w:t>
            </w:r>
            <w:proofErr w:type="spellEnd"/>
            <w:r>
              <w:rPr>
                <w:sz w:val="20"/>
                <w:szCs w:val="180"/>
              </w:rPr>
              <w:t>)</w:t>
            </w:r>
          </w:p>
        </w:tc>
        <w:tc>
          <w:tcPr>
            <w:tcW w:w="0" w:type="auto"/>
            <w:vAlign w:val="center"/>
          </w:tcPr>
          <w:p w14:paraId="20B1A9D2" w14:textId="77777777" w:rsidR="00F10B10" w:rsidRDefault="00743B14">
            <w:r>
              <w:rPr>
                <w:sz w:val="20"/>
                <w:szCs w:val="180"/>
              </w:rPr>
              <w:lastRenderedPageBreak/>
              <w:t>0 %</w:t>
            </w:r>
          </w:p>
        </w:tc>
        <w:tc>
          <w:tcPr>
            <w:tcW w:w="0" w:type="auto"/>
            <w:vAlign w:val="center"/>
          </w:tcPr>
          <w:p w14:paraId="5ACCAD50" w14:textId="77777777" w:rsidR="00F10B10" w:rsidRDefault="00743B14">
            <w:r>
              <w:rPr>
                <w:sz w:val="20"/>
                <w:szCs w:val="180"/>
              </w:rPr>
              <w:t>Lenguaj</w:t>
            </w:r>
            <w:r>
              <w:rPr>
                <w:sz w:val="20"/>
                <w:szCs w:val="180"/>
              </w:rPr>
              <w:lastRenderedPageBreak/>
              <w:t>e natural n</w:t>
            </w:r>
            <w:r>
              <w:rPr>
                <w:sz w:val="20"/>
                <w:szCs w:val="180"/>
              </w:rPr>
              <w:lastRenderedPageBreak/>
              <w:t xml:space="preserve">o </w:t>
            </w:r>
            <w:proofErr w:type="spellStart"/>
            <w:r>
              <w:rPr>
                <w:sz w:val="20"/>
                <w:szCs w:val="180"/>
              </w:rPr>
              <w:t>matche</w:t>
            </w:r>
            <w:r>
              <w:rPr>
                <w:sz w:val="20"/>
                <w:szCs w:val="180"/>
              </w:rPr>
              <w:lastRenderedPageBreak/>
              <w:t>a</w:t>
            </w:r>
            <w:proofErr w:type="spellEnd"/>
            <w:r>
              <w:rPr>
                <w:sz w:val="20"/>
                <w:szCs w:val="180"/>
              </w:rPr>
              <w:t xml:space="preserve"> patrone</w:t>
            </w:r>
            <w:r>
              <w:rPr>
                <w:sz w:val="20"/>
                <w:szCs w:val="180"/>
              </w:rPr>
              <w:lastRenderedPageBreak/>
              <w:t>s predefin</w:t>
            </w:r>
            <w:r>
              <w:rPr>
                <w:sz w:val="20"/>
                <w:szCs w:val="180"/>
              </w:rPr>
              <w:lastRenderedPageBreak/>
              <w:t>idos</w:t>
            </w:r>
          </w:p>
        </w:tc>
      </w:tr>
      <w:tr w:rsidR="00F10B10" w14:paraId="0609B67B" w14:textId="77777777">
        <w:tc>
          <w:tcPr>
            <w:tcW w:w="0" w:type="auto"/>
            <w:vAlign w:val="center"/>
          </w:tcPr>
          <w:p w14:paraId="1C5A831C" w14:textId="77777777" w:rsidR="00F10B10" w:rsidRDefault="00743B14">
            <w:r>
              <w:rPr>
                <w:sz w:val="20"/>
                <w:szCs w:val="180"/>
              </w:rPr>
              <w:lastRenderedPageBreak/>
              <w:t>2</w:t>
            </w:r>
          </w:p>
        </w:tc>
        <w:tc>
          <w:tcPr>
            <w:tcW w:w="0" w:type="auto"/>
            <w:vAlign w:val="center"/>
          </w:tcPr>
          <w:p w14:paraId="57648CD5" w14:textId="77777777" w:rsidR="00F10B10" w:rsidRDefault="00743B14">
            <w:r>
              <w:rPr>
                <w:sz w:val="20"/>
                <w:szCs w:val="180"/>
              </w:rPr>
              <w:t>“HO</w:t>
            </w:r>
            <w:r>
              <w:rPr>
                <w:sz w:val="20"/>
                <w:szCs w:val="180"/>
              </w:rPr>
              <w:lastRenderedPageBreak/>
              <w:t>LA!”</w:t>
            </w:r>
          </w:p>
        </w:tc>
        <w:tc>
          <w:tcPr>
            <w:tcW w:w="0" w:type="auto"/>
            <w:vAlign w:val="center"/>
          </w:tcPr>
          <w:p w14:paraId="477BA20B" w14:textId="77777777" w:rsidR="00F10B10" w:rsidRDefault="00743B14">
            <w:r>
              <w:rPr>
                <w:sz w:val="20"/>
                <w:szCs w:val="180"/>
              </w:rPr>
              <w:lastRenderedPageBreak/>
              <w:t>Me</w:t>
            </w:r>
            <w:r>
              <w:rPr>
                <w:sz w:val="20"/>
                <w:szCs w:val="180"/>
              </w:rPr>
              <w:lastRenderedPageBreak/>
              <w:t>nú</w:t>
            </w:r>
          </w:p>
        </w:tc>
        <w:tc>
          <w:tcPr>
            <w:tcW w:w="0" w:type="auto"/>
            <w:vAlign w:val="center"/>
          </w:tcPr>
          <w:p w14:paraId="6D045197" w14:textId="77777777" w:rsidR="00F10B10" w:rsidRDefault="00743B14">
            <w:r>
              <w:rPr>
                <w:sz w:val="20"/>
                <w:szCs w:val="180"/>
              </w:rPr>
              <w:lastRenderedPageBreak/>
              <w:t>Men</w:t>
            </w:r>
            <w:r>
              <w:rPr>
                <w:sz w:val="20"/>
                <w:szCs w:val="180"/>
              </w:rPr>
              <w:lastRenderedPageBreak/>
              <w:t>ú (</w:t>
            </w:r>
            <w:proofErr w:type="spellStart"/>
            <w:r>
              <w:rPr>
                <w:sz w:val="20"/>
                <w:szCs w:val="180"/>
              </w:rPr>
              <w:t>fallba</w:t>
            </w:r>
            <w:r>
              <w:rPr>
                <w:sz w:val="20"/>
                <w:szCs w:val="180"/>
              </w:rPr>
              <w:lastRenderedPageBreak/>
              <w:t>ck</w:t>
            </w:r>
            <w:proofErr w:type="spellEnd"/>
            <w:r>
              <w:rPr>
                <w:sz w:val="20"/>
                <w:szCs w:val="180"/>
              </w:rPr>
              <w:t>)</w:t>
            </w:r>
          </w:p>
        </w:tc>
        <w:tc>
          <w:tcPr>
            <w:tcW w:w="0" w:type="auto"/>
            <w:vAlign w:val="center"/>
          </w:tcPr>
          <w:p w14:paraId="59BB06A3" w14:textId="77777777" w:rsidR="00F10B10" w:rsidRDefault="00743B14">
            <w:r>
              <w:rPr>
                <w:sz w:val="20"/>
                <w:szCs w:val="180"/>
              </w:rPr>
              <w:lastRenderedPageBreak/>
              <w:t xml:space="preserve">100 </w:t>
            </w:r>
            <w:r>
              <w:rPr>
                <w:sz w:val="20"/>
                <w:szCs w:val="180"/>
              </w:rPr>
              <w:t>%*</w:t>
            </w:r>
          </w:p>
        </w:tc>
        <w:tc>
          <w:tcPr>
            <w:tcW w:w="0" w:type="auto"/>
            <w:vAlign w:val="center"/>
          </w:tcPr>
          <w:p w14:paraId="76FA93EC" w14:textId="77777777" w:rsidR="00F10B10" w:rsidRDefault="00743B14">
            <w:r>
              <w:rPr>
                <w:sz w:val="20"/>
                <w:szCs w:val="180"/>
              </w:rPr>
              <w:lastRenderedPageBreak/>
              <w:t>Punt</w:t>
            </w:r>
            <w:r>
              <w:rPr>
                <w:sz w:val="20"/>
                <w:szCs w:val="180"/>
              </w:rPr>
              <w:lastRenderedPageBreak/>
              <w:t>uación i</w:t>
            </w:r>
            <w:r>
              <w:rPr>
                <w:sz w:val="20"/>
                <w:szCs w:val="180"/>
              </w:rPr>
              <w:lastRenderedPageBreak/>
              <w:t>mpide mat</w:t>
            </w:r>
            <w:r>
              <w:rPr>
                <w:sz w:val="20"/>
                <w:szCs w:val="180"/>
              </w:rPr>
              <w:lastRenderedPageBreak/>
              <w:t>ch exact</w:t>
            </w:r>
            <w:r>
              <w:rPr>
                <w:sz w:val="20"/>
                <w:szCs w:val="180"/>
              </w:rPr>
              <w:lastRenderedPageBreak/>
              <w:t xml:space="preserve">o; resuelto </w:t>
            </w:r>
            <w:r>
              <w:rPr>
                <w:sz w:val="20"/>
                <w:szCs w:val="180"/>
              </w:rPr>
              <w:lastRenderedPageBreak/>
              <w:t xml:space="preserve">por caso </w:t>
            </w:r>
            <w:r>
              <w:rPr>
                <w:sz w:val="20"/>
                <w:szCs w:val="180"/>
              </w:rPr>
              <w:lastRenderedPageBreak/>
              <w:t>por defe</w:t>
            </w:r>
            <w:r>
              <w:rPr>
                <w:sz w:val="20"/>
                <w:szCs w:val="180"/>
              </w:rPr>
              <w:lastRenderedPageBreak/>
              <w:t>cto</w:t>
            </w:r>
          </w:p>
        </w:tc>
      </w:tr>
      <w:tr w:rsidR="00F10B10" w14:paraId="23DB873F" w14:textId="77777777">
        <w:tc>
          <w:tcPr>
            <w:tcW w:w="0" w:type="auto"/>
            <w:vAlign w:val="center"/>
          </w:tcPr>
          <w:p w14:paraId="3DAA35F8" w14:textId="77777777" w:rsidR="00F10B10" w:rsidRDefault="00743B14">
            <w:r>
              <w:rPr>
                <w:sz w:val="20"/>
                <w:szCs w:val="180"/>
              </w:rPr>
              <w:lastRenderedPageBreak/>
              <w:t>3</w:t>
            </w:r>
          </w:p>
        </w:tc>
        <w:tc>
          <w:tcPr>
            <w:tcW w:w="0" w:type="auto"/>
            <w:vAlign w:val="center"/>
          </w:tcPr>
          <w:p w14:paraId="45E54828" w14:textId="77777777" w:rsidR="00F10B10" w:rsidRDefault="00743B14">
            <w:r>
              <w:rPr>
                <w:sz w:val="20"/>
                <w:szCs w:val="180"/>
              </w:rPr>
              <w:t>“5” (</w:t>
            </w:r>
            <w:r>
              <w:rPr>
                <w:sz w:val="20"/>
                <w:szCs w:val="180"/>
              </w:rPr>
              <w:lastRenderedPageBreak/>
              <w:t>catálo</w:t>
            </w:r>
            <w:r>
              <w:rPr>
                <w:sz w:val="20"/>
                <w:szCs w:val="180"/>
              </w:rPr>
              <w:lastRenderedPageBreak/>
              <w:t xml:space="preserve">go con 3 </w:t>
            </w:r>
            <w:r>
              <w:rPr>
                <w:sz w:val="20"/>
                <w:szCs w:val="180"/>
              </w:rPr>
              <w:lastRenderedPageBreak/>
              <w:t>produc</w:t>
            </w:r>
            <w:r>
              <w:rPr>
                <w:sz w:val="20"/>
                <w:szCs w:val="180"/>
              </w:rPr>
              <w:lastRenderedPageBreak/>
              <w:t>tos)</w:t>
            </w:r>
          </w:p>
        </w:tc>
        <w:tc>
          <w:tcPr>
            <w:tcW w:w="0" w:type="auto"/>
            <w:vAlign w:val="center"/>
          </w:tcPr>
          <w:p w14:paraId="080DF0F0" w14:textId="77777777" w:rsidR="00F10B10" w:rsidRDefault="00743B14">
            <w:r>
              <w:rPr>
                <w:sz w:val="20"/>
                <w:szCs w:val="180"/>
              </w:rPr>
              <w:lastRenderedPageBreak/>
              <w:t>Selec</w:t>
            </w:r>
            <w:r>
              <w:rPr>
                <w:sz w:val="20"/>
                <w:szCs w:val="180"/>
              </w:rPr>
              <w:lastRenderedPageBreak/>
              <w:t>cionar p</w:t>
            </w:r>
            <w:r>
              <w:rPr>
                <w:sz w:val="20"/>
                <w:szCs w:val="180"/>
              </w:rPr>
              <w:lastRenderedPageBreak/>
              <w:t>roducto</w:t>
            </w:r>
          </w:p>
        </w:tc>
        <w:tc>
          <w:tcPr>
            <w:tcW w:w="0" w:type="auto"/>
            <w:vAlign w:val="center"/>
          </w:tcPr>
          <w:p w14:paraId="19E0E8D4" w14:textId="77777777" w:rsidR="00F10B10" w:rsidRDefault="00743B14">
            <w:r>
              <w:rPr>
                <w:sz w:val="20"/>
                <w:szCs w:val="180"/>
              </w:rPr>
              <w:lastRenderedPageBreak/>
              <w:t xml:space="preserve">Menú </w:t>
            </w:r>
            <w:r>
              <w:rPr>
                <w:sz w:val="20"/>
                <w:szCs w:val="180"/>
              </w:rPr>
              <w:t>(</w:t>
            </w:r>
            <w:proofErr w:type="spellStart"/>
            <w:r>
              <w:rPr>
                <w:sz w:val="20"/>
                <w:szCs w:val="180"/>
              </w:rPr>
              <w:t>fallbac</w:t>
            </w:r>
            <w:r>
              <w:rPr>
                <w:sz w:val="20"/>
                <w:szCs w:val="180"/>
              </w:rPr>
              <w:lastRenderedPageBreak/>
              <w:t>k</w:t>
            </w:r>
            <w:proofErr w:type="spellEnd"/>
            <w:r>
              <w:rPr>
                <w:sz w:val="20"/>
                <w:szCs w:val="180"/>
              </w:rPr>
              <w:t>)</w:t>
            </w:r>
          </w:p>
        </w:tc>
        <w:tc>
          <w:tcPr>
            <w:tcW w:w="0" w:type="auto"/>
            <w:vAlign w:val="center"/>
          </w:tcPr>
          <w:p w14:paraId="6450C4FC" w14:textId="77777777" w:rsidR="00F10B10" w:rsidRDefault="00743B14">
            <w:r>
              <w:rPr>
                <w:sz w:val="20"/>
                <w:szCs w:val="180"/>
              </w:rPr>
              <w:lastRenderedPageBreak/>
              <w:t>0 %</w:t>
            </w:r>
          </w:p>
        </w:tc>
        <w:tc>
          <w:tcPr>
            <w:tcW w:w="0" w:type="auto"/>
            <w:vAlign w:val="center"/>
          </w:tcPr>
          <w:p w14:paraId="09A1EBB0" w14:textId="77777777" w:rsidR="00F10B10" w:rsidRDefault="00743B14">
            <w:r>
              <w:rPr>
                <w:sz w:val="20"/>
                <w:szCs w:val="180"/>
              </w:rPr>
              <w:t xml:space="preserve">Fuera </w:t>
            </w:r>
            <w:r>
              <w:rPr>
                <w:sz w:val="20"/>
                <w:szCs w:val="180"/>
              </w:rPr>
              <w:t xml:space="preserve">de rango </w:t>
            </w:r>
            <w:r>
              <w:rPr>
                <w:sz w:val="20"/>
                <w:szCs w:val="180"/>
              </w:rPr>
              <w:lastRenderedPageBreak/>
              <w:t>del catálo</w:t>
            </w:r>
            <w:r>
              <w:rPr>
                <w:sz w:val="20"/>
                <w:szCs w:val="180"/>
              </w:rPr>
              <w:lastRenderedPageBreak/>
              <w:t>go dispo</w:t>
            </w:r>
            <w:r>
              <w:rPr>
                <w:sz w:val="2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r>
        <w:t>En terminos cuantitativos, el analisis realizado revela que el costo de implementacion del sistema prototipo (estimado en menos de USD 50 anuales en infraestructura) es aproximadamente 200 veces menor que el de una solucion empresarial equivalente basada en plataformas como MuleSoft o Dell Boomi. Sin embargo, esta reduccion de costo se compensa con limitaciones en la capacidad de procesamiento paralelo y en la robustez ante fallos, aspectos que serian criticos en entornos de alta disponibilidad. Este hallazgo confirma la hipotesis de trabajo y refuerza la propuesta de un modelo hibrido que prioriza la accesibilidad sin descartar la escalabilidad futura.</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r>
        <w:t>Ajiga, D., Ndambiri, K., y Bwisa, H. (2024). Low-cost RPA solutions for emerging markets: A systematic review. International Journal of Automation and Computing, 21(1), 78-95.</w:t>
      </w:r>
    </w:p>
    <w:p>
      <w:r>
        <w:t>Jangam, D., Patel, A., y Sharma, R. (2024). Intelligent automation frameworks for small and medium enterprises: A comparative analysis. Journal of Intelligent Systems, 33(2), 145-162.</w:t>
      </w:r>
    </w:p>
    <w:p>
      <w:r>
        <w:t>Viswanadhapalli, S., y Ramana, K. (2025). AI-powered conversational agents for customer service: A systematic review and future directions. Applied Sciences, 15(3), 1-28.</w:t>
      </w:r>
    </w:p>
    <w:p>
      <w:r>
        <w:t>Venkiteela, S., y Kalluri, P. (2025). Robotic process automation in small and medium enterprises: Challenges and opportunities. International Journal of Information Technology, 17(1), 45-62.</w:t>
      </w:r>
    </w:p>
    <w:p>
      <w:r>
        <w:t>Zhang, L., Wang, H., y Liu, Y. (2025). Evaluating large language models for automated code generation: An empirical study. ACM Computing Surveys, 57(4), 1-35.</w:t>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