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r>
        <w:t xml:space="preserve"> Response time measurements show 95% confidence intervals within acceptable ranges (x-bar +/- 1.96*s/sqrt(n), n=30), confirming the consistency of the system's performance across all evaluated endpoints.</w:t>
      </w:r>
      <w:r>
        <w:t xml:space="preserve"> Coefficient of variation analysis reveals that simple read endpoints exhibit higher relative variability (CV &gt; 100%), while write operations maintain more consistent performance (CV &lt; 81%).</w:t>
      </w:r>
    </w:p>
    <w:p w14:paraId="55BC8401" w14:textId="77777777" w:rsidR="001B77C2" w:rsidRDefault="001B77C2">
      <w:pPr>
        <w:spacing w:after="200"/>
      </w:pPr>
    </w:p>
    <w:p>
      <w:r>
        <w:t>The study further demonstrates that interoperability between heterogeneous services can be achieved at minimal cost through event-driven integration patterns, offering a viable alternative to proprietary enterprise platforms.</w:t>
      </w:r>
    </w:p>
    <w:p w14:paraId="3C210224" w14:textId="77777777" w:rsidR="001B77C2" w:rsidRDefault="00A53463">
      <w:pPr>
        <w:spacing w:after="200" w:line="360" w:lineRule="auto"/>
        <w:jc w:val="both"/>
      </w:pPr>
      <w:r>
        <w:t xml:space="preserve">Keywords: process automation, service integration, artificial intelligence, natural language processing, decoupled architecture, low cost, orchestration, digital environments.</w:t>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pPr>
        <w:tabs>
          <w:tab w:val="right" w:pos="8640"/>
        </w:tabs>
        <w:spacing w:after="100" w:line="280" w:lineRule="auto"/>
      </w:pPr>
      <w:r>
        <w:t xml:space="preserve">Figura 8. Panel de documentacion interactiva de la API REST (Swagger UI)</w:t>
      </w:r>
      <w:r>
        <w:tab/>
      </w:r>
      <w:r>
        <w:t>52</w:t>
      </w:r>
    </w:p>
    <w:p>
      <w:pPr>
        <w:tabs>
          <w:tab w:val="right" w:pos="8640"/>
        </w:tabs>
        <w:spacing w:after="100" w:line="280" w:lineRule="auto"/>
      </w:pPr>
      <w:r>
        <w:t xml:space="preserve">Figura 9. Dashboard de metricas y analiticas (Streamlit)</w:t>
      </w:r>
      <w:r>
        <w:tab/>
      </w:r>
      <w:r>
        <w:t>55</w:t>
      </w:r>
    </w:p>
    <w:p>
      <w:pPr>
        <w:tabs>
          <w:tab w:val="right" w:pos="8640"/>
        </w:tabs>
        <w:spacing w:after="100" w:line="280" w:lineRule="auto"/>
      </w:pPr>
      <w:r>
        <w:t xml:space="preserve">Figura 10. Interaccion del bot en Telegram durante las pruebas funcionales.</w:t>
      </w:r>
      <w:r>
        <w:tab/>
      </w:r>
      <w:r>
        <w:t>56</w:t>
      </w:r>
    </w:p>
    <w:p>
      <w:pPr>
        <w:tabs>
          <w:tab w:val="right" w:pos="8640"/>
        </w:tabs>
        <w:spacing w:after="100" w:line="280" w:lineRule="auto"/>
      </w:pPr>
      <w:r>
        <w:t xml:space="preserve">Figura B.1. Flujo de automatizacion del sistema en n8n (canvas del editor)</w:t>
      </w:r>
      <w:r>
        <w:tab/>
      </w:r>
      <w:r>
        <w:t>84</w:t>
      </w:r>
    </w:p>
    <w:p>
      <w:pPr>
        <w:tabs>
          <w:tab w:val="right" w:pos="8640"/>
        </w:tabs>
        <w:spacing w:after="100" w:line="280" w:lineRule="auto"/>
      </w:pPr>
      <w:r>
        <w:t xml:space="preserve">Figura C.1. Documentacion interactiva de la API REST (Swagger UI)</w:t>
      </w:r>
      <w:r>
        <w:tab/>
      </w:r>
      <w:r>
        <w:t>85</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pPr>
        <w:tabs>
          <w:tab w:val="right" w:pos="8640"/>
        </w:tabs>
        <w:spacing w:after="100" w:line="280" w:lineRule="auto"/>
      </w:pPr>
      <w:r>
        <w:t xml:space="preserve">Tabla 7. Análisis de casos límite del Bot Router</w:t>
      </w:r>
      <w:r>
        <w:tab/>
      </w:r>
      <w:r>
        <w:t>62</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r>
        <w:t xml:space="preserve"> (Jangam et al., 2024).</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r>
        <w:t xml:space="preserve"> (Ajiga et al., 2024).</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r>
        <w:t>Figura 10. Interacción del bot en Telegram durante las pruebas funcionales.</w:t>
      </w:r>
    </w:p>
    <w:p>
      <w:r>
        <w:drawing>
          <wp:inline xmlns:a="http://schemas.openxmlformats.org/drawingml/2006/main" xmlns:pic="http://schemas.openxmlformats.org/drawingml/2006/picture">
            <wp:extent cx="3200400" cy="6938537"/>
            <wp:docPr id="23" name="Picture 23"/>
            <wp:cNvGraphicFramePr>
              <a:graphicFrameLocks noChangeAspect="1"/>
            </wp:cNvGraphicFramePr>
            <a:graphic>
              <a:graphicData uri="http://schemas.openxmlformats.org/drawingml/2006/picture">
                <pic:pic>
                  <pic:nvPicPr>
                    <pic:cNvPr id="0" name="Telegram.jpeg"/>
                    <pic:cNvPicPr/>
                  </pic:nvPicPr>
                  <pic:blipFill>
                    <a:blip r:embed="rId28"/>
                    <a:stretch>
                      <a:fillRect/>
                    </a:stretch>
                  </pic:blipFill>
                  <pic:spPr>
                    <a:xfrm>
                      <a:off x="0" y="0"/>
                      <a:ext cx="3200400" cy="6938537"/>
                    </a:xfrm>
                    <a:prstGeom prst="rect"/>
                  </pic:spPr>
                </pic:pic>
              </a:graphicData>
            </a:graphic>
          </wp:inline>
        </w:drawing>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
        <w:t>En terminos cuantitativos, el analisis realizado revela que el costo de implementacion del sistema prototipo (estimado en menos de USD 50 anuales en infraestructura) es aproximadamente 200 veces menor que el de una solucion empresarial equivalente basada en plataformas como MuleSoft o Dell Boomi. Sin embargo, esta reduccion de costo se compensa con limitaciones en la capacidad de procesamiento paralelo y en la robustez ante fallos, aspectos que serian criticos en entornos de alta disponibilidad. Este hallazgo confirma la hipotesis de trabajo y refuerza la propuesta de un modelo hibrido que prioriza la accesibilidad sin descartar la escalabilidad futura.</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t>Figura C.1. Documentacion interactiva de la API REST (Swagger UI).</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 Id="rId28" Type="http://schemas.openxmlformats.org/officeDocument/2006/relationships/image" Target="media/image1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