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11" w:rsidRDefault="007F266C" w:rsidP="003F5E14">
      <w:pPr>
        <w:pStyle w:val="NoSpacing"/>
        <w:rPr>
          <w:rFonts w:ascii="Times New Roman" w:hAnsi="Times New Roman" w:cs="Times New Roman"/>
        </w:rPr>
      </w:pPr>
      <w:r>
        <w:rPr>
          <w:rFonts w:ascii="Times New Roman" w:hAnsi="Times New Roman" w:cs="Times New Roman"/>
        </w:rPr>
        <w:t xml:space="preserve">4. What do possible realisations of the uncertain DEM look like? </w:t>
      </w:r>
    </w:p>
    <w:p w:rsidR="0005429E" w:rsidRDefault="0005429E" w:rsidP="003F5E14">
      <w:pPr>
        <w:pStyle w:val="NoSpacing"/>
        <w:rPr>
          <w:rFonts w:ascii="Times New Roman" w:hAnsi="Times New Roman" w:cs="Times New Roman"/>
        </w:rPr>
      </w:pPr>
    </w:p>
    <w:p w:rsidR="006921DC" w:rsidRDefault="0005429E" w:rsidP="006237C2">
      <w:pPr>
        <w:pStyle w:val="NoSpacing"/>
        <w:jc w:val="both"/>
        <w:rPr>
          <w:rFonts w:ascii="Times New Roman" w:hAnsi="Times New Roman" w:cs="Times New Roman"/>
        </w:rPr>
      </w:pPr>
      <w:r>
        <w:rPr>
          <w:rFonts w:ascii="Times New Roman" w:hAnsi="Times New Roman" w:cs="Times New Roman"/>
        </w:rPr>
        <w:t>The plots of the default Digital Elevation Model</w:t>
      </w:r>
      <w:r w:rsidR="006237C2">
        <w:rPr>
          <w:rFonts w:ascii="Times New Roman" w:hAnsi="Times New Roman" w:cs="Times New Roman"/>
        </w:rPr>
        <w:t xml:space="preserve"> (DEM) </w:t>
      </w:r>
      <w:r>
        <w:rPr>
          <w:rFonts w:ascii="Times New Roman" w:hAnsi="Times New Roman" w:cs="Times New Roman"/>
        </w:rPr>
        <w:t xml:space="preserve"> and the realisations created using the Monte Carlo simulation are shown in </w:t>
      </w:r>
      <w:r w:rsidRPr="0005429E">
        <w:rPr>
          <w:rFonts w:ascii="Times New Roman" w:hAnsi="Times New Roman" w:cs="Times New Roman"/>
          <w:highlight w:val="yellow"/>
        </w:rPr>
        <w:t>figure x</w:t>
      </w:r>
      <w:r>
        <w:rPr>
          <w:rFonts w:ascii="Times New Roman" w:hAnsi="Times New Roman" w:cs="Times New Roman"/>
        </w:rPr>
        <w:t xml:space="preserve">. </w:t>
      </w:r>
      <w:r w:rsidR="006237C2">
        <w:rPr>
          <w:rFonts w:ascii="Times New Roman" w:hAnsi="Times New Roman" w:cs="Times New Roman"/>
        </w:rPr>
        <w:t xml:space="preserve">A visual comparison shows very limited differences between the realisations and the default DEM. This can also be observed in the basic mean, standard deviation, minimum and maximum </w:t>
      </w:r>
      <w:r w:rsidR="009B44F9">
        <w:rPr>
          <w:rFonts w:ascii="Times New Roman" w:hAnsi="Times New Roman" w:cs="Times New Roman"/>
        </w:rPr>
        <w:t xml:space="preserve">value </w:t>
      </w:r>
      <w:r w:rsidR="006237C2">
        <w:rPr>
          <w:rFonts w:ascii="Times New Roman" w:hAnsi="Times New Roman" w:cs="Times New Roman"/>
        </w:rPr>
        <w:t xml:space="preserve">statistics as shown in </w:t>
      </w:r>
      <w:r w:rsidR="006237C2" w:rsidRPr="006237C2">
        <w:rPr>
          <w:rFonts w:ascii="Times New Roman" w:hAnsi="Times New Roman" w:cs="Times New Roman"/>
          <w:highlight w:val="red"/>
        </w:rPr>
        <w:t>table x</w:t>
      </w:r>
      <w:r w:rsidR="006237C2">
        <w:rPr>
          <w:rFonts w:ascii="Times New Roman" w:hAnsi="Times New Roman" w:cs="Times New Roman"/>
        </w:rPr>
        <w:t xml:space="preserve">. The mean and maximum values of the default DEM are more or less similar to the means </w:t>
      </w:r>
      <w:r w:rsidR="009B44F9">
        <w:rPr>
          <w:rFonts w:ascii="Times New Roman" w:hAnsi="Times New Roman" w:cs="Times New Roman"/>
        </w:rPr>
        <w:t xml:space="preserve">and maximum values </w:t>
      </w:r>
      <w:r w:rsidR="006237C2">
        <w:rPr>
          <w:rFonts w:ascii="Times New Roman" w:hAnsi="Times New Roman" w:cs="Times New Roman"/>
        </w:rPr>
        <w:t>of the realisations. The standard deviations of the realisations are slightly higher compared to the default DEM, but the difference</w:t>
      </w:r>
      <w:r w:rsidR="009B44F9">
        <w:rPr>
          <w:rFonts w:ascii="Times New Roman" w:hAnsi="Times New Roman" w:cs="Times New Roman"/>
        </w:rPr>
        <w:t>s of</w:t>
      </w:r>
      <w:r w:rsidR="006237C2">
        <w:rPr>
          <w:rFonts w:ascii="Times New Roman" w:hAnsi="Times New Roman" w:cs="Times New Roman"/>
        </w:rPr>
        <w:t xml:space="preserve"> standard deviat</w:t>
      </w:r>
      <w:r w:rsidR="009B44F9">
        <w:rPr>
          <w:rFonts w:ascii="Times New Roman" w:hAnsi="Times New Roman" w:cs="Times New Roman"/>
        </w:rPr>
        <w:t>ions between the realisations are</w:t>
      </w:r>
      <w:r w:rsidR="006237C2">
        <w:rPr>
          <w:rFonts w:ascii="Times New Roman" w:hAnsi="Times New Roman" w:cs="Times New Roman"/>
        </w:rPr>
        <w:t xml:space="preserve"> again minimal. </w:t>
      </w:r>
      <w:r w:rsidR="009B44F9">
        <w:rPr>
          <w:rFonts w:ascii="Times New Roman" w:hAnsi="Times New Roman" w:cs="Times New Roman"/>
        </w:rPr>
        <w:t>The higher standard deviation can be explained by the fact that the presence of measurement errors are taken into account when the realisations are created. The presence of errors introduces uncertainty which reduces the accuracy of the realisations and as a result, the standard deviation increases. The introduction of measurement uncertainty can als</w:t>
      </w:r>
      <w:r w:rsidR="006921DC">
        <w:rPr>
          <w:rFonts w:ascii="Times New Roman" w:hAnsi="Times New Roman" w:cs="Times New Roman"/>
        </w:rPr>
        <w:t>o be seen in the minimum value. The default DEM is recorded in cm above NAP (the Dutch reference elevation of 0 cm). Introducing measurement uncertainty means that a certain location of measured elevation 0 can, in reality, have a true elevation which is less than zero. The realisations take this aspect into account and that clarifies the negative minimum values in all realisations.</w:t>
      </w:r>
    </w:p>
    <w:p w:rsidR="006921DC" w:rsidRDefault="006921DC" w:rsidP="006237C2">
      <w:pPr>
        <w:pStyle w:val="NoSpacing"/>
        <w:jc w:val="both"/>
        <w:rPr>
          <w:rFonts w:ascii="Times New Roman" w:hAnsi="Times New Roman" w:cs="Times New Roman"/>
        </w:rPr>
      </w:pPr>
      <w:r>
        <w:rPr>
          <w:rFonts w:ascii="Times New Roman" w:hAnsi="Times New Roman" w:cs="Times New Roman"/>
        </w:rPr>
        <w:tab/>
        <w:t xml:space="preserve">The comparison between the default DEM and the realisations in </w:t>
      </w:r>
      <w:r w:rsidRPr="006921DC">
        <w:rPr>
          <w:rFonts w:ascii="Times New Roman" w:hAnsi="Times New Roman" w:cs="Times New Roman"/>
          <w:highlight w:val="yellow"/>
        </w:rPr>
        <w:t>figure x</w:t>
      </w:r>
      <w:r>
        <w:rPr>
          <w:rFonts w:ascii="Times New Roman" w:hAnsi="Times New Roman" w:cs="Times New Roman"/>
        </w:rPr>
        <w:t xml:space="preserve"> also shows that the realisations are more noisy, whereas the default DEM </w:t>
      </w:r>
      <w:r w:rsidR="00210F11">
        <w:rPr>
          <w:rFonts w:ascii="Times New Roman" w:hAnsi="Times New Roman" w:cs="Times New Roman"/>
        </w:rPr>
        <w:t xml:space="preserve">has clear patches of similar elevations and gradual borders between different elevations. The presence of noise in the realisations can be explained by </w:t>
      </w:r>
      <w:r w:rsidR="009F15D8">
        <w:rPr>
          <w:rFonts w:ascii="Times New Roman" w:hAnsi="Times New Roman" w:cs="Times New Roman"/>
        </w:rPr>
        <w:t xml:space="preserve">the rather low spatial correlation between the measurement errors as can be seen in the </w:t>
      </w:r>
      <w:proofErr w:type="spellStart"/>
      <w:r w:rsidR="009F15D8">
        <w:rPr>
          <w:rFonts w:ascii="Times New Roman" w:hAnsi="Times New Roman" w:cs="Times New Roman"/>
        </w:rPr>
        <w:t>Variogram</w:t>
      </w:r>
      <w:proofErr w:type="spellEnd"/>
      <w:r w:rsidR="009F15D8">
        <w:rPr>
          <w:rFonts w:ascii="Times New Roman" w:hAnsi="Times New Roman" w:cs="Times New Roman"/>
        </w:rPr>
        <w:t xml:space="preserve"> of the residuals in </w:t>
      </w:r>
      <w:r w:rsidR="009F15D8" w:rsidRPr="009F15D8">
        <w:rPr>
          <w:rFonts w:ascii="Times New Roman" w:hAnsi="Times New Roman" w:cs="Times New Roman"/>
          <w:highlight w:val="yellow"/>
        </w:rPr>
        <w:t>figure x</w:t>
      </w:r>
      <w:r w:rsidR="009F15D8">
        <w:rPr>
          <w:rFonts w:ascii="Times New Roman" w:hAnsi="Times New Roman" w:cs="Times New Roman"/>
        </w:rPr>
        <w:t xml:space="preserve">. The high nugget of the </w:t>
      </w:r>
      <w:proofErr w:type="spellStart"/>
      <w:r w:rsidR="009F15D8">
        <w:rPr>
          <w:rFonts w:ascii="Times New Roman" w:hAnsi="Times New Roman" w:cs="Times New Roman"/>
        </w:rPr>
        <w:t>Variogram</w:t>
      </w:r>
      <w:proofErr w:type="spellEnd"/>
      <w:r w:rsidR="009F15D8">
        <w:rPr>
          <w:rFonts w:ascii="Times New Roman" w:hAnsi="Times New Roman" w:cs="Times New Roman"/>
        </w:rPr>
        <w:t xml:space="preserve"> indicates that at short distances there is limited spatial correlation between two reference points. The lack of spatial correlation means that close by reference points can have a large difference of the values which results in noise on the realisations. </w:t>
      </w:r>
    </w:p>
    <w:p w:rsidR="006921DC" w:rsidRDefault="006921DC" w:rsidP="006237C2">
      <w:pPr>
        <w:pStyle w:val="NoSpacing"/>
        <w:jc w:val="both"/>
        <w:rPr>
          <w:rFonts w:ascii="Times New Roman" w:hAnsi="Times New Roman" w:cs="Times New Roman"/>
        </w:rPr>
      </w:pPr>
    </w:p>
    <w:p w:rsidR="006237C2" w:rsidRDefault="006921DC" w:rsidP="006237C2">
      <w:pPr>
        <w:pStyle w:val="NoSpacing"/>
        <w:jc w:val="both"/>
        <w:rPr>
          <w:rFonts w:ascii="Times New Roman" w:hAnsi="Times New Roman" w:cs="Times New Roman"/>
        </w:rPr>
      </w:pPr>
      <w:r>
        <w:rPr>
          <w:rFonts w:ascii="Times New Roman" w:hAnsi="Times New Roman" w:cs="Times New Roman"/>
        </w:rPr>
        <w:t xml:space="preserve"> </w:t>
      </w:r>
    </w:p>
    <w:tbl>
      <w:tblPr>
        <w:tblStyle w:val="LightShading-Accent1"/>
        <w:tblpPr w:leftFromText="180" w:rightFromText="180" w:vertAnchor="text" w:horzAnchor="margin" w:tblpXSpec="center" w:tblpY="94"/>
        <w:tblW w:w="0" w:type="auto"/>
        <w:tblLook w:val="04A0"/>
      </w:tblPr>
      <w:tblGrid>
        <w:gridCol w:w="1857"/>
        <w:gridCol w:w="1228"/>
        <w:gridCol w:w="992"/>
        <w:gridCol w:w="993"/>
        <w:gridCol w:w="992"/>
      </w:tblGrid>
      <w:tr w:rsidR="009F15D8" w:rsidTr="009F15D8">
        <w:trPr>
          <w:cnfStyle w:val="100000000000"/>
        </w:trPr>
        <w:tc>
          <w:tcPr>
            <w:cnfStyle w:val="001000000000"/>
            <w:tcW w:w="1857" w:type="dxa"/>
          </w:tcPr>
          <w:p w:rsidR="009F15D8" w:rsidRDefault="009F15D8" w:rsidP="009F15D8">
            <w:pPr>
              <w:pStyle w:val="NoSpacing"/>
              <w:rPr>
                <w:rFonts w:ascii="Times New Roman" w:hAnsi="Times New Roman" w:cs="Times New Roman"/>
              </w:rPr>
            </w:pPr>
            <w:r>
              <w:rPr>
                <w:rFonts w:ascii="Times New Roman" w:hAnsi="Times New Roman" w:cs="Times New Roman"/>
              </w:rPr>
              <w:t>DEM</w:t>
            </w:r>
          </w:p>
        </w:tc>
        <w:tc>
          <w:tcPr>
            <w:tcW w:w="1228" w:type="dxa"/>
          </w:tcPr>
          <w:p w:rsidR="009F15D8" w:rsidRDefault="009F15D8" w:rsidP="009F15D8">
            <w:pPr>
              <w:pStyle w:val="NoSpacing"/>
              <w:jc w:val="center"/>
              <w:cnfStyle w:val="100000000000"/>
              <w:rPr>
                <w:rFonts w:ascii="Times New Roman" w:hAnsi="Times New Roman" w:cs="Times New Roman"/>
              </w:rPr>
            </w:pPr>
            <w:r>
              <w:rPr>
                <w:rFonts w:ascii="Times New Roman" w:hAnsi="Times New Roman" w:cs="Times New Roman"/>
              </w:rPr>
              <w:t>Mean</w:t>
            </w:r>
          </w:p>
        </w:tc>
        <w:tc>
          <w:tcPr>
            <w:tcW w:w="992" w:type="dxa"/>
          </w:tcPr>
          <w:p w:rsidR="009F15D8" w:rsidRDefault="009F15D8" w:rsidP="009F15D8">
            <w:pPr>
              <w:pStyle w:val="NoSpacing"/>
              <w:jc w:val="center"/>
              <w:cnfStyle w:val="100000000000"/>
              <w:rPr>
                <w:rFonts w:ascii="Times New Roman" w:hAnsi="Times New Roman" w:cs="Times New Roman"/>
              </w:rPr>
            </w:pPr>
            <w:proofErr w:type="spellStart"/>
            <w:r>
              <w:rPr>
                <w:rFonts w:ascii="Times New Roman" w:hAnsi="Times New Roman" w:cs="Times New Roman"/>
              </w:rPr>
              <w:t>Sd</w:t>
            </w:r>
            <w:proofErr w:type="spellEnd"/>
          </w:p>
        </w:tc>
        <w:tc>
          <w:tcPr>
            <w:tcW w:w="993" w:type="dxa"/>
          </w:tcPr>
          <w:p w:rsidR="009F15D8" w:rsidRDefault="009F15D8" w:rsidP="009F15D8">
            <w:pPr>
              <w:pStyle w:val="NoSpacing"/>
              <w:jc w:val="center"/>
              <w:cnfStyle w:val="100000000000"/>
              <w:rPr>
                <w:rFonts w:ascii="Times New Roman" w:hAnsi="Times New Roman" w:cs="Times New Roman"/>
              </w:rPr>
            </w:pPr>
            <w:r>
              <w:rPr>
                <w:rFonts w:ascii="Times New Roman" w:hAnsi="Times New Roman" w:cs="Times New Roman"/>
              </w:rPr>
              <w:t>Min</w:t>
            </w:r>
          </w:p>
        </w:tc>
        <w:tc>
          <w:tcPr>
            <w:tcW w:w="992" w:type="dxa"/>
          </w:tcPr>
          <w:p w:rsidR="009F15D8" w:rsidRDefault="009F15D8" w:rsidP="009F15D8">
            <w:pPr>
              <w:pStyle w:val="NoSpacing"/>
              <w:jc w:val="center"/>
              <w:cnfStyle w:val="100000000000"/>
              <w:rPr>
                <w:rFonts w:ascii="Times New Roman" w:hAnsi="Times New Roman" w:cs="Times New Roman"/>
              </w:rPr>
            </w:pPr>
            <w:r>
              <w:rPr>
                <w:rFonts w:ascii="Times New Roman" w:hAnsi="Times New Roman" w:cs="Times New Roman"/>
              </w:rPr>
              <w:t>Max</w:t>
            </w:r>
          </w:p>
        </w:tc>
      </w:tr>
      <w:tr w:rsidR="009F15D8" w:rsidTr="009F15D8">
        <w:trPr>
          <w:cnfStyle w:val="000000100000"/>
        </w:trPr>
        <w:tc>
          <w:tcPr>
            <w:cnfStyle w:val="001000000000"/>
            <w:tcW w:w="1857" w:type="dxa"/>
          </w:tcPr>
          <w:p w:rsidR="009F15D8" w:rsidRDefault="009F15D8" w:rsidP="009F15D8">
            <w:pPr>
              <w:pStyle w:val="NoSpacing"/>
              <w:rPr>
                <w:rFonts w:ascii="Times New Roman" w:hAnsi="Times New Roman" w:cs="Times New Roman"/>
              </w:rPr>
            </w:pPr>
            <w:proofErr w:type="spellStart"/>
            <w:r>
              <w:rPr>
                <w:rFonts w:ascii="Times New Roman" w:hAnsi="Times New Roman" w:cs="Times New Roman"/>
              </w:rPr>
              <w:t>DefaultDEM</w:t>
            </w:r>
            <w:proofErr w:type="spellEnd"/>
          </w:p>
        </w:tc>
        <w:tc>
          <w:tcPr>
            <w:tcW w:w="1228"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352.21</w:t>
            </w:r>
          </w:p>
        </w:tc>
        <w:tc>
          <w:tcPr>
            <w:tcW w:w="992"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366.24</w:t>
            </w:r>
          </w:p>
        </w:tc>
        <w:tc>
          <w:tcPr>
            <w:tcW w:w="993"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0</w:t>
            </w:r>
          </w:p>
        </w:tc>
        <w:tc>
          <w:tcPr>
            <w:tcW w:w="992"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2887.27</w:t>
            </w:r>
          </w:p>
        </w:tc>
      </w:tr>
      <w:tr w:rsidR="009F15D8" w:rsidTr="009F15D8">
        <w:tc>
          <w:tcPr>
            <w:cnfStyle w:val="001000000000"/>
            <w:tcW w:w="1857" w:type="dxa"/>
          </w:tcPr>
          <w:p w:rsidR="009F15D8" w:rsidRDefault="009F15D8" w:rsidP="009F15D8">
            <w:pPr>
              <w:pStyle w:val="NoSpacing"/>
              <w:rPr>
                <w:rFonts w:ascii="Times New Roman" w:hAnsi="Times New Roman" w:cs="Times New Roman"/>
              </w:rPr>
            </w:pPr>
            <w:r>
              <w:rPr>
                <w:rFonts w:ascii="Times New Roman" w:hAnsi="Times New Roman" w:cs="Times New Roman"/>
              </w:rPr>
              <w:t>Realisation 8</w:t>
            </w:r>
          </w:p>
        </w:tc>
        <w:tc>
          <w:tcPr>
            <w:tcW w:w="1228"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351.31</w:t>
            </w:r>
          </w:p>
        </w:tc>
        <w:tc>
          <w:tcPr>
            <w:tcW w:w="992"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371.00</w:t>
            </w:r>
          </w:p>
        </w:tc>
        <w:tc>
          <w:tcPr>
            <w:tcW w:w="993"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-8.64</w:t>
            </w:r>
          </w:p>
        </w:tc>
        <w:tc>
          <w:tcPr>
            <w:tcW w:w="992"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2871.81</w:t>
            </w:r>
          </w:p>
        </w:tc>
      </w:tr>
      <w:tr w:rsidR="009F15D8" w:rsidTr="009F15D8">
        <w:trPr>
          <w:cnfStyle w:val="000000100000"/>
        </w:trPr>
        <w:tc>
          <w:tcPr>
            <w:cnfStyle w:val="001000000000"/>
            <w:tcW w:w="1857" w:type="dxa"/>
          </w:tcPr>
          <w:p w:rsidR="009F15D8" w:rsidRDefault="009F15D8" w:rsidP="009F15D8">
            <w:pPr>
              <w:pStyle w:val="NoSpacing"/>
              <w:rPr>
                <w:rFonts w:ascii="Times New Roman" w:hAnsi="Times New Roman" w:cs="Times New Roman"/>
              </w:rPr>
            </w:pPr>
            <w:r>
              <w:rPr>
                <w:rFonts w:ascii="Times New Roman" w:hAnsi="Times New Roman" w:cs="Times New Roman"/>
              </w:rPr>
              <w:t>Realisation 23</w:t>
            </w:r>
          </w:p>
        </w:tc>
        <w:tc>
          <w:tcPr>
            <w:tcW w:w="1228"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351.71</w:t>
            </w:r>
          </w:p>
        </w:tc>
        <w:tc>
          <w:tcPr>
            <w:tcW w:w="992"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371.72</w:t>
            </w:r>
          </w:p>
        </w:tc>
        <w:tc>
          <w:tcPr>
            <w:tcW w:w="993"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-129.34</w:t>
            </w:r>
          </w:p>
        </w:tc>
        <w:tc>
          <w:tcPr>
            <w:tcW w:w="992"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2837.86</w:t>
            </w:r>
          </w:p>
        </w:tc>
      </w:tr>
      <w:tr w:rsidR="009F15D8" w:rsidTr="009F15D8">
        <w:tc>
          <w:tcPr>
            <w:cnfStyle w:val="001000000000"/>
            <w:tcW w:w="1857" w:type="dxa"/>
          </w:tcPr>
          <w:p w:rsidR="009F15D8" w:rsidRDefault="009F15D8" w:rsidP="009F15D8">
            <w:pPr>
              <w:pStyle w:val="NoSpacing"/>
              <w:rPr>
                <w:rFonts w:ascii="Times New Roman" w:hAnsi="Times New Roman" w:cs="Times New Roman"/>
              </w:rPr>
            </w:pPr>
            <w:r>
              <w:rPr>
                <w:rFonts w:ascii="Times New Roman" w:hAnsi="Times New Roman" w:cs="Times New Roman"/>
              </w:rPr>
              <w:t>Realisation 40</w:t>
            </w:r>
          </w:p>
        </w:tc>
        <w:tc>
          <w:tcPr>
            <w:tcW w:w="1228"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353.76</w:t>
            </w:r>
          </w:p>
        </w:tc>
        <w:tc>
          <w:tcPr>
            <w:tcW w:w="992"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372.68</w:t>
            </w:r>
          </w:p>
        </w:tc>
        <w:tc>
          <w:tcPr>
            <w:tcW w:w="993"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-87.11</w:t>
            </w:r>
          </w:p>
        </w:tc>
        <w:tc>
          <w:tcPr>
            <w:tcW w:w="992"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2828.59</w:t>
            </w:r>
          </w:p>
        </w:tc>
      </w:tr>
      <w:tr w:rsidR="009F15D8" w:rsidTr="009F15D8">
        <w:trPr>
          <w:cnfStyle w:val="000000100000"/>
        </w:trPr>
        <w:tc>
          <w:tcPr>
            <w:cnfStyle w:val="001000000000"/>
            <w:tcW w:w="1857" w:type="dxa"/>
          </w:tcPr>
          <w:p w:rsidR="009F15D8" w:rsidRDefault="009F15D8" w:rsidP="009F15D8">
            <w:pPr>
              <w:pStyle w:val="NoSpacing"/>
              <w:rPr>
                <w:rFonts w:ascii="Times New Roman" w:hAnsi="Times New Roman" w:cs="Times New Roman"/>
              </w:rPr>
            </w:pPr>
            <w:r>
              <w:rPr>
                <w:rFonts w:ascii="Times New Roman" w:hAnsi="Times New Roman" w:cs="Times New Roman"/>
              </w:rPr>
              <w:t>Realisation 73</w:t>
            </w:r>
          </w:p>
        </w:tc>
        <w:tc>
          <w:tcPr>
            <w:tcW w:w="1228"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352.16</w:t>
            </w:r>
          </w:p>
        </w:tc>
        <w:tc>
          <w:tcPr>
            <w:tcW w:w="992"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372.42</w:t>
            </w:r>
          </w:p>
        </w:tc>
        <w:tc>
          <w:tcPr>
            <w:tcW w:w="993"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-52.69</w:t>
            </w:r>
          </w:p>
        </w:tc>
        <w:tc>
          <w:tcPr>
            <w:tcW w:w="992" w:type="dxa"/>
          </w:tcPr>
          <w:p w:rsidR="009F15D8" w:rsidRDefault="009F15D8" w:rsidP="009F15D8">
            <w:pPr>
              <w:pStyle w:val="NoSpacing"/>
              <w:jc w:val="center"/>
              <w:cnfStyle w:val="000000100000"/>
              <w:rPr>
                <w:rFonts w:ascii="Times New Roman" w:hAnsi="Times New Roman" w:cs="Times New Roman"/>
              </w:rPr>
            </w:pPr>
            <w:r>
              <w:rPr>
                <w:rFonts w:ascii="Times New Roman" w:hAnsi="Times New Roman" w:cs="Times New Roman"/>
              </w:rPr>
              <w:t>2881.02</w:t>
            </w:r>
          </w:p>
        </w:tc>
      </w:tr>
      <w:tr w:rsidR="009F15D8" w:rsidTr="009F15D8">
        <w:tc>
          <w:tcPr>
            <w:cnfStyle w:val="001000000000"/>
            <w:tcW w:w="1857" w:type="dxa"/>
          </w:tcPr>
          <w:p w:rsidR="009F15D8" w:rsidRDefault="009F15D8" w:rsidP="009F15D8">
            <w:pPr>
              <w:pStyle w:val="NoSpacing"/>
              <w:rPr>
                <w:rFonts w:ascii="Times New Roman" w:hAnsi="Times New Roman" w:cs="Times New Roman"/>
              </w:rPr>
            </w:pPr>
            <w:r>
              <w:rPr>
                <w:rFonts w:ascii="Times New Roman" w:hAnsi="Times New Roman" w:cs="Times New Roman"/>
              </w:rPr>
              <w:t>Realisation 85</w:t>
            </w:r>
          </w:p>
        </w:tc>
        <w:tc>
          <w:tcPr>
            <w:tcW w:w="1228"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351.00</w:t>
            </w:r>
          </w:p>
        </w:tc>
        <w:tc>
          <w:tcPr>
            <w:tcW w:w="992"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371.52</w:t>
            </w:r>
          </w:p>
        </w:tc>
        <w:tc>
          <w:tcPr>
            <w:tcW w:w="993"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-59.47</w:t>
            </w:r>
          </w:p>
        </w:tc>
        <w:tc>
          <w:tcPr>
            <w:tcW w:w="992" w:type="dxa"/>
          </w:tcPr>
          <w:p w:rsidR="009F15D8" w:rsidRDefault="009F15D8" w:rsidP="009F15D8">
            <w:pPr>
              <w:pStyle w:val="NoSpacing"/>
              <w:jc w:val="center"/>
              <w:cnfStyle w:val="000000000000"/>
              <w:rPr>
                <w:rFonts w:ascii="Times New Roman" w:hAnsi="Times New Roman" w:cs="Times New Roman"/>
              </w:rPr>
            </w:pPr>
            <w:r>
              <w:rPr>
                <w:rFonts w:ascii="Times New Roman" w:hAnsi="Times New Roman" w:cs="Times New Roman"/>
              </w:rPr>
              <w:t>2859.05</w:t>
            </w:r>
          </w:p>
        </w:tc>
      </w:tr>
    </w:tbl>
    <w:p w:rsidR="00FA4311" w:rsidRDefault="00FA4311">
      <w:pPr>
        <w:rPr>
          <w:rFonts w:ascii="Times New Roman" w:hAnsi="Times New Roman" w:cs="Times New Roman"/>
        </w:rPr>
      </w:pPr>
      <w:r>
        <w:rPr>
          <w:rFonts w:ascii="Times New Roman" w:hAnsi="Times New Roman" w:cs="Times New Roman"/>
        </w:rPr>
        <w:br w:type="page"/>
      </w:r>
    </w:p>
    <w:p w:rsidR="00042DE4" w:rsidRPr="003F5E14" w:rsidRDefault="006D07C7" w:rsidP="003F5E14">
      <w:pPr>
        <w:pStyle w:val="NoSpacing"/>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58240" behindDoc="1" locked="0" layoutInCell="1" allowOverlap="1">
            <wp:simplePos x="0" y="0"/>
            <wp:positionH relativeFrom="column">
              <wp:posOffset>-109220</wp:posOffset>
            </wp:positionH>
            <wp:positionV relativeFrom="paragraph">
              <wp:posOffset>-4445</wp:posOffset>
            </wp:positionV>
            <wp:extent cx="5960745" cy="5057775"/>
            <wp:effectExtent l="19050" t="0" r="1905" b="0"/>
            <wp:wrapTight wrapText="bothSides">
              <wp:wrapPolygon edited="0">
                <wp:start x="-69" y="0"/>
                <wp:lineTo x="-69" y="21559"/>
                <wp:lineTo x="21607" y="21559"/>
                <wp:lineTo x="21607" y="0"/>
                <wp:lineTo x="-69" y="0"/>
              </wp:wrapPolygon>
            </wp:wrapTight>
            <wp:docPr id="1" name="Picture 0" descr="Combined_rela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_relalisations.PNG"/>
                    <pic:cNvPicPr/>
                  </pic:nvPicPr>
                  <pic:blipFill>
                    <a:blip r:embed="rId5" cstate="print"/>
                    <a:stretch>
                      <a:fillRect/>
                    </a:stretch>
                  </pic:blipFill>
                  <pic:spPr>
                    <a:xfrm>
                      <a:off x="0" y="0"/>
                      <a:ext cx="5960745" cy="5057775"/>
                    </a:xfrm>
                    <a:prstGeom prst="rect">
                      <a:avLst/>
                    </a:prstGeom>
                  </pic:spPr>
                </pic:pic>
              </a:graphicData>
            </a:graphic>
          </wp:anchor>
        </w:drawing>
      </w:r>
    </w:p>
    <w:sectPr w:rsidR="00042DE4" w:rsidRPr="003F5E14" w:rsidSect="00C84B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A3A08"/>
    <w:multiLevelType w:val="hybridMultilevel"/>
    <w:tmpl w:val="7E52880E"/>
    <w:lvl w:ilvl="0" w:tplc="136E9FBC">
      <w:start w:val="2859"/>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E14"/>
    <w:rsid w:val="0005429E"/>
    <w:rsid w:val="001B0D0E"/>
    <w:rsid w:val="00210F11"/>
    <w:rsid w:val="003F5E14"/>
    <w:rsid w:val="00432E69"/>
    <w:rsid w:val="006237C2"/>
    <w:rsid w:val="006921DC"/>
    <w:rsid w:val="006D07C7"/>
    <w:rsid w:val="007F266C"/>
    <w:rsid w:val="00814C08"/>
    <w:rsid w:val="0094003B"/>
    <w:rsid w:val="0095062A"/>
    <w:rsid w:val="009B44F9"/>
    <w:rsid w:val="009F15D8"/>
    <w:rsid w:val="00AF3436"/>
    <w:rsid w:val="00C84BE3"/>
    <w:rsid w:val="00FA4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E14"/>
    <w:pPr>
      <w:spacing w:after="0" w:line="240" w:lineRule="auto"/>
    </w:pPr>
  </w:style>
  <w:style w:type="table" w:styleId="TableGrid">
    <w:name w:val="Table Grid"/>
    <w:basedOn w:val="TableNormal"/>
    <w:uiPriority w:val="59"/>
    <w:rsid w:val="003F5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A43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A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3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E14"/>
    <w:pPr>
      <w:spacing w:after="0" w:line="240" w:lineRule="auto"/>
    </w:pPr>
  </w:style>
  <w:style w:type="table" w:styleId="TableGrid">
    <w:name w:val="Table Grid"/>
    <w:basedOn w:val="TableNormal"/>
    <w:uiPriority w:val="59"/>
    <w:rsid w:val="003F5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A431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A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0344010">
      <w:bodyDiv w:val="1"/>
      <w:marLeft w:val="0"/>
      <w:marRight w:val="0"/>
      <w:marTop w:val="0"/>
      <w:marBottom w:val="0"/>
      <w:divBdr>
        <w:top w:val="none" w:sz="0" w:space="0" w:color="auto"/>
        <w:left w:val="none" w:sz="0" w:space="0" w:color="auto"/>
        <w:bottom w:val="none" w:sz="0" w:space="0" w:color="auto"/>
        <w:right w:val="none" w:sz="0" w:space="0" w:color="auto"/>
      </w:divBdr>
    </w:div>
    <w:div w:id="9434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Nedkov, Rony</dc:creator>
  <cp:lastModifiedBy>Admin</cp:lastModifiedBy>
  <cp:revision>2</cp:revision>
  <dcterms:created xsi:type="dcterms:W3CDTF">2015-04-23T08:01:00Z</dcterms:created>
  <dcterms:modified xsi:type="dcterms:W3CDTF">2015-04-23T20:32:00Z</dcterms:modified>
</cp:coreProperties>
</file>