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aps/>
          <w:color w:val="B79A5B"/>
          <w:sz w:val="18"/>
          <w:szCs w:val="18"/>
        </w:rPr>
        <w:t xml:space="preserve">PROBLEM STATEMENT</w:t>
      </w:r>
    </w:p>
    <w:p>
      <w:pPr>
        <w:pBdr>
          <w:bottom w:val="single" w:color="B79A5B" w:sz="8" w:space="4"/>
        </w:pBdr>
        <w:spacing w:after="60"/>
      </w:pPr>
      <w:r>
        <w:rPr>
          <w:rFonts w:ascii="Arial" w:cs="Arial" w:eastAsia="Arial" w:hAnsi="Arial"/>
          <w:b/>
          <w:bCs/>
          <w:color w:val="1B2A4A"/>
          <w:sz w:val="30"/>
          <w:szCs w:val="30"/>
        </w:rPr>
        <w:t xml:space="preserve">Automated Seating Group Generator for Program Coordinators</w:t>
      </w:r>
    </w:p>
    <w:p>
      <w:pPr>
        <w:spacing w:after="160"/>
      </w:pPr>
      <w:r>
        <w:rPr>
          <w:rFonts w:ascii="Arial" w:cs="Arial" w:eastAsia="Arial" w:hAnsi="Arial"/>
          <w:i/>
          <w:iCs/>
          <w:color w:val="666666"/>
          <w:sz w:val="19"/>
          <w:szCs w:val="19"/>
        </w:rPr>
        <w:t xml:space="preserve">Vibe Coding Workshop — Challenge #7 (Operations)</w:t>
      </w:r>
    </w:p>
    <w:p>
      <w:pPr>
        <w:pStyle w:val="Heading2"/>
        <w:spacing w:after="100" w:before="200"/>
      </w:pPr>
      <w:r>
        <w:rPr>
          <w:rFonts w:ascii="Arial" w:cs="Arial" w:eastAsia="Arial" w:hAnsi="Arial"/>
          <w:b/>
          <w:bCs/>
          <w:color w:val="1B2A4A"/>
          <w:sz w:val="24"/>
          <w:szCs w:val="24"/>
        </w:rPr>
        <w:t xml:space="preserve">1. What is the problem?</w:t>
      </w:r>
    </w:p>
    <w:p>
      <w:pPr>
        <w:spacing w:after="120" w:line="264"/>
        <w:jc w:val="both"/>
      </w:pPr>
      <w:r>
        <w:rPr>
          <w:rFonts w:ascii="Arial" w:cs="Arial" w:eastAsia="Arial" w:hAnsi="Arial"/>
          <w:sz w:val="21"/>
          <w:szCs w:val="21"/>
        </w:rPr>
        <w:t xml:space="preserve">For every program at IMD, Program Coordinators must manually build participant seating plans — not once, but as a fresh configuration for each day of the program. Each configuration must simultaneously satisfy several hard constraints: gender balance across tables, maximum mixing so participants meet new people every day, and distribution criteria such as nationality, industry, and coaching group. A PC building a five-day arrangement for 50 participants across 8 tables is effectively solving a multi-constraint optimisation problem by hand in Excel. General-purpose AI tools have been tried and rejected because they produce unreliable output — most commonly assigning the same participant to two tables at once, or quietly violating a balance rule — and a single such error discovered in the classroom is worse than no tool at all.</w:t>
      </w:r>
    </w:p>
    <w:p>
      <w:pPr>
        <w:pStyle w:val="Heading2"/>
        <w:spacing w:after="100" w:before="200"/>
      </w:pPr>
      <w:r>
        <w:rPr>
          <w:rFonts w:ascii="Arial" w:cs="Arial" w:eastAsia="Arial" w:hAnsi="Arial"/>
          <w:b/>
          <w:bCs/>
          <w:color w:val="1B2A4A"/>
          <w:sz w:val="24"/>
          <w:szCs w:val="24"/>
        </w:rPr>
        <w:t xml:space="preserve">2. Who experiences this problem?</w:t>
      </w:r>
    </w:p>
    <w:p>
      <w:pPr>
        <w:spacing w:after="120" w:line="264"/>
        <w:jc w:val="both"/>
      </w:pPr>
      <w:r>
        <w:rPr>
          <w:rFonts w:ascii="Arial" w:cs="Arial" w:eastAsia="Arial" w:hAnsi="Arial"/>
          <w:sz w:val="21"/>
          <w:szCs w:val="21"/>
        </w:rPr>
        <w:t xml:space="preserve">Program Coordinators in IMD’s Operations team. There are approximately 40 PCs, each delivering around two programs per month. Every program requires a participant spreadsheet plus multiple daily seating configurations, putting the total effort at an estimated </w:t>
      </w:r>
      <w:r>
        <w:rPr>
          <w:rFonts w:ascii="Arial" w:cs="Arial" w:eastAsia="Arial" w:hAnsi="Arial"/>
          <w:b/>
          <w:bCs/>
          <w:sz w:val="21"/>
          <w:szCs w:val="21"/>
        </w:rPr>
        <w:t xml:space="preserve">960 hours per year</w:t>
      </w:r>
      <w:r>
        <w:rPr>
          <w:rFonts w:ascii="Arial" w:cs="Arial" w:eastAsia="Arial" w:hAnsi="Arial"/>
          <w:sz w:val="21"/>
          <w:szCs w:val="21"/>
        </w:rPr>
        <w:t xml:space="preserve"> across the team — time spent on a mechanical task rather than on participant experience.</w:t>
      </w:r>
    </w:p>
    <w:p>
      <w:pPr>
        <w:pStyle w:val="Heading2"/>
        <w:spacing w:after="100" w:before="200"/>
      </w:pPr>
      <w:r>
        <w:rPr>
          <w:rFonts w:ascii="Arial" w:cs="Arial" w:eastAsia="Arial" w:hAnsi="Arial"/>
          <w:b/>
          <w:bCs/>
          <w:color w:val="1B2A4A"/>
          <w:sz w:val="24"/>
          <w:szCs w:val="24"/>
        </w:rPr>
        <w:t xml:space="preserve">3. Why does it matter?</w:t>
      </w:r>
    </w:p>
    <w:p>
      <w:pPr>
        <w:spacing w:after="120" w:line="264"/>
        <w:jc w:val="both"/>
      </w:pPr>
      <w:r>
        <w:rPr>
          <w:rFonts w:ascii="Arial" w:cs="Arial" w:eastAsia="Arial" w:hAnsi="Arial"/>
          <w:sz w:val="21"/>
          <w:szCs w:val="21"/>
        </w:rPr>
        <w:t xml:space="preserve">The cost is twofold. First, the direct time: roughly 24 person-hours per PC per year — about half a working week each — on group assignments alone. Second, the error cost: when a manually built plan breaks a constraint (two people from the same company at the same table all week, or a gender-skewed group), the learning experience degrades and the PC absorbs the rework under time pressure during program delivery. A reliable tool would convert hours of manual shuffling into minutes, and replace “checked by eye” with “correct by construction.”</w:t>
      </w:r>
    </w:p>
    <w:p>
      <w:pPr>
        <w:pStyle w:val="Heading2"/>
        <w:spacing w:after="100" w:before="200"/>
      </w:pPr>
      <w:r>
        <w:rPr>
          <w:rFonts w:ascii="Arial" w:cs="Arial" w:eastAsia="Arial" w:hAnsi="Arial"/>
          <w:b/>
          <w:bCs/>
          <w:color w:val="1B2A4A"/>
          <w:sz w:val="24"/>
          <w:szCs w:val="24"/>
        </w:rPr>
        <w:t xml:space="preserve">4. What would a good solution look like?</w:t>
      </w:r>
    </w:p>
    <w:p>
      <w:pPr>
        <w:spacing w:after="120" w:line="264"/>
        <w:jc w:val="both"/>
      </w:pPr>
      <w:r>
        <w:rPr>
          <w:rFonts w:ascii="Arial" w:cs="Arial" w:eastAsia="Arial" w:hAnsi="Arial"/>
          <w:sz w:val="21"/>
          <w:szCs w:val="21"/>
        </w:rPr>
        <w:t xml:space="preserve">A simple, secure, browser-based tool. The coordinator uploads a participant list (Excel/CSV with columns such as name, gender, nationality, industry, coaching group), specifies the number of tables and the number of daily configurations needed, and clicks generate. The tool returns an Excel file with one sheet per day showing each participant’s assigned table. Under the hood, a deterministic algorithm — not a free-form LLM — guarantees that every participant appears exactly once per configuration, enforces gender balance, and maximises mixing across days by minimising repeat pairings and same-attribute clustering. The output is something a PC can trust without re-checking, and the whole interaction takes under two minutes.</w:t>
      </w:r>
    </w:p>
    <w:p>
      <w:pPr>
        <w:pStyle w:val="Heading2"/>
        <w:spacing w:after="100" w:before="200"/>
      </w:pPr>
      <w:r>
        <w:rPr>
          <w:rFonts w:ascii="Arial" w:cs="Arial" w:eastAsia="Arial" w:hAnsi="Arial"/>
          <w:b/>
          <w:bCs/>
          <w:color w:val="1B2A4A"/>
          <w:sz w:val="24"/>
          <w:szCs w:val="24"/>
        </w:rPr>
        <w:t xml:space="preserve">5. What is explicitly NOT in scope?</w:t>
      </w:r>
    </w:p>
    <w:p>
      <w:pPr>
        <w:pStyle w:val="ListParagraph"/>
        <w:numPr>
          <w:ilvl w:val="0"/>
          <w:numId w:val="2"/>
        </w:numPr>
        <w:spacing w:after="60" w:line="264"/>
      </w:pPr>
      <w:r>
        <w:rPr>
          <w:rFonts w:ascii="Arial" w:cs="Arial" w:eastAsia="Arial" w:hAnsi="Arial"/>
          <w:b/>
          <w:bCs/>
          <w:sz w:val="21"/>
          <w:szCs w:val="21"/>
        </w:rPr>
        <w:t xml:space="preserve">No login or user accounts</w:t>
      </w:r>
      <w:r>
        <w:rPr>
          <w:rFonts w:ascii="Arial" w:cs="Arial" w:eastAsia="Arial" w:hAnsi="Arial"/>
          <w:sz w:val="21"/>
          <w:szCs w:val="21"/>
        </w:rPr>
        <w:t xml:space="preserve"> — the tool is browser-based and stateless.</w:t>
      </w:r>
    </w:p>
    <w:p>
      <w:pPr>
        <w:pStyle w:val="ListParagraph"/>
        <w:numPr>
          <w:ilvl w:val="0"/>
          <w:numId w:val="2"/>
        </w:numPr>
        <w:spacing w:after="60" w:line="264"/>
      </w:pPr>
      <w:r>
        <w:rPr>
          <w:rFonts w:ascii="Arial" w:cs="Arial" w:eastAsia="Arial" w:hAnsi="Arial"/>
          <w:b/>
          <w:bCs/>
          <w:sz w:val="21"/>
          <w:szCs w:val="21"/>
        </w:rPr>
        <w:t xml:space="preserve">No Salesforce or system integration</w:t>
      </w:r>
      <w:r>
        <w:rPr>
          <w:rFonts w:ascii="Arial" w:cs="Arial" w:eastAsia="Arial" w:hAnsi="Arial"/>
          <w:sz w:val="21"/>
          <w:szCs w:val="21"/>
        </w:rPr>
        <w:t xml:space="preserve"> — input is a file upload, output is a file download.</w:t>
      </w:r>
    </w:p>
    <w:p>
      <w:pPr>
        <w:pStyle w:val="ListParagraph"/>
        <w:numPr>
          <w:ilvl w:val="0"/>
          <w:numId w:val="2"/>
        </w:numPr>
        <w:spacing w:after="60" w:line="264"/>
      </w:pPr>
      <w:r>
        <w:rPr>
          <w:rFonts w:ascii="Arial" w:cs="Arial" w:eastAsia="Arial" w:hAnsi="Arial"/>
          <w:b/>
          <w:bCs/>
          <w:sz w:val="21"/>
          <w:szCs w:val="21"/>
        </w:rPr>
        <w:t xml:space="preserve">No external data storage</w:t>
      </w:r>
      <w:r>
        <w:rPr>
          <w:rFonts w:ascii="Arial" w:cs="Arial" w:eastAsia="Arial" w:hAnsi="Arial"/>
          <w:sz w:val="21"/>
          <w:szCs w:val="21"/>
        </w:rPr>
        <w:t xml:space="preserve"> — participant data is sensitive; nothing is retained after the session, and processing stays within a secure environment.</w:t>
      </w:r>
    </w:p>
    <w:p>
      <w:pPr>
        <w:pStyle w:val="ListParagraph"/>
        <w:numPr>
          <w:ilvl w:val="0"/>
          <w:numId w:val="2"/>
        </w:numPr>
        <w:spacing w:after="60" w:line="264"/>
      </w:pPr>
      <w:r>
        <w:rPr>
          <w:rFonts w:ascii="Arial" w:cs="Arial" w:eastAsia="Arial" w:hAnsi="Arial"/>
          <w:b/>
          <w:bCs/>
          <w:sz w:val="21"/>
          <w:szCs w:val="21"/>
        </w:rPr>
        <w:t xml:space="preserve">No room layouts, name badges, or visual seating maps</w:t>
      </w:r>
      <w:r>
        <w:rPr>
          <w:rFonts w:ascii="Arial" w:cs="Arial" w:eastAsia="Arial" w:hAnsi="Arial"/>
          <w:sz w:val="21"/>
          <w:szCs w:val="21"/>
        </w:rPr>
        <w:t xml:space="preserve"> — the deliverable is the table assignment itself, in Excel.</w:t>
      </w:r>
    </w:p>
    <w:p>
      <w:pPr>
        <w:pStyle w:val="ListParagraph"/>
        <w:numPr>
          <w:ilvl w:val="0"/>
          <w:numId w:val="2"/>
        </w:numPr>
        <w:spacing w:after="60" w:line="264"/>
      </w:pPr>
      <w:r>
        <w:rPr>
          <w:rFonts w:ascii="Arial" w:cs="Arial" w:eastAsia="Arial" w:hAnsi="Arial"/>
          <w:b/>
          <w:bCs/>
          <w:sz w:val="21"/>
          <w:szCs w:val="21"/>
        </w:rPr>
        <w:t xml:space="preserve">No attempt to handle every edge case</w:t>
      </w:r>
      <w:r>
        <w:rPr>
          <w:rFonts w:ascii="Arial" w:cs="Arial" w:eastAsia="Arial" w:hAnsi="Arial"/>
          <w:sz w:val="21"/>
          <w:szCs w:val="21"/>
        </w:rPr>
        <w:t xml:space="preserve"> — within the three-hour build window, the prototype targets one reliable core flow: upload → configure → download. Exotic constraints (accessibility seating, fixed-seat requests) are noted but deferred.</w:t>
      </w:r>
    </w:p>
    <w:p>
      <w:pPr>
        <w:spacing w:after="0" w:before="120"/>
        <w:jc w:val="both"/>
      </w:pPr>
      <w:r>
        <w:rPr>
          <w:rFonts w:ascii="Arial" w:cs="Arial" w:eastAsia="Arial" w:hAnsi="Arial"/>
          <w:sz w:val="21"/>
          <w:szCs w:val="21"/>
        </w:rPr>
        <w:t xml:space="preserve">A small tool that does this one thing reliably — provably valid groups, every time — beats any more ambitious version that cannot be trusted in front of a classroom.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2026-06-11T23:40:30.135Z</dcterms:created>
  <dcterms:modified xsi:type="dcterms:W3CDTF">2026-06-11T23:40:30.135Z</dcterms:modified>
</cp:coreProperties>
</file>

<file path=docProps/custom.xml><?xml version="1.0" encoding="utf-8"?>
<Properties xmlns="http://schemas.openxmlformats.org/officeDocument/2006/custom-properties" xmlns:vt="http://schemas.openxmlformats.org/officeDocument/2006/docPropsVTypes"/>
</file>