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DejaVu Sans Condensed" w:hAnsi="DejaVu Sans Condensed"/>
          <w:b/>
          <w:b/>
          <w:bCs/>
          <w:color w:val="000000"/>
          <w:sz w:val="40"/>
          <w:szCs w:val="4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40"/>
          <w:szCs w:val="40"/>
          <w:lang w:val="cs-CZ"/>
        </w:rPr>
        <w:t>Odpovědi:</w:t>
      </w:r>
    </w:p>
    <w:p>
      <w:pPr>
        <w:pStyle w:val="Normal"/>
        <w:rPr>
          <w:rFonts w:ascii="DejaVu Sans Condensed" w:hAnsi="DejaVu Sans Condensed"/>
          <w:b/>
          <w:b/>
          <w:bCs/>
          <w:color w:val="000000"/>
          <w:sz w:val="40"/>
          <w:szCs w:val="4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40"/>
          <w:szCs w:val="40"/>
          <w:lang w:val="cs-CZ"/>
        </w:rPr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Praktická část</w:t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1 A)</w:t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</w:r>
    </w:p>
    <w:tbl>
      <w:tblPr>
        <w:tblW w:w="9638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všechny věkové kategorie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do 29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30-34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35-39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40 a výše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49.77709 %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54.81928 %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51.81058 %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47.96238 %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44.51613 %</w:t>
            </w:r>
          </w:p>
        </w:tc>
      </w:tr>
    </w:tbl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</w:r>
    </w:p>
    <w:p>
      <w:pPr>
        <w:pStyle w:val="Normal"/>
        <w:rPr>
          <w:rFonts w:ascii="DejaVu Sans Condensed" w:hAnsi="DejaVu Sans Condensed"/>
          <w:color w:val="000000"/>
        </w:rPr>
      </w:pPr>
      <w:r>
        <w:rPr>
          <w:rFonts w:ascii="DejaVu Sans Condensed" w:hAnsi="DejaVu Sans Condensed"/>
          <w:color w:val="000000"/>
        </w:rPr>
        <w:t xml:space="preserve">Data naznačují, že celková úspěšnost embryotransferu pro všechny věkové kategorie je 49.8%. Dále pak úspěšnost klesá s rostoucím věkem matky. </w:t>
      </w:r>
    </w:p>
    <w:p>
      <w:pPr>
        <w:pStyle w:val="Normal"/>
        <w:rPr>
          <w:rFonts w:ascii="DejaVu Sans Condensed" w:hAnsi="DejaVu Sans Condensed"/>
          <w:color w:val="000000"/>
        </w:rPr>
      </w:pPr>
      <w:r>
        <w:rPr>
          <w:rFonts w:ascii="DejaVu Sans Condensed" w:hAnsi="DejaVu Sans Condensed"/>
          <w:color w:val="000000"/>
        </w:rPr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1 B)</w:t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color w:val="000000"/>
          <w:lang w:val="cs-CZ"/>
        </w:rPr>
      </w:pPr>
      <w:r>
        <w:rPr>
          <w:rFonts w:ascii="DejaVu Sans Condensed" w:hAnsi="DejaVu Sans Condensed"/>
          <w:color w:val="000000"/>
          <w:lang w:val="cs-CZ"/>
        </w:rPr>
        <w:t>Pro toto zjištění byl použit model logistické regrese pro klinickou graviditu jako závislou proměnnou a věkem matky jako nezávislou proměnnou.</w:t>
      </w:r>
    </w:p>
    <w:p>
      <w:pPr>
        <w:pStyle w:val="Normal"/>
        <w:bidi w:val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lang w:val="cs-CZ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lang w:val="cs-CZ"/>
        </w:rPr>
      </w:r>
    </w:p>
    <w:p>
      <w:pPr>
        <w:pStyle w:val="Quotations"/>
        <w:ind w:left="567" w:right="567" w:hanging="0"/>
        <w:jc w:val="left"/>
        <w:rPr/>
      </w:pPr>
      <w:r>
        <w:rPr>
          <w:rFonts w:ascii="DejaVu Sans Condensed" w:hAnsi="DejaVu Sans Condensed"/>
          <w:color w:val="000000"/>
        </w:rPr>
        <w:t xml:space="preserve">Odhad pro </w:t>
      </w:r>
      <w:r>
        <w:rPr>
          <w:rStyle w:val="SourceText"/>
          <w:rFonts w:ascii="DejaVu Sans Condensed" w:hAnsi="DejaVu Sans Condensed"/>
          <w:color w:val="000000"/>
        </w:rPr>
        <w:t xml:space="preserve">věk matky je </w:t>
      </w:r>
      <w:r>
        <w:rPr>
          <w:rFonts w:ascii="DejaVu Sans Condensed" w:hAnsi="DejaVu Sans Condensed"/>
          <w:color w:val="000000"/>
        </w:rPr>
        <w:t>-0.03082. To znamená, že s každým dalším rokem věku matky se šance na úspěch klinické gravidity snižuje. Koeficient je negativní, což naznačuje, že vyšší věk matky má tendenci snižovat pravděpodobnost úspěchu.</w:t>
      </w:r>
    </w:p>
    <w:p>
      <w:pPr>
        <w:pStyle w:val="Quotations"/>
        <w:ind w:left="567" w:right="567" w:hanging="0"/>
        <w:jc w:val="left"/>
        <w:rPr/>
      </w:pPr>
      <w:r>
        <w:rPr>
          <w:rFonts w:ascii="DejaVu Sans Condensed" w:hAnsi="DejaVu Sans Condensed"/>
          <w:color w:val="000000"/>
        </w:rPr>
        <w:t xml:space="preserve">P-hodnota pro </w:t>
      </w:r>
      <w:r>
        <w:rPr>
          <w:rStyle w:val="SourceText"/>
          <w:rFonts w:ascii="DejaVu Sans Condensed" w:hAnsi="DejaVu Sans Condensed"/>
          <w:color w:val="000000"/>
        </w:rPr>
        <w:t>věk matky</w:t>
      </w:r>
      <w:r>
        <w:rPr>
          <w:rFonts w:ascii="DejaVu Sans Condensed" w:hAnsi="DejaVu Sans Condensed"/>
          <w:color w:val="000000"/>
        </w:rPr>
        <w:t xml:space="preserve"> je 0.0113, což také naznačuje, že věk matky má statisticky významnou signifikanci na úspěch klinické gravidity (menší než 0.05).</w:t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40"/>
          <w:szCs w:val="4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1 C)</w:t>
      </w:r>
    </w:p>
    <w:p>
      <w:pPr>
        <w:pStyle w:val="Normal"/>
        <w:bidi w:val="0"/>
        <w:jc w:val="left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jc w:val="left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Zde byl také požit model logistické regrese pro zjištění statistické významnosti v závislosti věku ebrya na úspěch transferu.</w:t>
      </w:r>
    </w:p>
    <w:p>
      <w:pPr>
        <w:pStyle w:val="Normal"/>
        <w:bidi w:val="0"/>
        <w:jc w:val="left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lang w:val="cs-CZ"/>
        </w:rPr>
      </w:pPr>
      <w:r>
        <w:rPr>
          <w:rFonts w:ascii="DejaVu Sans Condensed" w:hAnsi="DejaVu Sans Condensed"/>
          <w:color w:val="000000"/>
          <w:lang w:val="cs-CZ"/>
        </w:rPr>
        <w:t>Výsledek p</w:t>
      </w:r>
      <w:r>
        <w:rPr>
          <w:rFonts w:ascii="DejaVu Sans Condensed" w:hAnsi="DejaVu Sans Condensed"/>
          <w:b w:val="false"/>
          <w:bCs w:val="false"/>
          <w:color w:val="000000"/>
          <w:lang w:val="cs-CZ"/>
        </w:rPr>
        <w:t xml:space="preserve">ro odhad </w:t>
      </w:r>
      <w:r>
        <w:rPr>
          <w:rStyle w:val="StrongEmphasis"/>
          <w:rFonts w:ascii="DejaVu Sans Condensed" w:hAnsi="DejaVu Sans Condensed"/>
          <w:b w:val="false"/>
          <w:bCs w:val="false"/>
          <w:color w:val="000000"/>
          <w:lang w:val="cs-CZ"/>
        </w:rPr>
        <w:t>věk embrya</w:t>
      </w:r>
      <w:r>
        <w:rPr>
          <w:rFonts w:ascii="DejaVu Sans Condensed" w:hAnsi="DejaVu Sans Condensed"/>
          <w:b w:val="false"/>
          <w:bCs w:val="false"/>
          <w:color w:val="000000"/>
          <w:lang w:val="cs-CZ"/>
        </w:rPr>
        <w:t xml:space="preserve"> j</w:t>
      </w:r>
      <w:r>
        <w:rPr>
          <w:rFonts w:ascii="DejaVu Sans Condensed" w:hAnsi="DejaVu Sans Condensed"/>
          <w:color w:val="000000"/>
          <w:lang w:val="cs-CZ"/>
        </w:rPr>
        <w:t>e -0.03635 s p-hodnotou 0.0339, což také naznačuje statistickou významnost. Tento negativní koeficient naznačuje, že s každým zvýšením věku embrya se pravděpodobnost úspěšné gravidity snižuje.</w:t>
      </w:r>
    </w:p>
    <w:p>
      <w:pPr>
        <w:pStyle w:val="Normal"/>
        <w:bidi w:val="0"/>
        <w:jc w:val="left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tbl>
      <w:tblPr>
        <w:tblW w:w="9638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všechny věkové kategorie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do 29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30-34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35-39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40 a výše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b w:val="false"/>
                <w:bCs w:val="false"/>
                <w:color w:val="000000"/>
                <w:sz w:val="24"/>
                <w:szCs w:val="24"/>
              </w:rPr>
              <w:t xml:space="preserve">51.00377 </w:t>
            </w: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>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b w:val="false"/>
                <w:bCs w:val="false"/>
                <w:color w:val="000000"/>
                <w:sz w:val="24"/>
                <w:szCs w:val="24"/>
              </w:rPr>
              <w:t>54.58716</w:t>
            </w: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b w:val="false"/>
                <w:bCs w:val="false"/>
                <w:color w:val="000000"/>
                <w:sz w:val="24"/>
                <w:szCs w:val="24"/>
              </w:rPr>
              <w:t>51.54062</w:t>
            </w: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b w:val="false"/>
                <w:bCs w:val="false"/>
                <w:color w:val="000000"/>
                <w:sz w:val="24"/>
                <w:szCs w:val="24"/>
              </w:rPr>
              <w:t>47.88732</w:t>
            </w: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DejaVu Sans Condensed" w:hAnsi="DejaVu Sans Condensed"/>
                <w:color w:val="000000"/>
                <w:sz w:val="24"/>
                <w:szCs w:val="24"/>
              </w:rPr>
            </w:pPr>
            <w:r>
              <w:rPr>
                <w:rFonts w:ascii="DejaVu Sans Condensed" w:hAnsi="DejaVu Sans Condensed"/>
                <w:b w:val="false"/>
                <w:bCs w:val="false"/>
                <w:color w:val="000000"/>
                <w:sz w:val="24"/>
                <w:szCs w:val="24"/>
              </w:rPr>
              <w:t>50.00</w:t>
            </w:r>
            <w:r>
              <w:rPr>
                <w:rFonts w:ascii="DejaVu Sans Condensed" w:hAnsi="DejaVu Sans Condensed"/>
                <w:color w:val="000000"/>
                <w:sz w:val="24"/>
                <w:szCs w:val="24"/>
              </w:rPr>
              <w:t xml:space="preserve"> 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DejaVu Sans Condensed" w:hAnsi="DejaVu Sans Condensed"/>
          <w:color w:val="000000"/>
        </w:rPr>
      </w:pPr>
      <w:r>
        <w:rPr>
          <w:rFonts w:ascii="DejaVu Sans Condensed" w:hAnsi="DejaVu Sans Condensed"/>
          <w:color w:val="000000"/>
        </w:rPr>
        <w:t>Zde můžeme pozorovat stejný trend jako u věku matky, že s roustoucím věkem embrya se snižuje uspěšnost gravidity.</w:t>
      </w:r>
    </w:p>
    <w:p>
      <w:pPr>
        <w:pStyle w:val="Normal"/>
        <w:rPr>
          <w:rFonts w:ascii="DejaVu Sans Condensed" w:hAnsi="DejaVu Sans Condensed"/>
          <w:color w:val="000000"/>
        </w:rPr>
      </w:pPr>
      <w:r>
        <w:rPr>
          <w:rFonts w:ascii="DejaVu Sans Condensed" w:hAnsi="DejaVu Sans Condensed"/>
          <w:color w:val="000000"/>
        </w:rPr>
        <w:br/>
        <w:br/>
        <w:br/>
        <w:br/>
        <w:br/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40"/>
          <w:szCs w:val="4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1 D)</w:t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</w:r>
    </w:p>
    <w:tbl>
      <w:tblPr>
        <w:tblW w:w="9638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7"/>
        <w:gridCol w:w="1605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PGT-A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PGT-SR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Karyomapping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OneGene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bez genetické metody (prázdná hodnota)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ostatní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40"/>
          <w:szCs w:val="4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1 E)</w:t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</w:r>
    </w:p>
    <w:p>
      <w:pPr>
        <w:pStyle w:val="Normal"/>
        <w:bidi w:val="0"/>
        <w:jc w:val="left"/>
        <w:rPr>
          <w:rFonts w:ascii="DejaVu Sans Condensed" w:hAnsi="DejaVu Sans Condensed"/>
          <w:color w:val="000000"/>
          <w:lang w:val="cs-CZ"/>
        </w:rPr>
      </w:pPr>
      <w:r>
        <w:rPr>
          <w:rFonts w:ascii="DejaVu Sans Condensed" w:hAnsi="DejaVu Sans Condensed"/>
          <w:color w:val="000000"/>
          <w:lang w:val="cs-CZ"/>
        </w:rPr>
        <w:t xml:space="preserve">Jako v předchozích analýzách, i zde byl použit model logistické regrese pro zjištění  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statistickou významnost pohlaví embrya na úspěch klinické gravidity.</w:t>
      </w:r>
    </w:p>
    <w:p>
      <w:pPr>
        <w:pStyle w:val="Normal"/>
        <w:bidi w:val="0"/>
        <w:jc w:val="left"/>
        <w:rPr>
          <w:rFonts w:ascii="DejaVu Sans Condensed" w:hAnsi="DejaVu Sans Condensed"/>
          <w:color w:val="000000"/>
          <w:lang w:val="cs-CZ"/>
        </w:rPr>
      </w:pPr>
      <w:r>
        <w:rPr>
          <w:rFonts w:ascii="DejaVu Sans Condensed" w:hAnsi="DejaVu Sans Condensed"/>
          <w:color w:val="000000"/>
          <w:lang w:val="cs-CZ"/>
        </w:rPr>
      </w:r>
    </w:p>
    <w:tbl>
      <w:tblPr>
        <w:tblW w:w="9810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50"/>
        <w:gridCol w:w="1710"/>
        <w:gridCol w:w="1710"/>
        <w:gridCol w:w="1710"/>
        <w:gridCol w:w="2430"/>
      </w:tblGrid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Term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Estimate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Std_Error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z_value</w:t>
            </w:r>
          </w:p>
        </w:tc>
        <w:tc>
          <w:tcPr>
            <w:tcW w:w="243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Pr_z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(Intercept)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-0.244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0.1532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-1.593</w:t>
            </w:r>
          </w:p>
        </w:tc>
        <w:tc>
          <w:tcPr>
            <w:tcW w:w="243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0.1112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sex--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-0.8546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1.1638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-0.734</w:t>
            </w:r>
          </w:p>
        </w:tc>
        <w:tc>
          <w:tcPr>
            <w:tcW w:w="243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0.4627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sexXX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0.3211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0.1838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1.748</w:t>
            </w:r>
          </w:p>
        </w:tc>
        <w:tc>
          <w:tcPr>
            <w:tcW w:w="243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0.0805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sexXY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0.2716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0.1808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1.502</w:t>
            </w:r>
          </w:p>
        </w:tc>
        <w:tc>
          <w:tcPr>
            <w:tcW w:w="243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DejaVu Sans Condensed" w:hAnsi="DejaVu Sans Condensed"/>
                <w:color w:val="000000"/>
              </w:rPr>
            </w:pPr>
            <w:r>
              <w:rPr>
                <w:rFonts w:ascii="DejaVu Sans Condensed" w:hAnsi="DejaVu Sans Condensed"/>
                <w:color w:val="000000"/>
              </w:rPr>
              <w:t>0.133</w:t>
            </w:r>
          </w:p>
        </w:tc>
      </w:tr>
    </w:tbl>
    <w:p>
      <w:pPr>
        <w:pStyle w:val="Normal"/>
        <w:jc w:val="center"/>
        <w:rPr>
          <w:rFonts w:ascii="DejaVu Sans Condensed" w:hAnsi="DejaVu Sans Condensed"/>
          <w:color w:val="000000"/>
        </w:rPr>
      </w:pPr>
      <w:r>
        <w:rPr>
          <w:rFonts w:ascii="DejaVu Sans Condensed" w:hAnsi="DejaVu Sans Condensed"/>
          <w:color w:val="000000"/>
        </w:rPr>
      </w:r>
    </w:p>
    <w:p>
      <w:pPr>
        <w:pStyle w:val="TextBody"/>
        <w:bidi w:val="0"/>
        <w:rPr/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Odhad průsečíku je -0.2440, což napovídá, že jsou všechny ostatní proměnné rovny nule. P-hodnota je 0.1112, což není statisticky významný rozdíl (p &lt; 0.05).</w:t>
      </w:r>
    </w:p>
    <w:p>
      <w:pPr>
        <w:pStyle w:val="TextBody"/>
        <w:bidi w:val="0"/>
        <w:rPr/>
      </w:pPr>
      <w:r>
        <w:rPr>
          <w:rStyle w:val="StrongEmphasis"/>
          <w:rFonts w:ascii="DejaVu Sans Condensed" w:hAnsi="DejaVu Sans Condensed"/>
          <w:b w:val="false"/>
          <w:bCs w:val="false"/>
          <w:color w:val="000000"/>
          <w:sz w:val="24"/>
          <w:szCs w:val="24"/>
        </w:rPr>
        <w:t>sex s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 p-hodnotou 0.4627, což ukazuje, že není statisticky významný.</w:t>
      </w:r>
    </w:p>
    <w:p>
      <w:pPr>
        <w:pStyle w:val="TextBody"/>
        <w:bidi w:val="0"/>
        <w:rPr/>
      </w:pPr>
      <w:r>
        <w:rPr>
          <w:rStyle w:val="StrongEmphasis"/>
          <w:rFonts w:ascii="DejaVu Sans Condensed" w:hAnsi="DejaVu Sans Condensed"/>
          <w:b w:val="false"/>
          <w:bCs w:val="false"/>
          <w:color w:val="000000"/>
          <w:sz w:val="24"/>
          <w:szCs w:val="24"/>
        </w:rPr>
        <w:t>sexXX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  s p-hodnotou 0.0805, tato hodnota se blíží k hranici statistické významnosti a může naznačovat trend, ale nemůžeme ho považovat za statisticky významný na standardní úrovni alfa =0.05.</w:t>
      </w:r>
    </w:p>
    <w:p>
      <w:pPr>
        <w:pStyle w:val="TextBody"/>
        <w:bidi w:val="0"/>
        <w:rPr/>
      </w:pPr>
      <w:r>
        <w:rPr>
          <w:rStyle w:val="StrongEmphasis"/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sexXY 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 s p-hodnotou 0.1330 je také bez statisticky významné změny.</w:t>
      </w:r>
    </w:p>
    <w:p>
      <w:pPr>
        <w:pStyle w:val="Normal"/>
        <w:bidi w:val="0"/>
        <w:jc w:val="left"/>
        <w:rPr>
          <w:rFonts w:ascii="DejaVu Sans Condensed" w:hAnsi="DejaVu Sans Condensed"/>
          <w:b/>
          <w:b/>
          <w:bCs/>
          <w:color w:val="000000"/>
          <w:sz w:val="30"/>
          <w:szCs w:val="30"/>
          <w:lang w:val="cs-CZ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</w:r>
    </w:p>
    <w:p>
      <w:pPr>
        <w:pStyle w:val="Normal"/>
        <w:bidi w:val="0"/>
        <w:jc w:val="left"/>
        <w:rPr/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1 F)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-149860</wp:posOffset>
            </wp:positionH>
            <wp:positionV relativeFrom="paragraph">
              <wp:posOffset>208915</wp:posOffset>
            </wp:positionV>
            <wp:extent cx="3230880" cy="2423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3241040</wp:posOffset>
            </wp:positionH>
            <wp:positionV relativeFrom="paragraph">
              <wp:posOffset>199390</wp:posOffset>
            </wp:positionV>
            <wp:extent cx="3252470" cy="2439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rFonts w:ascii="DejaVu Sans Condensed" w:hAnsi="DejaVu Sans Condensed"/>
          <w:b/>
          <w:bCs/>
          <w:color w:val="000000"/>
          <w:sz w:val="30"/>
          <w:szCs w:val="30"/>
          <w:lang w:val="cs-CZ"/>
        </w:rPr>
        <w:t>Teoretická/vyhledávací část</w:t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bidi w:val="0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Uveďte nukleotidovou sekvenci exonu 9 genu CFTR. (tip: hledejte “ensembl”)</w:t>
      </w:r>
    </w:p>
    <w:p>
      <w:pPr>
        <w:pStyle w:val="Normal"/>
        <w:bidi w:val="0"/>
        <w:jc w:val="both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PreformattedText"/>
        <w:jc w:val="both"/>
        <w:rPr>
          <w:rFonts w:ascii="DejaVu Sans Condensed" w:hAnsi="DejaVu Sans Condensed"/>
          <w:color w:val="000000"/>
          <w:sz w:val="24"/>
          <w:szCs w:val="24"/>
        </w:rPr>
      </w:pPr>
      <w:r>
        <w:rPr>
          <w:rFonts w:ascii="DejaVu Sans Condensed" w:hAnsi="DejaVu Sans Condensed"/>
          <w:color w:val="000000"/>
          <w:sz w:val="24"/>
          <w:szCs w:val="24"/>
        </w:rPr>
        <w:t>GATTTCTTACAAAAGCAAGAATATAAGACATTGGAATATAACTTAACGACTACAGAAGTA</w:t>
      </w:r>
    </w:p>
    <w:p>
      <w:pPr>
        <w:pStyle w:val="PreformattedText"/>
        <w:bidi w:val="0"/>
        <w:jc w:val="both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GTGATGGAGAATGTAACAGCCTTCTGGGAGGAG</w:t>
      </w:r>
    </w:p>
    <w:p>
      <w:pPr>
        <w:pStyle w:val="PreformattedText"/>
        <w:bidi w:val="0"/>
        <w:jc w:val="both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DejaVu Sans Condensed" w:hAnsi="DejaVu Sans Condensed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Uveďte, jaké onemocnění způsobují patogenní mutace v genu CFTR a některé uveďte.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ejaVu Sans Condensed" w:hAnsi="DejaVu Sans Condensed"/>
          <w:sz w:val="24"/>
          <w:szCs w:val="24"/>
        </w:rPr>
      </w:pPr>
      <w:r>
        <w:rPr>
          <w:rFonts w:ascii="DejaVu Sans Condensed" w:hAnsi="DejaVu Sans Condensed"/>
          <w:color w:val="000000"/>
          <w:sz w:val="24"/>
          <w:szCs w:val="24"/>
          <w:lang w:val="cs-CZ"/>
        </w:rPr>
        <w:t xml:space="preserve">Hlavním onemocněním je cystická fibróza, což je závažné onemocnění postihující především respirační a trávicí systém. </w:t>
      </w:r>
      <w:r>
        <w:rPr>
          <w:rFonts w:ascii="DejaVu Sans Condensed" w:hAnsi="DejaVu Sans Condensed"/>
          <w:color w:val="000000"/>
          <w:sz w:val="24"/>
          <w:szCs w:val="24"/>
        </w:rPr>
        <w:t>Byly identifikovány doslova tisíce lidských alelických mutací CFTR, z nichž každá má různý dopad na kvalitu a kvantitu proteinu.</w:t>
      </w:r>
      <w:r>
        <w:rPr>
          <w:rFonts w:ascii="DejaVu Sans Condensed" w:hAnsi="DejaVu Sans Condensed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 </w:t>
      </w:r>
      <w:r>
        <w:rPr>
          <w:rFonts w:ascii="DejaVu Sans Condensed" w:hAnsi="DejaVu Sans Condensed"/>
          <w:color w:val="000000"/>
          <w:sz w:val="24"/>
          <w:szCs w:val="24"/>
          <w:lang w:val="cs-CZ"/>
        </w:rPr>
        <w:t>Patogenní mutace v genu CFTR mohou také vést v některých případech k mužské neplodnosti.</w:t>
      </w:r>
    </w:p>
    <w:p>
      <w:pPr>
        <w:pStyle w:val="Normal"/>
        <w:bidi w:val="0"/>
        <w:jc w:val="both"/>
        <w:rPr>
          <w:rFonts w:ascii="DejaVu Sans Condensed" w:hAnsi="DejaVu Sans Condensed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color w:val="000000"/>
          <w:sz w:val="24"/>
          <w:szCs w:val="24"/>
          <w:lang w:val="cs-CZ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DejaVu Sans Condensed" w:hAnsi="DejaVu Sans Condensed"/>
          <w:color w:val="000000"/>
          <w:sz w:val="24"/>
          <w:szCs w:val="24"/>
          <w:lang w:val="cs-CZ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Uveďte, co znamená autosomálně recesivní přenašečtví.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both"/>
        <w:rPr>
          <w:rFonts w:ascii="DejaVu Sans Condensed" w:hAnsi="DejaVu Sans Condensed"/>
          <w:b w:val="false"/>
          <w:b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 xml:space="preserve">Cystická fibróza je jedním z příkladů recesitního onemocnění. To znamená, že osoba musí nést mutaci z obou kopii tohoto genu od svých rodičů. Rodiče mohli být heterozygoti v této alele, tzn. </w:t>
      </w:r>
      <w:r>
        <w:rPr>
          <w:rFonts w:ascii="DejaVu Sans Condensed" w:hAnsi="DejaVu Sans Condense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jsou obvykle zdraví, ale jsou nositeli mutace.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both"/>
        <w:rPr>
          <w:b w:val="false"/>
          <w:b w:val="false"/>
          <w:bCs w:val="false"/>
          <w:color w:val="000000"/>
          <w:lang w:val="cs-CZ"/>
        </w:rPr>
      </w:pPr>
      <w:r>
        <w:rPr>
          <w:b w:val="false"/>
          <w:bCs w:val="false"/>
          <w:color w:val="000000"/>
          <w:lang w:val="cs-CZ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DejaVu Sans Condensed" w:hAnsi="DejaVu Sans Condensed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  <w:lang w:val="cs-CZ"/>
        </w:rPr>
        <w:t>Rozepiště, jak byste postupovali při vytváření SQL datábaze na Linux serveru, tak aby byla zajištěna integrita dat.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both"/>
        <w:rPr>
          <w:b w:val="false"/>
          <w:b w:val="false"/>
          <w:bCs w:val="false"/>
          <w:color w:val="000000"/>
          <w:lang w:val="cs-CZ"/>
        </w:rPr>
      </w:pPr>
      <w:r>
        <w:rPr>
          <w:b w:val="false"/>
          <w:bCs w:val="false"/>
          <w:color w:val="000000"/>
          <w:lang w:val="cs-CZ"/>
        </w:rPr>
      </w:r>
    </w:p>
    <w:p>
      <w:pPr>
        <w:pStyle w:val="Normal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>Nejprve se nainstaluje SQL server, jako je MySQL na Ubuntu. Poté následuje konfigurace serveru - Povolte binárního logování pro zajištění obnovitelnosti dat. Konfiguruce souboru logů pro sledování chyb a transakcí. Vytvořte databáze a uživatele s příslušnými oprávněními.</w:t>
      </w:r>
    </w:p>
    <w:p>
      <w:pPr>
        <w:pStyle w:val="Normal"/>
        <w:jc w:val="both"/>
        <w:rPr/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Implementace omezení pro zajištění integrity dat jako jsou </w:t>
      </w:r>
      <w:r>
        <w:rPr>
          <w:rStyle w:val="StrongEmphasis"/>
          <w:rFonts w:ascii="DejaVu Sans Condensed" w:hAnsi="DejaVu Sans Condensed"/>
          <w:b w:val="false"/>
          <w:bCs w:val="false"/>
          <w:color w:val="000000"/>
          <w:sz w:val="24"/>
          <w:szCs w:val="24"/>
        </w:rPr>
        <w:t>Primární klíče: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 Zajišťují jedinečnost každého záznamu v tabulce. Zabraňují nulovým hodnotám v kritických sloupcích</w:t>
      </w:r>
      <w:r>
        <w:rPr>
          <w:rStyle w:val="StrongEmphasis"/>
          <w:rFonts w:ascii="DejaVu Sans Condensed" w:hAnsi="DejaVu Sans Condensed"/>
          <w:b w:val="false"/>
          <w:bCs w:val="false"/>
          <w:color w:val="000000"/>
          <w:sz w:val="24"/>
          <w:szCs w:val="24"/>
        </w:rPr>
        <w:t>.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 Zajišťují, že všechny hodnoty v sloupci nebo skupině sloupců jsou jedinečné. Umožňují specifikovat pravidla pro hodnoty v konkrétním sloupci apod.. Zabezpečení přípojení je také jednou z důležitých implementací pro zajištění dat, to zahrnuje šifrování dat a umožnění přístupu jen vyhrazeným osobám nebo sítím. Dalším kritériem pro zajištění funkční databáze je monitoring a pravidelné zálohování.</w:t>
      </w:r>
    </w:p>
    <w:p>
      <w:pPr>
        <w:pStyle w:val="Normal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 Condensed" w:hAnsi="DejaVu Sans Condensed"/>
          <w:b w:val="false"/>
          <w:b w:val="false"/>
          <w:bCs w:val="false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 xml:space="preserve">Uveďte, co znamená </w:t>
      </w:r>
      <w:r>
        <w:rPr>
          <w:rStyle w:val="Emphasis"/>
          <w:rFonts w:ascii="DejaVu Sans Condensed" w:hAnsi="DejaVu Sans Condensed"/>
          <w:b w:val="false"/>
          <w:bCs w:val="false"/>
          <w:i w:val="false"/>
          <w:iCs w:val="false"/>
          <w:sz w:val="24"/>
          <w:szCs w:val="24"/>
        </w:rPr>
        <w:t>SQL</w:t>
      </w:r>
      <w:r>
        <w:rPr>
          <w:rFonts w:ascii="DejaVu Sans Condensed" w:hAnsi="DejaVu Sans Condensed"/>
          <w:b w:val="false"/>
          <w:bCs w:val="false"/>
          <w:sz w:val="24"/>
          <w:szCs w:val="24"/>
        </w:rPr>
        <w:t xml:space="preserve"> Injection a jak se tomu vyvarovat.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 xml:space="preserve">SQL Injection je bezpečnostní hrozba, při které útočník vkládá vlastní SQL kód do databázového dotazu nebo jej dokonce maže. Tento útok může vést k neautorizovanému přístupu k datům, jejich modifikaci, nebo dokonce k odstranění. </w:t>
      </w:r>
    </w:p>
    <w:p>
      <w:pPr>
        <w:pStyle w:val="TextBody"/>
        <w:numPr>
          <w:ilvl w:val="0"/>
          <w:numId w:val="0"/>
        </w:numPr>
        <w:bidi w:val="0"/>
        <w:ind w:left="0" w:right="0" w:hanging="0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>Ochrana proti SQL Injection Parametrizované dotazy nebo připravené příkazy jsou základním nástrojem pro prevenci SQL Injection. Při jejich použití je struktura SQL dotazu definována předem a data jsou předána odděleně, což brání interpretaci uživatelského vstupu jako součásti SQL kódu. Nikdy by se uživatelské vstupy neměly vkládat přímo do SQL dotazu, protože to umožňuje útočníkům vkládat škodlivý k</w:t>
      </w:r>
      <w:r>
        <w:rPr>
          <w:rFonts w:ascii="DejaVu Sans Condensed" w:hAnsi="DejaVu Sans Condensed"/>
          <w:b w:val="false"/>
          <w:bCs w:val="false"/>
          <w:sz w:val="24"/>
          <w:szCs w:val="24"/>
          <w:lang w:val="cs-CZ"/>
        </w:rPr>
        <w:t>ód.</w:t>
      </w:r>
      <w:r>
        <w:rPr>
          <w:rFonts w:ascii="DejaVu Sans Condensed" w:hAnsi="DejaVu Sans Condensed"/>
          <w:b w:val="false"/>
          <w:bCs w:val="false"/>
          <w:sz w:val="24"/>
          <w:szCs w:val="24"/>
        </w:rPr>
        <w:t xml:space="preserve"> Používání ORM (Object Relational Mapping) Nástrojů</w:t>
      </w:r>
    </w:p>
    <w:p>
      <w:pPr>
        <w:pStyle w:val="TextBody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>ORM nástroje poskytují další vrstvu abstrakce pro práci s databázemi. Tyto nástroje obvykle automaticky zpracovávají uživatelské vstupy a chrání před SQL Injection.</w:t>
      </w:r>
    </w:p>
    <w:p>
      <w:pPr>
        <w:pStyle w:val="Heading3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>Zjistěte, co znamená error: “Error in .local: Cannot allocate a new connection: 16 connections already opened” a napiště jak byste postupovali při jeho opravě.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>Tato chyba hláší, že byo dosaženo maximálního počtu povolených databázových připojení. Při její opravě by mohlo pomoci zkontrolování a ukončení nepotřebných otevřených připojení. Nebo naopak zvýšit limit maximálního počtu připojení v konfiguraci databáze. Také třeba použít pooling propojení.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ind w:left="0" w:right="0" w:hanging="0"/>
        <w:jc w:val="both"/>
        <w:rPr>
          <w:rFonts w:ascii="DejaVu Sans Condensed" w:hAnsi="DejaVu Sans Condensed"/>
          <w:b w:val="false"/>
          <w:b w:val="false"/>
          <w:bCs w:val="false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>Zjistěte, co znamená error: “Error in if: argument is of length zero” a napiště jak byste postupovali při jeho opravě.</w:t>
      </w:r>
    </w:p>
    <w:p>
      <w:pPr>
        <w:pStyle w:val="TextBody"/>
        <w:bidi w:val="0"/>
        <w:spacing w:lineRule="auto" w:line="276" w:before="0" w:after="140"/>
        <w:ind w:left="0" w:right="0" w:hanging="0"/>
        <w:jc w:val="both"/>
        <w:rPr/>
      </w:pPr>
      <w:r>
        <w:rPr>
          <w:rFonts w:ascii="DejaVu Sans Condensed" w:hAnsi="DejaVu Sans Condensed"/>
          <w:b w:val="false"/>
          <w:bCs w:val="false"/>
          <w:sz w:val="24"/>
          <w:szCs w:val="24"/>
        </w:rPr>
        <w:t xml:space="preserve">Tato chyba znamená, že funkce </w:t>
      </w:r>
      <w:r>
        <w:rPr>
          <w:rStyle w:val="SourceText"/>
          <w:rFonts w:ascii="DejaVu Sans Condensed" w:hAnsi="DejaVu Sans Condensed"/>
          <w:b w:val="false"/>
          <w:bCs w:val="false"/>
          <w:sz w:val="24"/>
          <w:szCs w:val="24"/>
        </w:rPr>
        <w:t>if</w:t>
      </w:r>
      <w:r>
        <w:rPr>
          <w:rFonts w:ascii="DejaVu Sans Condensed" w:hAnsi="DejaVu Sans Condensed"/>
          <w:b w:val="false"/>
          <w:bCs w:val="false"/>
          <w:sz w:val="24"/>
          <w:szCs w:val="24"/>
        </w:rPr>
        <w:t xml:space="preserve"> obdržela prázdný vstup nebo vstup, který neobsahuje žádná data. Navrhovaná oprava: Zkontrolování vstupních dat funkce </w:t>
      </w:r>
      <w:r>
        <w:rPr>
          <w:rStyle w:val="SourceText"/>
          <w:rFonts w:ascii="DejaVu Sans Condensed" w:hAnsi="DejaVu Sans Condensed"/>
          <w:b w:val="false"/>
          <w:bCs w:val="false"/>
          <w:sz w:val="24"/>
          <w:szCs w:val="24"/>
        </w:rPr>
        <w:t>if</w:t>
      </w:r>
      <w:r>
        <w:rPr>
          <w:rFonts w:ascii="DejaVu Sans Condensed" w:hAnsi="DejaVu Sans Condensed"/>
          <w:b w:val="false"/>
          <w:bCs w:val="false"/>
          <w:sz w:val="24"/>
          <w:szCs w:val="24"/>
        </w:rPr>
        <w:t xml:space="preserve"> zda obsahují ně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>jaké hodnoty. Oprava k</w:t>
      </w:r>
      <w:r>
        <w:rPr>
          <w:rFonts w:ascii="DejaVu Sans Condensed" w:hAnsi="DejaVu Sans Condensed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ó</w:t>
      </w: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>du tak, aby správně zacházel s prázdnými nebo chybějícími daty.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>Napište, proč se dělá Sekvenování nové generace (NGS)?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rFonts w:ascii="DejaVu Sans Condensed" w:hAnsi="DejaVu Sans Condensed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rFonts w:ascii="DejaVu Sans Condensed" w:hAnsi="DejaVu Sans Condensed"/>
          <w:b w:val="false"/>
          <w:bCs w:val="false"/>
          <w:color w:val="000000"/>
          <w:sz w:val="24"/>
          <w:szCs w:val="24"/>
        </w:rPr>
        <w:t xml:space="preserve">Jedná se dnes již o dostupnou metodu. Umožňuje pararelní, rychlé a přesné sekvenování velkých objemů DNA nebo RNA, což je klíčové pro rozvoj personalizované medicíny, genetického výzkumu a dalších biotechnologických aplikací. NGS umožňuje studovat genetické variace, identifikovat genetické příčiny onemocnění, a analyzovat mikrobiální diverzitu s výrazně vyšší rychlostí a přesností než tradiční metody sekvenování.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Noto Serif CJK SC" w:cs="Lohit Devanagari"/>
      <w:b w:val="false"/>
      <w:bCs/>
      <w:i w:val="false"/>
      <w:caps w:val="false"/>
      <w:smallCaps w:val="false"/>
      <w:color w:val="000000"/>
      <w:spacing w:val="0"/>
      <w:kern w:val="2"/>
      <w:sz w:val="24"/>
      <w:szCs w:val="24"/>
      <w:lang w:val="cs-CZ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76" w:before="0" w:after="140"/>
      <w:jc w:val="left"/>
    </w:pPr>
    <w:rPr>
      <w:b/>
      <w:bCs/>
      <w:color w:val="000000"/>
      <w:sz w:val="40"/>
      <w:szCs w:val="40"/>
      <w:lang w:val="cs-CZ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LibreOffice/7.3.6.2$Linux_X86_64 LibreOffice_project/30$Build-2</Application>
  <AppVersion>15.0000</AppVersion>
  <Pages>4</Pages>
  <Words>920</Words>
  <Characters>5497</Characters>
  <CharactersWithSpaces>6322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2024-02-02T23:51:19Z</dcterms:created>
  <dc:creator/>
  <dc:description/>
  <dc:language>en-US</dc:language>
  <cp:lastModifiedBy/>
  <dcterms:modified xsi:type="dcterms:W3CDTF">2024-02-03T12:21:45Z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