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London Labour Market — Final Recommendations</w:t>
      </w:r>
    </w:p>
    <w:p>
      <w:r>
        <w:t>Phase 08E | BI/Data Analyst Portfolio</w:t>
      </w:r>
    </w:p>
    <w:p>
      <w:pPr>
        <w:pStyle w:val="Heading1"/>
      </w:pPr>
      <w:r>
        <w:t>Executive conclusion</w:t>
      </w:r>
    </w:p>
    <w:p>
      <w:r>
        <w:t>The analysis identifies a relatively small group of boroughs with consistently high relative labour-market priority. The strongest cases are those that remain high across sensitivity scenarios, rather than those selected by one arbitrary weighting.</w:t>
      </w:r>
    </w:p>
    <w:p>
      <w:pPr>
        <w:pStyle w:val="Heading1"/>
      </w:pPr>
      <w:r>
        <w:t>Priority recommendation</w:t>
      </w:r>
    </w:p>
    <w:p>
      <w:r>
        <w:t>Focus analytical and programme-planning attention first on the robust high-priority borough group. Treat sensitivity cases separately so that model uncertainty is visible rather than hidden.</w:t>
      </w:r>
    </w:p>
    <w:p>
      <w:pPr>
        <w:pStyle w:val="Heading1"/>
      </w:pPr>
      <w:r>
        <w:t>Intervention recommendation</w:t>
      </w:r>
    </w:p>
    <w:p>
      <w:r>
        <w:t>Use the labour-market profile alongside priority status. Higher-disadvantage profiles support an integrated employment and participation focus; the high-inactivity profile supports greater emphasis on economic participation and re-engagement; employment-centre boroughs should be monitored using a structurally different lens.</w:t>
      </w:r>
    </w:p>
    <w:p>
      <w:pPr>
        <w:pStyle w:val="Heading1"/>
      </w:pPr>
      <w:r>
        <w:t>BI recommendation</w:t>
      </w:r>
    </w:p>
    <w:p>
      <w:r>
        <w:t>Make priority, robustness, cluster profile and intervention theme visible together in Power BI. This creates a decision-support product rather than a dashboard that merely displays descriptive statistics.</w:t>
      </w:r>
    </w:p>
    <w:p>
      <w:pPr>
        <w:pStyle w:val="Heading1"/>
      </w:pPr>
      <w:r>
        <w:t>Governance recommendation</w:t>
      </w:r>
    </w:p>
    <w:p>
      <w:r>
        <w:t>Refresh the model as source data update, preserve the scoring specification, and retain sensitivity testing so that changes in ranking can be distinguished from changes caused by modelling assumptions.</w:t>
      </w:r>
    </w:p>
    <w:p>
      <w:pPr>
        <w:pStyle w:val="Heading1"/>
      </w:pPr>
      <w:r>
        <w:t>Limitations</w:t>
      </w:r>
    </w:p>
    <w:p>
      <w:r>
        <w:t>The analysis measures relative patterns and does not establish causality. Intervention themes are evidence-informed rather than evaluated policy prescriptions. Jobs density has a distinctive distribution and is therefore explicitly sensitivity-tested.</w:t>
      </w:r>
    </w:p>
    <w:p>
      <w:pPr>
        <w:pStyle w:val="Heading1"/>
      </w:pPr>
      <w:r>
        <w:t>Robust priority group</w:t>
      </w:r>
    </w:p>
    <w:p>
      <w:pPr>
        <w:pStyle w:val="ListBullet"/>
      </w:pPr>
      <w:r>
        <w:t>Barking and Dagenham — Rank 1 — Integrated employment + participation support</w:t>
      </w:r>
    </w:p>
    <w:p>
      <w:pPr>
        <w:pStyle w:val="ListBullet"/>
      </w:pPr>
      <w:r>
        <w:t>Redbridge — Rank 2 — Integrated employment + participation support</w:t>
      </w:r>
    </w:p>
    <w:p>
      <w:pPr>
        <w:pStyle w:val="ListBullet"/>
      </w:pPr>
      <w:r>
        <w:t>Enfield — Rank 3 — Integrated employment + participation support</w:t>
      </w:r>
    </w:p>
    <w:p>
      <w:pPr>
        <w:pStyle w:val="ListBullet"/>
      </w:pPr>
      <w:r>
        <w:t>Newham — Rank 4 — Economic participation / re-engagement</w:t>
      </w:r>
    </w:p>
    <w:p>
      <w:pPr>
        <w:pStyle w:val="ListBullet"/>
      </w:pPr>
      <w:r>
        <w:t>Kensington and Chelsea — Rank 5 — Economic participation / re-engagement</w:t>
      </w:r>
    </w:p>
    <w:p>
      <w:pPr>
        <w:pStyle w:val="ListBullet"/>
      </w:pPr>
      <w:r>
        <w:t>Barnet — Rank 6 — Integrated employment + participation support</w:t>
      </w:r>
    </w:p>
    <w:p>
      <w:pPr>
        <w:pStyle w:val="ListBullet"/>
      </w:pPr>
      <w:r>
        <w:t>Croydon — Rank 7 — Integrated employment + participation support</w:t>
      </w:r>
    </w:p>
    <w:p>
      <w:pPr>
        <w:pStyle w:val="ListBullet"/>
      </w:pPr>
      <w:r>
        <w:t>Greenwich — Rank 8 — Integrated employment + participation support</w:t>
      </w:r>
    </w:p>
    <w:p>
      <w:pPr>
        <w:pStyle w:val="ListBullet"/>
      </w:pPr>
      <w:r>
        <w:t>Hounslow — Rank 9 — Integrated employment + participation support</w:t>
      </w:r>
    </w:p>
    <w:p>
      <w:pPr>
        <w:pStyle w:val="ListBullet"/>
      </w:pPr>
      <w:r>
        <w:t>Haringey — Rank 10 — Integrated employment + participation support</w:t>
      </w:r>
    </w:p>
    <w:p>
      <w:pPr>
        <w:pStyle w:val="Heading1"/>
      </w:pPr>
      <w:r>
        <w:t>Decision framework</w:t>
      </w:r>
    </w:p>
    <w:p>
      <w:r>
        <w:t>Borough → priority → robustness → labour-market profile → intervention focus → monitoring KPI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