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b/>
          <w:color w:val="000000"/>
          <w:sz w:val="24"/>
        </w:rPr>
        <w:t>3.5 Major Technical Challenges and Possible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016"/>
        <w:gridCol w:w="2621"/>
        <w:gridCol w:w="3960"/>
        <w:gridCol w:w="1771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D9E2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Challenge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D9E2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Why it is hard for our team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D9E2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Possible solution or approach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shd w:fill="D9E2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Decision point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Wheel and suspension strength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Our printed rims and tyres face impacts and side loads.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load-test one wheel assembly on gaps and rocks before printing all four.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14 Nov 2026</w:t>
              <w:br/>
              <w:t>Drawing release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Low mass with enough stiffness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t xml:space="preserve">Our estimate exceeds the </w:t>
            </w:r>
            <w:hyperlink r:id="rId9">
              <w:r>
                <w:rPr>
                  <w:color w:val="000000"/>
                  <w:u w:val="single"/>
                </w:rPr>
                <w:t>20 lb scoring target</w:t>
              </w:r>
            </w:hyperlink>
            <w:r>
              <w:t>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weigh assemblies and remove material only where strength tests allow.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 Jan 2027</w:t>
              <w:br/>
              <w:t>Integration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Drive torque and speed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Motor torque, ESC ratings and full-charge speed need confirmation.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check loaded turning, current and stopping, then verify the speed limiter.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 Jan 2027</w:t>
              <w:br/>
              <w:t>Rover tests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Live commands and radio reception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must decode new commands while other hardware runs.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test unfamiliar APRS sequences with motors running and adjust antenna routing.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 Jan 2027</w:t>
              <w:br/>
              <w:t>Integration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Accurate target ranging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Our camera and LiDAR may aim at different surfaces.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calibrate aiming and distance, retry failed readings, and flag unresolved results.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 Jan 2027</w:t>
              <w:br/>
              <w:t>Calibration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Stable task power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Servo peaks and USB loads may cause Pi restarts.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check voltages with all loads running and test battery reserve through results review.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30 Jan 2027</w:t>
              <w:br/>
              <w:t>Integration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Imported component availability</w:t>
            </w:r>
          </w:p>
        </w:tc>
        <w:tc>
          <w:tcPr>
            <w:tcW w:type="dxa" w:w="262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Late parts could delay our planned 6 Nov bench checks.</w:t>
            </w:r>
          </w:p>
        </w:tc>
        <w:tc>
          <w:tcPr>
            <w:tcW w:type="dxa" w:w="396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We will confirm stock before ordering and check compatible alternatives if delivery slips.</w:t>
            </w:r>
          </w:p>
        </w:tc>
        <w:tc>
          <w:tcPr>
            <w:tcW w:type="dxa" w:w="17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keepNext w:val="0"/>
              <w:spacing w:after="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16 Oct 2026</w:t>
              <w:br/>
              <w:t>Place orders</w:t>
            </w:r>
          </w:p>
        </w:tc>
      </w:tr>
    </w:tbl>
    <w:sectPr w:rsidR="00FC693F" w:rsidRPr="0006063C" w:rsidSect="00034616">
      <w:pgSz w:w="12240" w:h="15840"/>
      <w:pgMar w:top="864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sa.gov/wp-content/uploads/2026/08/2027-herc-handbook-layout-aug6-508-1.pdf#page=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Major Technical Challenges and Possible Solutions</dc:title>
  <dc:subject>NASA HERC 2027 TEAM BANGLADESH Section 3.5</dc:subject>
  <dc:creator>NASA HERC 2027 TEAM BANGLADESH</dc:creator>
  <cp:keywords>NASA HERC 2027 technical challenges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