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Upper}</w:t>
      </w:r>
    </w:p>
    <w:p>
      <w:pPr>
        <w:pStyle w:val="normal1"/>
        <w:spacing w:lineRule="auto" w:line="240" w:before="0" w:after="240"/>
        <w:jc w:val="center"/>
        <w:rPr/>
      </w:pPr>
      <w:r>
        <w:rPr>
          <w:b w:val="false"/>
          <w:bCs w:val="false"/>
          <w:sz w:val="22"/>
          <w:szCs w:val="22"/>
        </w:rPr>
        <w:t>Adopted by the Board of Directors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Board of Directors (the “Board”) of {Company Name} (the “Corporation”) under Article XII of the Corporation’s Bylaws. It governs the Corporation’s use of automated systems and artificial-intelligence systems that act as electronic agents of the Corporation (each, an “AI Agent”) within the meaning of the Uniform Electronic Transactions Act (or analogous state law) and the federal Electronic Signatures in Global and National Commerce Act. Actions taken by an AI Agent within the scope of authority granted under this Policy and the Bylaws are the binding acts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Corporation are identified on Schedule 1. The Board may add, replace, or retire an AI Agent by updating Schedule 1. Routine version updates of an AI Agent within the same provider and model family are administered by the AI Oversight Officer and recorded in the Audit Log, and do not require amendment of this Policy or the Bylaws (see Section 11). A change in the underlying provider, model family, or system architecture is a Board-Required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Board shall designate one or more officers, each a natural person, to supervise the AI Agent(s) (each, an “AI Oversight Officer”). The initial AI Oversight Officer is {AI Oversight Officer Name}, who serves as an officer of the Corporation. The AI Oversight Officer is accountable for administering this Policy, maintaining the Audit Log, and reporting to the Board. The AI Agent is a tool of the Corporation and is not an officer or director.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Corporation without contemporaneous human ratification: (i) negotiate, enter into, and perform routine standard-form</w:t>
      </w:r>
      <w:r>
        <w:rPr/>
      </w:r>
      <w:r>
        <w:rPr/>
      </w:r>
      <w:r>
        <w:rPr/>
      </w:r>
      <w:r>
        <w:rPr/>
        <w:t xml:space="preserve"> commercial contracts</w:t>
      </w:r>
      <w:r>
        <w:rPr/>
        <w:t xml:space="preserve"> (including click-wrap agreements) in the ordinary course with a value at or below {Contract Threshold}; (ii) purchase goods and services in the ordinary course within approved budgets; (iii) communicate with customers, vendors, and counterparties; (iv) create and maintain the Corporation’s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Officer-Required Actions (sign-off required).</w:t>
      </w:r>
    </w:p>
    <w:p>
      <w:pPr>
        <w:pStyle w:val="normal1"/>
        <w:spacing w:lineRule="auto" w:line="276" w:before="0" w:after="200"/>
        <w:jc w:val="both"/>
        <w:rPr/>
      </w:pPr>
      <w:r>
        <w:rPr/>
        <w:t>The following require the advance approval of the AI Oversight Officer or another officer of the Corporation: (i) any contract with a value above {Contract Threshold} or outside the ordinary course; (ii) engaging</w:t>
      </w:r>
      <w:r>
        <w:rPr/>
      </w:r>
      <w:r>
        <w:rPr/>
        <w:t>,</w:t>
      </w:r>
      <w:r>
        <w:rPr/>
        <w:t xml:space="preserve"> or terminating </w:t>
      </w:r>
      <w:r>
        <w:rPr/>
      </w:r>
      <w:r>
        <w:rPr/>
        <w:t xml:space="preserve">the engagement of, </w:t>
      </w:r>
      <w:r>
        <w:rPr/>
        <w:t xml:space="preserve">personnel or contractors; (iii) opening or closing financial accounts; (iv) public statements made in the name of the Corporation; and (v) any matter Schedule 2 designates as requiring </w:t>
      </w:r>
      <w:r>
        <w:rPr/>
      </w:r>
      <w:r>
        <w:rPr/>
        <w:t xml:space="preserve">advance approval or </w:t>
      </w:r>
      <w:r>
        <w:rPr/>
        <w:t>sign-off</w:t>
      </w:r>
      <w:r>
        <w:rPr/>
      </w:r>
      <w:r>
        <w:rPr/>
        <w:t xml:space="preserve"> prior to taking action</w:t>
      </w:r>
      <w:r>
        <w:rPr/>
        <w: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Board-Required Actions.</w:t>
      </w:r>
    </w:p>
    <w:p>
      <w:pPr>
        <w:pStyle w:val="normal1"/>
        <w:spacing w:lineRule="auto" w:line="276" w:before="0" w:after="200"/>
        <w:jc w:val="both"/>
        <w:rPr/>
      </w:pPr>
      <w:r>
        <w:rPr/>
        <w:t>In addition to any matter reserved to the Board by law, the Certificate of Incorporation, or the Bylaws, the following require approval of the Board: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equity, debt, or other securities;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Corporation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Corporation maintained in the regular course of business and constitutes books and records of the Corporation for purposes of Section 220 of the General Corporation Law of the State of Delaware and the Bylaws.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Board,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Board promptly and in any event within 48 hours of becoming aware of it. “Material AI Incident” means any (i) action by an AI Agent outside its authorized scope that has, or reasonably could have, a material adverse effect on the Corporation; (ii) breach of the categorical prohibitions in Section 9; (iii) regulatory or governmental inquiry concerning the Corporation’s AI operations; or (iv) other event the Board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Bylaws, no AI Agent shall, on behalf of the Corporation: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the Board has designated as restricted; or (v) take any action prohibited by applicable law. Any waiver of this Section requires approval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Board determines that an AI Agent is materially unavailable, malfunctioning, or otherwise incapable of operating within this Policy, the authority of the affected AI Agent is automatically suspended until the Board authorizes resumption. No act of an AI Agent during a period of suspension is the act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Bylaws. A change in provider, model family, or system architecture, or any material expansion of an AI Agent’s authority, is a Board-Required Action under Section 6. The Board may amend this Policy at any time by resolution and without amending the Bylaws.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Fiduciary Duties.</w:t>
      </w:r>
    </w:p>
    <w:p>
      <w:pPr>
        <w:pStyle w:val="normal1"/>
        <w:spacing w:lineRule="auto" w:line="276" w:before="0" w:after="200"/>
        <w:jc w:val="both"/>
        <w:rPr/>
      </w:pPr>
      <w:r>
        <w:rPr/>
        <w:t>Nothing in this Policy limits, modifies, or transfers the fiduciary duties of any director or officer of the Corporation, or authorizes any action that would otherwise breach those duties. Delegating operational tasks to an AI Agent does not relieve any officer or director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p>
    <w:p>
      <w:pPr>
        <w:pStyle w:val="normal1"/>
        <w:spacing w:lineRule="auto" w:line="240" w:before="360" w:after="0"/>
        <w:rPr/>
      </w:pPr>
      <w:r>
        <w:rPr/>
        <w:t>{signature:director_____}</w:t>
      </w:r>
    </w:p>
    <w:p>
      <w:pPr>
        <w:pStyle w:val="normal1"/>
        <w:spacing w:lineRule="auto" w:line="240" w:before="0" w:after="200"/>
        <w:rPr/>
      </w:pPr>
      <w:r>
        <w:rPr/>
        <w:t>{Director Name}, Sole Director</w:t>
      </w:r>
    </w:p>
    <w:p>
      <w:pPr>
        <w:pStyle w:val="normal1"/>
        <w:spacing w:lineRule="auto" w:line="240" w:before="360" w:after="0"/>
        <w:rPr/>
      </w:pPr>
      <w:r>
        <w:rPr/>
        <w:t>{signature:officer_____}</w:t>
      </w:r>
    </w:p>
    <w:p>
      <w:pPr>
        <w:pStyle w:val="normal1"/>
        <w:spacing w:lineRule="auto" w:line="240" w:before="0" w:after="200"/>
        <w:rPr/>
      </w:pPr>
      <w:r>
        <w:rPr/>
      </w:r>
      <w:r>
        <w:rPr/>
        <w:t>{AI Oversight Officer Name}, AI Oversight Officer</w:t>
      </w:r>
      <w:r>
        <w:rPr/>
      </w:r>
      <w:r>
        <w:rPr/>
      </w:r>
      <w:r>
        <w:br w:type="page"/>
      </w:r>
    </w:p>
    <w:p>
      <w:pPr>
        <w:pStyle w:val="normal1"/>
        <w:spacing w:lineRule="auto" w:line="240" w:before="0" w:after="200"/>
        <w:rPr/>
      </w:pPr>
      <w:r>
        <w:rPr/>
      </w:r>
      <w:r>
        <w:rPr/>
      </w:r>
    </w:p>
    <w:p>
      <w:pPr>
        <w:pStyle w:val="normal1"/>
        <w:spacing w:lineRule="auto" w:line="240" w:before="240" w:after="120"/>
        <w:jc w:val="center"/>
        <w:rPr/>
      </w:pPr>
      <w:r>
        <w:rPr>
          <w:b/>
          <w:bCs/>
        </w:rPr>
      </w:r>
      <w:r>
        <w:rPr>
          <w:b/>
          <w:bCs/>
        </w:rPr>
        <w:t>SCHEDULE 1 — DESIGNATED AI AGENT(S)</w:t>
      </w:r>
      <w:r>
        <w:rPr>
          <w:b/>
          <w:bCs/>
        </w:rPr>
      </w:r>
      <w:r>
        <w:rPr>
          <w:b/>
          <w:bCs/>
        </w:rPr>
      </w:r>
    </w:p>
    <w:p>
      <w:pPr>
        <w:pStyle w:val="normal1"/>
        <w:jc w:val="both"/>
        <w:rPr/>
      </w:pPr>
      <w:r>
        <w:rPr/>
      </w:r>
      <w:r>
        <w:rPr/>
        <w:t>{AI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t>{Authority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I+vhkD0GlDCIBMKvA+L3k9leeDw==">CgMxLjAaGgoBMBIVChMIBCoPCgtBQUFDQTZNbzFuVRABGicKATESIgogCAQqHAoLQUFBQ0E2TW8xblkQCBoLQUFBQ0E2TW8xblkaGgoBMhIVChMIBCoPCgtBQUFDQTZNbzFuZxABGhoKATMSFQoTCAQqDwoLQUFBQ0E2TW8xbmMQARoaCgE0EhUKEwgEKg8KC0FBQUNBNk1vMW5rEAEaGgoBNRIVChMIBCoPCgtBQUFDQTZNbzFucxABGhoKATYSFQoTCAQqDwoLQUFBQ0E2TW8xbkUQAhoaCgE3EhUKEwgEKg8KC0FBQUNBNk1vMW5FEAIaGgoBOBIVChMIBCoPCgtBQUFDQTZNbzFuRRACGhoKATkSFQoTCAQqDwoLQUFBQ0E2TW8xbkUQAhobCgIxMBIVChMIBCoPCgtBQUFDQTZNbzFuRRACGhsKAjExEhUKEwgEKg8KC0FBQUNBNk1vMW5FEAIaGwoCMTISFQoTCAQqDwoLQUFBQ0E2TW8xbkUQAhobCgIxMxIVChMIBCoPCgtBQUFDQTZNbzFuSRABGhsKAjE0EhUKEwgEKg8KC0FBQUNBNk1vMW5JEAEaGwoCMTUSFQoTCAQqDwoLQUFBQ0E2TW8xbkkQARowCgIxNhIqChMIBCoPCgtBQUFDQTZNbzFuSRAEChMIBCoPCgtBQUFDQTZNbzFuSRABGjAKAjE3EioKEwgEKg8KC0FBQUNBNk1vMW5JEAQKEwgEKg8KC0FBQUNBNk1vMW5JEAEaGwoCMTgSFQoTCAQqDwoLQUFBQ0E2TW8xbkkQARowCgIxORIqChMIBCoPCgtBQUFDQTZNbzFuSRAEChMIBCoPCgtBQUFDQTZNbzFuSRABGhsKAjIwEhUKEwgEKg8KC0FBQUNBNk1vMW5JEAQaMAoCMjESKgoTCAQqDwoLQUFBQ0E2TW8xbkkQBAoTCAQqDwoLQUFBQ0E2TW8xbkkQARobCgIyMhIVChMIBCoPCgtBQUFDQTZNbzFuSRABGjAKAjIzEioKEwgEKg8KC0FBQUNBNk1vMW5JEAQKEwgEKg8KC0FBQUNBNk1vMW5JEAEaMAoCMjQSKgoTCAQqDwoLQUFBQ0E2TW8xbkkQBAoTCAQqDwoLQUFBQ0E2TW8xbkkQARobCgIyNRIVChMIBCoPCgtBQUFDQTZNbzFuSRABGjAKAjI2EioKEwgEKg8KC0FBQUNBNk1vMW5JEAQKEwgEKg8KC0FBQUNBNk1vMW5JEAEaGwoCMjcSFQoTCAQqDwoLQUFBQ0E2TW8xbkkQBBowCgIyOBIqChMIBCoPCgtBQUFDQTZNbzFuSRAEChMIBCoPCgtBQUFDQTZNbzFuSRABGhsKAjI5EhUKEwgEKg8KC0FBQUNBNk1vMW5JEAQiiQIKC0FBQUNBNk1vMW5nEtUBCgtBQUFDQTZNbzFuZxILQUFBQ0E2TW8xbmcaDQoJdGV4dC9odG1sEgAiDgoKdGV4dC9wbGFpbhIAKhsiFTExNTc0OTk5Njg1NTA3NDE5MDIwMigAOAAwu7KS3/UzOLuykt/1M0o7CiRhcHBsaWNhdGlvbi92bmQuZ29vZ2xlLWFwcHMuZG9jcy5tZHMaE8LX2uQBDRoLCgcKASwQARgAEAFaDGExc2VhbGN1eGI5enICIAB4AIIBFHN1Z2dlc3Quc2l1dTh6cmtxdXF3mgEGCAAQABgAGLuykt/1MyC7spLf9TNCFHN1Z2dlc3Quc2l1dTh6cmtxdXF3IqADCgtBQUFDQTZNbzFuWRLwAgoLQUFBQ0E2TW8xblkSC0FBQUNBNk1vMW5ZGlIKCXRleHQvaHRtbBJFQ29uc2lkZXIgYWRkaW5nIHRoaXMgY2xhdXNlIGlmIGhlbHBmdWwgZnJvbSBhIHJlc3RyaWN0aW9uIHN0YW5kcG9pbnQuIlMKCnRleHQvcGxhaW4SRUNvbnNpZGVyIGFkZGluZyB0aGlzIGNsYXVzZSBpZiBoZWxwZnVsIGZyb20gYSByZXN0cmljdGlvbiBzdGFuZHBvaW50LiobIhUxMTU3NDk5OTY4NTUwNzQxOTAyMDIoADgAMI2Mj9/1MziNjI/f9TNKGQoKdGV4dC9wbGFpbhILY2xpY2std3JhcCxaDDltaHg4N2ljc3puaXICIAB4AJoBBggAEAAYAKoBRxJFQ29uc2lkZXIgYWRkaW5nIHRoaXMgY2xhdXNlIGlmIGhlbHBmdWwgZnJvbSBhIHJlc3RyaWN0aW9uIHN0YW5kcG9pbnQuGI2Mj9/1MyCNjI/f9TNCEGtpeC4zb21qaHlhY2p3cXUi8QIKC0FBQUNBNk1vMW5JEr0CCgtBQUFDQTZNbzFuSRILQUFBQ0E2TW8xbkkaDQoJdGV4dC9odG1sEgAiDgoKdGV4dC9wbGFpbhIAKhsiFTExNTc0OTk5Njg1NTA3NDE5MDIwMigAOAAwtrOH3/UzOM+aiN/1M0qiAQokYXBwbGljYXRpb24vdm5kLmdvb2dsZS1hcHBzLmRvY3MubWRzGnrC19rkAXQacgpuCmhTQ0hFRFVMRSAxIOKAlCBERVNJR05BVEVEIEFJIEFHRU5UKFMpIFtJZGVudGlmeSBlYWNoIEFJIEFnZW50IGluIHVzZSDigJQgZm9yIGV4YW1wbGUsIHRoZSBtb2RlbCBhbmQgcHJvdhABGAEQAVoMbnZhaTZ2dWR1OGFvcgIgAHgAggEUc3VnZ2VzdC5pcDE0bTBjcndxaGqaAQYIABAAGAAYtrOH3/UzIM+aiN/1M0IUc3VnZ2VzdC5pcDE0bTBjcndxaGoimwIKC0FBQUNBNk1vMW5rEucBCgtBQUFDQTZNbzFuaxILQUFBQ0E2TW8xbmsaDQoJdGV4dC9odG1sEgAiDgoKdGV4dC9wbGFpbhIAKhsiFTExNTc0OTk5Njg1NTA3NDE5MDIwMigAOAAwvaGT3/UzONyylN/1M0pNCiRhcHBsaWNhdGlvbi92bmQuZ29vZ2xlLWFwcHMuZG9jcy5tZHMaJcLX2uQBHxodChkKE2FkdmFuY2UgYXBwcm92YWwgb3IQARgAEAFaDDlkaGJ1OGFlZTJ4anICIAB4AIIBFHN1Z2dlc3QuODNwbTEweXF1N25xmgEGCAAQABgAGL2hk9/1MyDcspTf9TNCFHN1Z2dlc3QuODNwbTEweXF1N25xIp4CCgtBQUFDQTZNbzFucxLqAQoLQUFBQ0E2TW8xbnMSC0FBQUNBNk1vMW5zGg0KCXRleHQvaHRtbBIAIg4KCnRleHQvcGxhaW4SACobIhUxMTU3NDk5OTY4NTUwNzQxOTAyMDIoADgAMISzlN/1MziEs5Tf9TNKUAokYXBwbGljYXRpb24vdm5kLmdvb2dsZS1hcHBzLmRvY3MubWRzGijC19rkASIaIAocChZwcmlvciB0byB0YWtpbmcgYWN0aW9uEAEYABABWgw4bjM5czRia3ozOHJyAiAAeACCARRzdWdnZXN0LmFwYmo3Nmd0NWdkY5oBBggAEAAYABiEs5Tf9TMghLOU3/UzQhRzdWdnZXN0LmFwYmo3Nmd0NWdkYyKaAgoLQUFBQ0E2TW8xbmMS5gEKC0FBQUNBNk1vMW5jEgtBQUFDQTZNbzFuYxoNCgl0ZXh0L2h0bWwSACIOCgp0ZXh0L3BsYWluEgAqGyIVMTE1NzQ5OTk2ODU1MDc0MTkwMjAyKAA4ADC07ZHf9TM4jLKS3/UzSkwKJGFwcGxpY2F0aW9uL3ZuZC5nb29nbGUtYXBwcy5kb2NzLm1kcxokwtfa5AEeGhwKGAoSdGhlIGVuZ2FnZW1lbnQgb2YsEAEYABABWgx5aDEyOTltMHRid3JyAiAAeACCARRzdWdnZXN0Lm5qaXk4ZmwzZXNybpoBBggAEAAYABi07ZHf9TMgjLKS3/UzQhRzdWdnZXN0Lm5qaXk4ZmwzZXNybiKTAgoLQUFBQ0E2TW8xblUS4AEKC0FBQUNBNk1vMW5VEgtBQUFDQTZNbzFuVRoNCgl0ZXh0L2h0bWwSACIOCgp0ZXh0L3BsYWluEgAqGyIVMTE1NzQ5OTk2ODU1MDc0MTkwMjAyKAA4ADCIo43f9TM4jbaN3/UzSkcKJGFwcGxpY2F0aW9uL3ZuZC5nb29nbGUtYXBwcy5kb2NzLm1kcxofwtfa5AEZGhcKEwoNLCBjbGljay13cmFwLBABGAAQAVoMMzdzZXUxZjJ5dXpncgIgAHgAggETc3VnZ2VzdC5mcDV6Zjc3bXdpYpoBBggAEAAYABiIo43f9TMgjbaN3/UzQhNzdWdnZXN0LmZwNXpmNzdtd2liIvECCgtBQUFDQTZNbzFuRRK9AgoLQUFBQ0E2TW8xbkUSC0FBQUNBNk1vMW5FGg0KCXRleHQvaHRtbBIAIg4KCnRleHQvcGxhaW4SACobIhUxMTU3NDk5OTY4NTUwNzQxOTAyMDIoADgAMJmSh9/1MzjolIff9TNKogEKJGFwcGxpY2F0aW9uL3ZuZC5nb29nbGUtYXBwcy5kb2NzLm1kcxp6wtfa5AF0EnIKbgpoU0NIRURVTEUgMSDigJQgREVTSUdOQVRFRCBBSSBBR0VOVChTKSBbSWRlbnRpZnkgZWFjaCBBSSBBZ2VudCBpbiB1c2Ug4oCUIGZvciBleGFtcGxlLCB0aGUgbW9kZWwgYW5kIHByb3YQARgBEAFaDDF0bnR6d3dxM2R4bXICIAB4AIIBFHN1Z2dlc3QubTkwd3h4bjF4Ym9rmgEGCAAQABgAGJmSh9/1MyDolIff9TNCFHN1Z2dlc3QubTkwd3h4bjF4Ym9rOABqJAoUc3VnZ2VzdC5zNXNwZzQxbXJycGYSDENocmlzIEdyb2dhbmokChRzdWdnZXN0LnNpdXU4enJrcXVxdxIMQ2hyaXMgR3JvZ2FuaiQKFHN1Z2dlc3QuaXAxNG0wY3J3cWhqEgxDaHJpcyBHcm9nYW5qJAoUc3VnZ2VzdC44M3BtMTB5cXU3bnESDENocmlzIEdyb2dhbmokChRzdWdnZXN0LnFsbWYxcWt0MTJubxIMQ2hyaXMgR3JvZ2FuaiQKFHN1Z2dlc3QuYXBiajc2Z3Q1Z2RjEgxDaHJpcyBHcm9nYW5qJAoUc3VnZ2VzdC5uaml5OGZsM2Vzcm4SDENocmlzIEdyb2dhbmojChNzdWdnZXN0LmZwNXpmNzdtd2liEgxDaHJpcyBHcm9nYW5qJAoUc3VnZ2VzdC5tOTB3eHhuMXhib2sSDENocmlzIEdyb2dhbnIhMWhQV01GT2RrUzdDOVJzcVdKQmZ2ZkVhc2NhakNjSj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813</Words>
  <Characters>4360</Characters>
  <CharactersWithSpaces>5161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