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OpsIntel: Executive Governance Platform</w:t>
      </w:r>
    </w:p>
    <w:p>
      <w:pPr>
        <w:jc w:val="center"/>
      </w:pPr>
      <w:r>
        <w:t>Comprehensive Project Documentation</w:t>
        <w:br/>
      </w:r>
    </w:p>
    <w:p>
      <w:pPr>
        <w:pStyle w:val="Heading1"/>
      </w:pPr>
      <w:r>
        <w:rPr>
          <w:rFonts w:ascii="Arial" w:hAnsi="Arial"/>
          <w:color w:val="1F497D"/>
        </w:rPr>
        <w:t>1. About the Project</w:t>
      </w:r>
    </w:p>
    <w:p>
      <w:r>
        <w:rPr>
          <w:rFonts w:ascii="Calibri" w:hAnsi="Calibri"/>
          <w:sz w:val="22"/>
        </w:rPr>
        <w:t>OpsIntel is a modern, real-time IT Service Management (ITSM) and Executive Governance Platform. It is designed to provide IT leaders, Site Reliability Engineers (SREs), and Operations teams with a 30,000-foot view of their entire IT landscape. By aggregating data across multiple domains—Incidents, Problems, Changes, and Service Level Agreements (SLAs)—OpsIntel delivers actionable insights, automated health tracking, and robust data reporting capabilities.</w:t>
      </w:r>
    </w:p>
    <w:p>
      <w:pPr>
        <w:pStyle w:val="Heading1"/>
      </w:pPr>
      <w:r>
        <w:rPr>
          <w:rFonts w:ascii="Arial" w:hAnsi="Arial"/>
          <w:color w:val="1F497D"/>
        </w:rPr>
        <w:t>2. What We Are Doing</w:t>
      </w:r>
    </w:p>
    <w:p>
      <w:r>
        <w:rPr>
          <w:rFonts w:ascii="Calibri" w:hAnsi="Calibri"/>
          <w:sz w:val="22"/>
        </w:rPr>
        <w:t>We are building a centralized dashboard that replaces fragmented spreadsheets and legacy ITSM tools. OpsIntel auto-ingests historical CSV data and displays complex metrics (like Priority Distributions, Problem Aging, Change Success Rates) in a single, visually stunning, real-time interface.</w:t>
      </w:r>
    </w:p>
    <w:p>
      <w:pPr>
        <w:pStyle w:val="Heading1"/>
      </w:pPr>
      <w:r>
        <w:rPr>
          <w:rFonts w:ascii="Arial" w:hAnsi="Arial"/>
          <w:color w:val="1F497D"/>
        </w:rPr>
        <w:t>3. Why We Are Doing It</w:t>
      </w:r>
    </w:p>
    <w:p>
      <w:r>
        <w:rPr>
          <w:rFonts w:ascii="Calibri" w:hAnsi="Calibri"/>
          <w:sz w:val="22"/>
        </w:rPr>
        <w:t>Modern IT environments are highly complex. Without a unified dashboard, executives struggle to identify which services are inherently unstable (Problem Management) or if deployments are causing outages (Change Management). OpsIntel was created to solve the "visibility gap" by instantly highlighting SLA breaches and calculating a proprietary "Operational Health Score" for every service.</w:t>
      </w:r>
    </w:p>
    <w:p>
      <w:pPr>
        <w:pStyle w:val="Heading1"/>
      </w:pPr>
      <w:r>
        <w:rPr>
          <w:rFonts w:ascii="Arial" w:hAnsi="Arial"/>
          <w:color w:val="1F497D"/>
        </w:rPr>
        <w:t>4. Technology Stack</w:t>
      </w:r>
    </w:p>
    <w:p>
      <w:pPr>
        <w:pStyle w:val="ListBullet"/>
      </w:pPr>
      <w:r>
        <w:rPr>
          <w:b/>
        </w:rPr>
        <w:t xml:space="preserve">Frontend: </w:t>
      </w:r>
      <w:r>
        <w:t>React (TypeScript), Vite, Tailwind CSS v4, Recharts, Lucide Icons.</w:t>
      </w:r>
    </w:p>
    <w:p>
      <w:pPr>
        <w:pStyle w:val="ListBullet"/>
      </w:pPr>
      <w:r>
        <w:rPr>
          <w:b/>
        </w:rPr>
        <w:t xml:space="preserve">Backend: </w:t>
      </w:r>
      <w:r>
        <w:t>FastAPI (Python), Uvicorn, WebSockets.</w:t>
      </w:r>
    </w:p>
    <w:p>
      <w:pPr>
        <w:pStyle w:val="ListBullet"/>
      </w:pPr>
      <w:r>
        <w:rPr>
          <w:b/>
        </w:rPr>
        <w:t xml:space="preserve">Database &amp; ORM: </w:t>
      </w:r>
      <w:r>
        <w:t>SQLite, SQLAlchemy, Pydantic.</w:t>
      </w:r>
    </w:p>
    <w:p>
      <w:pPr>
        <w:pStyle w:val="Heading1"/>
      </w:pPr>
      <w:r>
        <w:rPr>
          <w:rFonts w:ascii="Arial" w:hAnsi="Arial"/>
          <w:color w:val="1F497D"/>
        </w:rPr>
        <w:t>5. System Architecture</w:t>
      </w:r>
    </w:p>
    <w:p>
      <w:r>
        <w:rPr>
          <w:rFonts w:ascii="Calibri" w:hAnsi="Calibri"/>
          <w:sz w:val="22"/>
        </w:rPr>
        <w:t>OpsIntel utilizes a decoupled, split-stack architecture:</w:t>
      </w:r>
    </w:p>
    <w:p>
      <w:pPr>
        <w:pStyle w:val="ListBullet"/>
      </w:pPr>
      <w:r>
        <w:rPr>
          <w:b/>
        </w:rPr>
        <w:t xml:space="preserve">Client Tier: </w:t>
      </w:r>
      <w:r>
        <w:t>A responsive React Single Page Application (SPA) running on Port 5173. It manages client-side routing and state, communicating with the backend exclusively via an Axios-based API client.</w:t>
      </w:r>
    </w:p>
    <w:p>
      <w:pPr>
        <w:pStyle w:val="ListBullet"/>
      </w:pPr>
      <w:r>
        <w:rPr>
          <w:b/>
        </w:rPr>
        <w:t xml:space="preserve">API &amp; Processing Tier: </w:t>
      </w:r>
      <w:r>
        <w:t>A high-performance FastAPI server running on Port 8000. It handles JWT authentication, complex SQL aggregations for analytics, bulk CSV parsing (Data Ingestion Engine), and maintains a WebSocket server for real-time alerts.</w:t>
      </w:r>
    </w:p>
    <w:p>
      <w:pPr>
        <w:pStyle w:val="ListBullet"/>
      </w:pPr>
      <w:r>
        <w:rPr>
          <w:b/>
        </w:rPr>
        <w:t xml:space="preserve">Data Tier: </w:t>
      </w:r>
      <w:r>
        <w:t>A relational SQLite database configured with SQLAlchemy to map Python objects to tables (Incidents, Problems, Changes, SLAs, Services).</w:t>
      </w:r>
    </w:p>
    <w:p>
      <w:pPr>
        <w:pStyle w:val="Heading1"/>
      </w:pPr>
      <w:r>
        <w:rPr>
          <w:rFonts w:ascii="Arial" w:hAnsi="Arial"/>
          <w:color w:val="1F497D"/>
        </w:rPr>
        <w:t>6. Detailed Implementation &amp; Working</w:t>
      </w:r>
    </w:p>
    <w:p>
      <w:pPr>
        <w:pStyle w:val="Heading2"/>
      </w:pPr>
      <w:r>
        <w:rPr>
          <w:rFonts w:ascii="Arial" w:hAnsi="Arial"/>
          <w:color w:val="1F497D"/>
        </w:rPr>
        <w:t>Authentication System</w:t>
      </w:r>
    </w:p>
    <w:p>
      <w:r>
        <w:rPr>
          <w:rFonts w:ascii="Calibri" w:hAnsi="Calibri"/>
          <w:sz w:val="22"/>
        </w:rPr>
        <w:t>The application is secured via OAuth2 with JWT tokens. The frontend Login View POSTs to the /auth/login endpoint, which provisions a bearer token. This token is appended to all subsequent API requests.</w:t>
      </w:r>
    </w:p>
    <w:p>
      <w:pPr>
        <w:pStyle w:val="Heading2"/>
      </w:pPr>
      <w:r>
        <w:rPr>
          <w:rFonts w:ascii="Arial" w:hAnsi="Arial"/>
          <w:color w:val="1F497D"/>
        </w:rPr>
        <w:t>Dashboard &amp; Analytics Engine</w:t>
      </w:r>
    </w:p>
    <w:p>
      <w:r>
        <w:rPr>
          <w:rFonts w:ascii="Calibri" w:hAnsi="Calibri"/>
          <w:sz w:val="22"/>
        </w:rPr>
        <w:t>The FastAPI backend executes optimized SQLAlchemy queries to calculate Mean Time To Resolve (MTTR), SLA Compliance Rates, and Open vs Resolved metrics. These are served via /api/v1/analytics/kpis and rendered dynamically in the UI using Recharts.</w:t>
      </w:r>
    </w:p>
    <w:p>
      <w:pPr>
        <w:pStyle w:val="Heading2"/>
      </w:pPr>
      <w:r>
        <w:rPr>
          <w:rFonts w:ascii="Arial" w:hAnsi="Arial"/>
          <w:color w:val="1F497D"/>
        </w:rPr>
        <w:t>Real-time Event Streaming</w:t>
      </w:r>
    </w:p>
    <w:p>
      <w:r>
        <w:rPr>
          <w:rFonts w:ascii="Calibri" w:hAnsi="Calibri"/>
          <w:sz w:val="22"/>
        </w:rPr>
        <w:t>A background scheduler injects synthetic 'live' incidents into the database every 15 seconds. Simultaneously, it broadcasts these events over WebSockets (ws://) directly to the Dashboard, triggering visual notifications instantly.</w:t>
      </w:r>
    </w:p>
    <w:p>
      <w:pPr>
        <w:pStyle w:val="Heading2"/>
      </w:pPr>
      <w:r>
        <w:rPr>
          <w:rFonts w:ascii="Arial" w:hAnsi="Arial"/>
          <w:color w:val="1F497D"/>
        </w:rPr>
        <w:t>Data Ingestion &amp; Extraction</w:t>
      </w:r>
    </w:p>
    <w:p>
      <w:r>
        <w:rPr>
          <w:rFonts w:ascii="Calibri" w:hAnsi="Calibri"/>
          <w:sz w:val="22"/>
        </w:rPr>
        <w:t>Users can navigate to the Data Upload section and submit raw ITSM CSV files. The backend dynamically infers the CSV schema (e.g., matching 'problem_id' to the Problem domain) and bulk-inserts the records into SQLite. Conversely, all Table views feature a 1-Click Export utility that serializes the active table data into a clean CSV for local download.</w:t>
      </w:r>
    </w:p>
    <w:p>
      <w:pPr>
        <w:pStyle w:val="Heading2"/>
      </w:pPr>
      <w:r>
        <w:rPr>
          <w:rFonts w:ascii="Arial" w:hAnsi="Arial"/>
          <w:color w:val="1F497D"/>
        </w:rPr>
        <w:t>Service Health Algorithms</w:t>
      </w:r>
    </w:p>
    <w:p>
      <w:r>
        <w:rPr>
          <w:rFonts w:ascii="Calibri" w:hAnsi="Calibri"/>
          <w:sz w:val="22"/>
        </w:rPr>
        <w:t>The system calculates an Operational Health Score starting at 100. Penalties are mathematically deduced based on active P1/P2 incidents and historical SLA breaches, allowing the system to categorize services into Healthy (Green), Warning (Amber), or Critical (Red)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