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348edbe (2026-10-24) · generated 2026-10-24 07:10 UTC from claude/project-thread-f0m6lx @ 348edbe · source digest 85f02c63fe3d8cbd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dressed Calpurnia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25a</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his father’s nose and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280"/>
      </w:pPr>
      <w:r>
        <w:rPr/>
        <w:t>Chapter 27a</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books.</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28</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r>
        <w:rPr/>
        <w:t xml:space="preserve"> Praise the young man, honour him, lift him up. Lift him off.</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 scar through one eyebrow,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In law, the old man’s freedwoman belonged to the old man’s son.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32</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and closed the clasp. He did not think he would want to read them when he was old. He did not think, now, that he would be.</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348edbe (2026-10-24) · generated 2026-10-24 07:10 UTC from claude/project-thread-f0m6lx @ 348edbe · source digest 85f02c63fe3d8cbd</dc:description>
  <cp:lastModifiedBy>tools/export_book1_docx.py</cp:lastModifiedBy>
  <cp:revision>1</cp:revision>
  <dcterms:created xsi:type="dcterms:W3CDTF">2026-10-24T07:10:24Z</dcterms:created>
  <dcterms:modified xsi:type="dcterms:W3CDTF">2026-10-24T07:10:24Z</dcterms:modified>
  <cp:category/>
  <cp:version>348edbe</cp:version>
  <dc:identifier>85f02c63fe3d8cbd</dc:identifier>
</cp:coreProperties>
</file>