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0314F">
      <w:pPr>
        <w:pStyle w:val="2"/>
        <w:keepNext w:val="0"/>
        <w:keepLines w:val="0"/>
        <w:widowControl/>
        <w:suppressLineNumbers w:val="0"/>
      </w:pPr>
      <w:r>
        <w:t>Key Findings and Recommendations</w:t>
      </w:r>
    </w:p>
    <w:p w14:paraId="35444C89">
      <w:pPr>
        <w:pStyle w:val="3"/>
        <w:keepNext w:val="0"/>
        <w:keepLines w:val="0"/>
        <w:widowControl/>
        <w:suppressLineNumbers w:val="0"/>
      </w:pPr>
      <w:r>
        <w:t>Key Findings</w:t>
      </w:r>
    </w:p>
    <w:p w14:paraId="4246C560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1.</w:t>
      </w:r>
      <w:r>
        <w:rPr>
          <w:rStyle w:val="7"/>
        </w:rPr>
        <w:t>Improvement in life expectancy:</w:t>
      </w:r>
      <w:r>
        <w:t xml:space="preserve"> Nigeria's life expectancy increased from approximately 47.14 years in 2000 to 54.64 years in 2024, representing an incre</w:t>
      </w:r>
      <w:bookmarkStart w:id="0" w:name="_GoBack"/>
      <w:bookmarkEnd w:id="0"/>
      <w:r>
        <w:t>se of 7.49 years. However, Nigeria remained below the other four countries in the latest-year comparison.</w:t>
      </w:r>
    </w:p>
    <w:p w14:paraId="2808BE91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2.</w:t>
      </w:r>
      <w:r>
        <w:rPr>
          <w:rStyle w:val="7"/>
        </w:rPr>
        <w:t>Decline in under-five mortality:</w:t>
      </w:r>
      <w:r>
        <w:t xml:space="preserve"> Nigeria's under-five mortality rate decreased from 177.3 to 115.6 deaths per 1,000 live births between 2000 and 2024, a reduction of approximately 34.8%. Despite this improvement, the rate remained comparatively high among the five selected countries.</w:t>
      </w:r>
    </w:p>
    <w:p w14:paraId="64791E40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3.</w:t>
      </w:r>
      <w:r>
        <w:rPr>
          <w:rStyle w:val="7"/>
        </w:rPr>
        <w:t>Progress in DPT immunization coverage:</w:t>
      </w:r>
      <w:r>
        <w:t xml:space="preserve"> Nigeria's reported DPT immunization coverage increased from approximately 29% in 2000 to 67% in 2024. However, this remained below the other four countries in the latest-year comparison. The average coverage across all five countries was approximately 85% in 2024.</w:t>
      </w:r>
    </w:p>
    <w:p w14:paraId="1DE164F1">
      <w:pPr>
        <w:pStyle w:val="3"/>
        <w:keepNext w:val="0"/>
        <w:keepLines w:val="0"/>
        <w:widowControl/>
        <w:suppressLineNumbers w:val="0"/>
      </w:pPr>
      <w:r>
        <w:t>Recommendations</w:t>
      </w:r>
    </w:p>
    <w:p w14:paraId="5F6C80FD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1.</w:t>
      </w:r>
      <w:r>
        <w:rPr>
          <w:rStyle w:val="7"/>
        </w:rPr>
        <w:t>Strengthen primary healthcare:</w:t>
      </w:r>
      <w:r>
        <w:t xml:space="preserve"> Improve access to affordable healthcare, maternal and newborn services, early diagnosis, and treatment of preventable diseases, particularly in underserved communities.</w:t>
      </w:r>
    </w:p>
    <w:p w14:paraId="3999CC80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2.</w:t>
      </w:r>
      <w:r>
        <w:rPr>
          <w:rStyle w:val="7"/>
        </w:rPr>
        <w:t>Reduce preventable child deaths:</w:t>
      </w:r>
      <w:r>
        <w:t xml:space="preserve"> Support skilled care during childbirth, child nutrition programmes, access to safe water and sanitation, and timely treatment of common childhood illnesses.</w:t>
      </w:r>
    </w:p>
    <w:p w14:paraId="0C850AA4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3.</w:t>
      </w:r>
      <w:r>
        <w:rPr>
          <w:rStyle w:val="7"/>
        </w:rPr>
        <w:t>Improve immunization coverage:</w:t>
      </w:r>
      <w:r>
        <w:t xml:space="preserve"> Strengthen routine vaccination services, identify children who miss scheduled doses, expand community outreach, and improve vaccine availability.</w:t>
      </w:r>
    </w:p>
    <w:p w14:paraId="1C17C1DE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4.</w:t>
      </w:r>
      <w:r>
        <w:rPr>
          <w:rStyle w:val="7"/>
        </w:rPr>
        <w:t>Monitor health inequalities:</w:t>
      </w:r>
      <w:r>
        <w:t xml:space="preserve"> Continue tracking life expectancy, under-five mortality and DPT coverage across countries and years to identify persistent gaps and guide resource allocation.</w:t>
      </w:r>
    </w:p>
    <w:p w14:paraId="69E6425A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5.</w:t>
      </w:r>
      <w:r>
        <w:rPr>
          <w:rStyle w:val="7"/>
        </w:rPr>
        <w:t>Evaluate progress using evidence:</w:t>
      </w:r>
      <w:r>
        <w:t xml:space="preserve"> Regularly measure the results of health interventions and combine these indicators with further information on healthcare access, nutrition and service availability to better understand differences in outcomes.</w:t>
      </w:r>
    </w:p>
    <w:p w14:paraId="381A9917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Conclusion</w:t>
      </w:r>
      <w:r>
        <w:rPr>
          <w:rFonts w:hint="default"/>
          <w:lang w:val="en-US"/>
        </w:rPr>
        <w:t>;</w:t>
      </w:r>
    </w:p>
    <w:p w14:paraId="60C4CCEF">
      <w:pPr>
        <w:pStyle w:val="6"/>
        <w:keepNext w:val="0"/>
        <w:keepLines w:val="0"/>
        <w:widowControl/>
        <w:suppressLineNumbers w:val="0"/>
      </w:pPr>
      <w:r>
        <w:t>The analysis indicates that life expectancy and DPT immunization coverage improved in Nigeria between 2000 and 2024, while under-five mortality declined. Nevertheless, substantial gaps remain between Nigeria and the other selected countries. Strengthening primary healthcare, child-survival services and immunization programmes should therefore be priorities for further investigation and public-health planning.</w:t>
      </w:r>
    </w:p>
    <w:p w14:paraId="66CC9AE0">
      <w:pPr>
        <w:pStyle w:val="6"/>
        <w:keepNext w:val="0"/>
        <w:keepLines w:val="0"/>
        <w:widowControl/>
        <w:suppressLineNumbers w:val="0"/>
      </w:pPr>
      <w:r>
        <w:t>These findings describe observed trends and differences; they do not establish that a particular intervention caused the changes. Further research using additional health and socioeconomic indicators would help explain the factors associated with these outcomes.</w:t>
      </w:r>
    </w:p>
    <w:p w14:paraId="6C21B04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07C52"/>
    <w:rsid w:val="5B50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2026-10-21T11:06:00Z</dcterms:created>
  <dc:creator>Isaiah Eneojo</dc:creator>
  <cp:lastModifiedBy>Isaiah Eneojo</cp:lastModifiedBy>
  <dcterms:modified xsi:type="dcterms:W3CDTF">2026-10-21T11:10:12Z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BE2AED85EE374897BEBE9D4F19BBBE1A_11</vt:lpwstr>
  </property>
  <property fmtid="{D5CDD505-2E9C-101B-9397-08002B2CF9AE}" pid="4" name="KSOTemplateDocerSaveRecord">
    <vt:lpwstr>eyJoZGlkIjoiYTYyMTJlNDE5NWFkNTg4MzM5OTI3MWNjNzEzNjU1ODQiLCJ1c2VySWQiOiIyNzY2NjYwNDkzNDE5In0=</vt:lpwstr>
  </property>
</Properties>
</file>