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ptos" w:hAnsi="Aptos"/>
          <w:b/>
          <w:i w:val="0"/>
          <w:color w:val="17324D"/>
          <w:sz w:val="50"/>
        </w:rPr>
        <w:t>AI SDR Agent Input &amp; Output Handoff</w:t>
      </w:r>
    </w:p>
    <w:p>
      <w:pPr>
        <w:spacing w:after="360"/>
      </w:pPr>
      <w:r>
        <w:rPr>
          <w:rFonts w:ascii="Aptos" w:hAnsi="Aptos"/>
          <w:b w:val="0"/>
          <w:i w:val="0"/>
          <w:color w:val="5B6573"/>
          <w:sz w:val="25"/>
        </w:rPr>
        <w:t>Integration contract for ICP, Account Discovery, Contact Discovery, and Enrichment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DFF0E5"/>
          </w:tcPr>
          <w:p>
            <w:pPr>
              <w:spacing w:after="0"/>
            </w:pPr>
            <w:r>
              <w:rPr>
                <w:rFonts w:ascii="Aptos" w:hAnsi="Aptos"/>
                <w:b/>
                <w:i w:val="0"/>
                <w:color w:val="17324D"/>
                <w:sz w:val="21"/>
              </w:rPr>
              <w:t xml:space="preserve">Purpose: </w:t>
            </w:r>
            <w:r>
              <w:rPr>
                <w:rFonts w:ascii="Aptos" w:hAnsi="Aptos"/>
                <w:b w:val="0"/>
                <w:i w:val="0"/>
                <w:color w:val="1F2933"/>
                <w:sz w:val="21"/>
              </w:rPr>
              <w:t>Use this document to align agent owners on the exact fields each agent must receive and produce. The formal integration contracts for Account Discovery, Contact Discovery, and Enrichment appear in Sections 3–5.</w:t>
            </w:r>
          </w:p>
        </w:tc>
      </w:tr>
    </w:tbl>
    <w:p>
      <w:pPr>
        <w:spacing w:after="20"/>
      </w:pPr>
    </w:p>
    <w:p>
      <w:pPr>
        <w:keepNext/>
        <w:spacing w:before="280" w:after="100"/>
      </w:pPr>
      <w:r>
        <w:rPr>
          <w:rFonts w:ascii="Aptos" w:hAnsi="Aptos"/>
          <w:b/>
          <w:i w:val="0"/>
          <w:color w:val="1F4E78"/>
          <w:sz w:val="32"/>
        </w:rPr>
        <w:t>1. End-to-End Handoff</w:t>
      </w:r>
    </w:p>
    <w:p>
      <w:pPr>
        <w:spacing w:after="120" w:line="269" w:lineRule="auto"/>
      </w:pPr>
      <w:r>
        <w:rPr>
          <w:rFonts w:ascii="Aptos" w:hAnsi="Aptos"/>
          <w:b w:val="0"/>
          <w:i w:val="0"/>
          <w:color w:val="1F2933"/>
          <w:sz w:val="21"/>
        </w:rPr>
        <w:t>The agents form one pipeline. Every record must retain stable IDs so results can be joined and audited.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4F6"/>
          </w:tcPr>
          <w:p>
            <w:pPr>
              <w:spacing w:after="0"/>
            </w:pPr>
            <w:r>
              <w:rPr>
                <w:rFonts w:ascii="Courier New" w:hAnsi="Courier New"/>
                <w:b w:val="0"/>
                <w:i w:val="0"/>
                <w:color w:val="263238"/>
                <w:sz w:val="16"/>
              </w:rPr>
              <w:t>ICP Agent</w:t>
            </w:r>
            <w:r>
              <w:br/>
            </w:r>
            <w:r>
              <w:rPr>
                <w:rFonts w:ascii="Courier New" w:hAnsi="Courier New"/>
                <w:b w:val="0"/>
                <w:i w:val="0"/>
                <w:color w:val="263238"/>
                <w:sz w:val="16"/>
              </w:rPr>
              <w:t xml:space="preserve">  → Account Discovery Agent</w:t>
            </w:r>
            <w:r>
              <w:br/>
            </w:r>
            <w:r>
              <w:rPr>
                <w:rFonts w:ascii="Courier New" w:hAnsi="Courier New"/>
                <w:b w:val="0"/>
                <w:i w:val="0"/>
                <w:color w:val="263238"/>
                <w:sz w:val="16"/>
              </w:rPr>
              <w:t xml:space="preserve">      → Contact Discovery Agent</w:t>
            </w:r>
            <w:r>
              <w:br/>
            </w:r>
            <w:r>
              <w:rPr>
                <w:rFonts w:ascii="Courier New" w:hAnsi="Courier New"/>
                <w:b w:val="0"/>
                <w:i w:val="0"/>
                <w:color w:val="263238"/>
                <w:sz w:val="16"/>
              </w:rPr>
              <w:t xml:space="preserve">          → Enrichment Agent</w:t>
            </w:r>
            <w:r>
              <w:br/>
            </w:r>
            <w:r>
              <w:rPr>
                <w:rFonts w:ascii="Courier New" w:hAnsi="Courier New"/>
                <w:b w:val="0"/>
                <w:i w:val="0"/>
                <w:color w:val="263238"/>
                <w:sz w:val="16"/>
              </w:rPr>
              <w:t xml:space="preserve">              → Intent / Lead Scoring / Personalization</w:t>
            </w:r>
          </w:p>
        </w:tc>
      </w:tr>
    </w:tbl>
    <w:p>
      <w:pPr>
        <w:spacing w:after="20"/>
      </w:pPr>
    </w:p>
    <w:p>
      <w:pPr>
        <w:pStyle w:val="ListBullet"/>
        <w:spacing w:after="60" w:line="259" w:lineRule="auto"/>
        <w:ind w:left="461" w:hanging="259"/>
      </w:pPr>
      <w:r>
        <w:rPr>
          <w:rFonts w:ascii="Aptos" w:hAnsi="Aptos"/>
          <w:b w:val="0"/>
          <w:i w:val="0"/>
          <w:color w:val="1F2933"/>
          <w:sz w:val="21"/>
        </w:rPr>
        <w:t>ICP defines what a good target looks like.</w:t>
      </w:r>
    </w:p>
    <w:p>
      <w:pPr>
        <w:pStyle w:val="ListBullet"/>
        <w:spacing w:after="60" w:line="259" w:lineRule="auto"/>
        <w:ind w:left="461" w:hanging="259"/>
      </w:pPr>
      <w:r>
        <w:rPr>
          <w:rFonts w:ascii="Aptos" w:hAnsi="Aptos"/>
          <w:b w:val="0"/>
          <w:i w:val="0"/>
          <w:color w:val="1F2933"/>
          <w:sz w:val="21"/>
        </w:rPr>
        <w:t>Account Discovery finds companies matching that definition.</w:t>
      </w:r>
    </w:p>
    <w:p>
      <w:pPr>
        <w:pStyle w:val="ListBullet"/>
        <w:spacing w:after="60" w:line="259" w:lineRule="auto"/>
        <w:ind w:left="461" w:hanging="259"/>
      </w:pPr>
      <w:r>
        <w:rPr>
          <w:rFonts w:ascii="Aptos" w:hAnsi="Aptos"/>
          <w:b w:val="0"/>
          <w:i w:val="0"/>
          <w:color w:val="1F2933"/>
          <w:sz w:val="21"/>
        </w:rPr>
        <w:t>Contact Discovery finds relevant decision makers inside each selected account.</w:t>
      </w:r>
    </w:p>
    <w:p>
      <w:pPr>
        <w:pStyle w:val="ListBullet"/>
        <w:spacing w:after="60" w:line="259" w:lineRule="auto"/>
        <w:ind w:left="461" w:hanging="259"/>
      </w:pPr>
      <w:r>
        <w:rPr>
          <w:rFonts w:ascii="Aptos" w:hAnsi="Aptos"/>
          <w:b w:val="0"/>
          <w:i w:val="0"/>
          <w:color w:val="1F2933"/>
          <w:sz w:val="21"/>
        </w:rPr>
        <w:t>Enrichment researches those accounts and contacts, producing cited sales intelligence.</w:t>
      </w:r>
    </w:p>
    <w:p>
      <w:pPr>
        <w:keepNext/>
        <w:spacing w:before="280" w:after="100"/>
      </w:pPr>
      <w:r>
        <w:rPr>
          <w:rFonts w:ascii="Aptos" w:hAnsi="Aptos"/>
          <w:b/>
          <w:i w:val="0"/>
          <w:color w:val="1F4E78"/>
          <w:sz w:val="32"/>
        </w:rPr>
        <w:t>2. ICP Agent Contract</w:t>
      </w:r>
    </w:p>
    <w:p>
      <w:pPr>
        <w:keepNext/>
        <w:spacing w:before="180" w:after="100"/>
      </w:pPr>
      <w:r>
        <w:rPr>
          <w:rFonts w:ascii="Aptos" w:hAnsi="Aptos"/>
          <w:b/>
          <w:i w:val="0"/>
          <w:color w:val="17324D"/>
          <w:sz w:val="25"/>
        </w:rPr>
        <w:t>Inputs</w:t>
      </w:r>
    </w:p>
    <w:tbl>
      <w:tblPr>
        <w:tblStyle w:val="TableGrid"/>
        <w:tblW w:type="dxa" w:w="9360"/>
        <w:jc w:val="left"/>
        <w:tblLayout w:type="fixed"/>
        <w:tblLook w:firstColumn="1" w:firstRow="1" w:lastColumn="0" w:lastRow="0" w:noHBand="0" w:noVBand="1" w:val="04A0"/>
        <w:tblInd w:w="120" w:type="dxa"/>
      </w:tblPr>
      <w:tblGrid>
        <w:gridCol w:w="1900"/>
        <w:gridCol w:w="950"/>
        <w:gridCol w:w="1800"/>
        <w:gridCol w:w="4710"/>
      </w:tblGrid>
      <w:tr>
        <w:tc>
          <w:tcPr>
            <w:tcW w:type="dxa" w:w="1900"/>
            <w:shd w:fill="1F4E78"/>
            <w:tcMar>
              <w:top w:w="100" w:type="dxa"/>
              <w:start w:w="120" w:type="dxa"/>
              <w:bottom w:w="100" w:type="dxa"/>
              <w:end w:w="120" w:type="dxa"/>
            </w:tcMar>
            <w:vAlign w:val="center"/>
          </w:tcPr>
          <w:p>
            <w:pPr>
              <w:jc w:val="center"/>
            </w:pPr>
            <w:r>
              <w:rPr>
                <w:rFonts w:ascii="Aptos" w:hAnsi="Aptos"/>
                <w:b/>
                <w:i w:val="0"/>
                <w:color w:val="FFFFFF"/>
                <w:sz w:val="19"/>
              </w:rPr>
              <w:t>Field</w:t>
            </w:r>
          </w:p>
        </w:tc>
        <w:tc>
          <w:tcPr>
            <w:tcW w:type="dxa" w:w="950"/>
            <w:shd w:fill="1F4E78"/>
            <w:tcMar>
              <w:top w:w="100" w:type="dxa"/>
              <w:start w:w="120" w:type="dxa"/>
              <w:bottom w:w="100" w:type="dxa"/>
              <w:end w:w="120" w:type="dxa"/>
            </w:tcMar>
            <w:vAlign w:val="center"/>
          </w:tcPr>
          <w:p>
            <w:pPr>
              <w:jc w:val="center"/>
            </w:pPr>
            <w:r>
              <w:rPr>
                <w:rFonts w:ascii="Aptos" w:hAnsi="Aptos"/>
                <w:b/>
                <w:i w:val="0"/>
                <w:color w:val="FFFFFF"/>
                <w:sz w:val="19"/>
              </w:rPr>
              <w:t>Required?</w:t>
            </w:r>
          </w:p>
        </w:tc>
        <w:tc>
          <w:tcPr>
            <w:tcW w:type="dxa" w:w="1800"/>
            <w:shd w:fill="1F4E78"/>
            <w:tcMar>
              <w:top w:w="100" w:type="dxa"/>
              <w:start w:w="120" w:type="dxa"/>
              <w:bottom w:w="100" w:type="dxa"/>
              <w:end w:w="120" w:type="dxa"/>
            </w:tcMar>
            <w:vAlign w:val="center"/>
          </w:tcPr>
          <w:p>
            <w:pPr>
              <w:jc w:val="center"/>
            </w:pPr>
            <w:r>
              <w:rPr>
                <w:rFonts w:ascii="Aptos" w:hAnsi="Aptos"/>
                <w:b/>
                <w:i w:val="0"/>
                <w:color w:val="FFFFFF"/>
                <w:sz w:val="19"/>
              </w:rPr>
              <w:t>Source</w:t>
            </w:r>
          </w:p>
        </w:tc>
        <w:tc>
          <w:tcPr>
            <w:tcW w:type="dxa" w:w="4710"/>
            <w:shd w:fill="1F4E78"/>
            <w:tcMar>
              <w:top w:w="100" w:type="dxa"/>
              <w:start w:w="120" w:type="dxa"/>
              <w:bottom w:w="100" w:type="dxa"/>
              <w:end w:w="120" w:type="dxa"/>
            </w:tcMar>
            <w:vAlign w:val="center"/>
          </w:tcPr>
          <w:p>
            <w:pPr>
              <w:jc w:val="center"/>
            </w:pPr>
            <w:r>
              <w:rPr>
                <w:rFonts w:ascii="Aptos" w:hAnsi="Aptos"/>
                <w:b/>
                <w:i w:val="0"/>
                <w:color w:val="FFFFFF"/>
                <w:sz w:val="19"/>
              </w:rPr>
              <w:t>Purpose</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industries</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Sales manager</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Target company industries.</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geographies</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Sales manager</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Markets or operating regions.</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employee_band / range</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Sales manager</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Company-size filter.</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revenue_band / range</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Sales manager</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Commercial maturity filter.</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target_personas</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Sales manager</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Buyer titles or persona families.</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target_departments</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Sales manager</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Relevant business functions.</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pain_points</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Sales manager</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Problems the offer solves.</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offer_summary</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Sales manager</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Product/value proposition.</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exclusions</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Sales manager</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Industries, accounts, regions, statuses to avoid.</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scoring_weights</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Sales manager/system</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Relative importance of fit dimensions.</w:t>
            </w:r>
          </w:p>
        </w:tc>
      </w:tr>
    </w:tbl>
    <w:p>
      <w:pPr>
        <w:spacing w:after="40"/>
      </w:pPr>
    </w:p>
    <w:p>
      <w:pPr>
        <w:keepNext/>
        <w:spacing w:before="180" w:after="100"/>
      </w:pPr>
      <w:r>
        <w:rPr>
          <w:rFonts w:ascii="Aptos" w:hAnsi="Aptos"/>
          <w:b/>
          <w:i w:val="0"/>
          <w:color w:val="17324D"/>
          <w:sz w:val="25"/>
        </w:rPr>
        <w:t>Outputs</w:t>
      </w:r>
    </w:p>
    <w:p>
      <w:pPr>
        <w:pStyle w:val="ListBullet"/>
        <w:spacing w:after="60" w:line="259" w:lineRule="auto"/>
        <w:ind w:left="461" w:hanging="259"/>
      </w:pPr>
      <w:r>
        <w:rPr>
          <w:rFonts w:ascii="Aptos" w:hAnsi="Aptos"/>
          <w:b w:val="0"/>
          <w:i w:val="0"/>
          <w:color w:val="1F2933"/>
          <w:sz w:val="21"/>
        </w:rPr>
        <w:t>Validated and normalized ICP definition with a stable icp_id and version.</w:t>
      </w:r>
    </w:p>
    <w:p>
      <w:pPr>
        <w:pStyle w:val="ListBullet"/>
        <w:spacing w:after="60" w:line="259" w:lineRule="auto"/>
        <w:ind w:left="461" w:hanging="259"/>
      </w:pPr>
      <w:r>
        <w:rPr>
          <w:rFonts w:ascii="Aptos" w:hAnsi="Aptos"/>
          <w:b w:val="0"/>
          <w:i w:val="0"/>
          <w:color w:val="1F2933"/>
          <w:sz w:val="21"/>
        </w:rPr>
        <w:t>Account criteria: normalized industries, geographies, employee range, and revenue range.</w:t>
      </w:r>
    </w:p>
    <w:p>
      <w:pPr>
        <w:pStyle w:val="ListBullet"/>
        <w:spacing w:after="60" w:line="259" w:lineRule="auto"/>
        <w:ind w:left="461" w:hanging="259"/>
      </w:pPr>
      <w:r>
        <w:rPr>
          <w:rFonts w:ascii="Aptos" w:hAnsi="Aptos"/>
          <w:b w:val="0"/>
          <w:i w:val="0"/>
          <w:color w:val="1F2933"/>
          <w:sz w:val="21"/>
        </w:rPr>
        <w:t>Persona criteria: normalized titles, departments, and seniority targets.</w:t>
      </w:r>
    </w:p>
    <w:p>
      <w:pPr>
        <w:pStyle w:val="ListBullet"/>
        <w:spacing w:after="60" w:line="259" w:lineRule="auto"/>
        <w:ind w:left="461" w:hanging="259"/>
      </w:pPr>
      <w:r>
        <w:rPr>
          <w:rFonts w:ascii="Aptos" w:hAnsi="Aptos"/>
          <w:b w:val="0"/>
          <w:i w:val="0"/>
          <w:color w:val="1F2933"/>
          <w:sz w:val="21"/>
        </w:rPr>
        <w:t>Pain points, exclusions, scoring weights, warnings, and audit metadata.</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4F6"/>
          </w:tcPr>
          <w:p>
            <w:pPr>
              <w:spacing w:after="0"/>
            </w:pPr>
            <w:r>
              <w:rPr>
                <w:rFonts w:ascii="Courier New" w:hAnsi="Courier New"/>
                <w:b w:val="0"/>
                <w:i w:val="0"/>
                <w:color w:val="263238"/>
                <w:sz w:val="16"/>
              </w:rPr>
              <w:t>{</w:t>
            </w:r>
            <w:r>
              <w:br/>
            </w:r>
            <w:r>
              <w:rPr>
                <w:rFonts w:ascii="Courier New" w:hAnsi="Courier New"/>
                <w:b w:val="0"/>
                <w:i w:val="0"/>
                <w:color w:val="263238"/>
                <w:sz w:val="16"/>
              </w:rPr>
              <w:t xml:space="preserve">  "icp_id": "icp_001",</w:t>
            </w:r>
            <w:r>
              <w:br/>
            </w:r>
            <w:r>
              <w:rPr>
                <w:rFonts w:ascii="Courier New" w:hAnsi="Courier New"/>
                <w:b w:val="0"/>
                <w:i w:val="0"/>
                <w:color w:val="263238"/>
                <w:sz w:val="16"/>
              </w:rPr>
              <w:t xml:space="preserve">  "version": 1,</w:t>
            </w:r>
            <w:r>
              <w:br/>
            </w:r>
            <w:r>
              <w:rPr>
                <w:rFonts w:ascii="Courier New" w:hAnsi="Courier New"/>
                <w:b w:val="0"/>
                <w:i w:val="0"/>
                <w:color w:val="263238"/>
                <w:sz w:val="16"/>
              </w:rPr>
              <w:t xml:space="preserve">  "account_criteria": {</w:t>
            </w:r>
            <w:r>
              <w:br/>
            </w:r>
            <w:r>
              <w:rPr>
                <w:rFonts w:ascii="Courier New" w:hAnsi="Courier New"/>
                <w:b w:val="0"/>
                <w:i w:val="0"/>
                <w:color w:val="263238"/>
                <w:sz w:val="16"/>
              </w:rPr>
              <w:t xml:space="preserve">    "industries": ["software"],</w:t>
            </w:r>
            <w:r>
              <w:br/>
            </w:r>
            <w:r>
              <w:rPr>
                <w:rFonts w:ascii="Courier New" w:hAnsi="Courier New"/>
                <w:b w:val="0"/>
                <w:i w:val="0"/>
                <w:color w:val="263238"/>
                <w:sz w:val="16"/>
              </w:rPr>
              <w:t xml:space="preserve">    "geographies": ["United States", "United Kingdom"],</w:t>
            </w:r>
            <w:r>
              <w:br/>
            </w:r>
            <w:r>
              <w:rPr>
                <w:rFonts w:ascii="Courier New" w:hAnsi="Courier New"/>
                <w:b w:val="0"/>
                <w:i w:val="0"/>
                <w:color w:val="263238"/>
                <w:sz w:val="16"/>
              </w:rPr>
              <w:t xml:space="preserve">    "employee_range": {"min": 200, "max": 1000}</w:t>
            </w:r>
            <w:r>
              <w:br/>
            </w:r>
            <w:r>
              <w:rPr>
                <w:rFonts w:ascii="Courier New" w:hAnsi="Courier New"/>
                <w:b w:val="0"/>
                <w:i w:val="0"/>
                <w:color w:val="263238"/>
                <w:sz w:val="16"/>
              </w:rPr>
              <w:t xml:space="preserve">  },</w:t>
            </w:r>
            <w:r>
              <w:br/>
            </w:r>
            <w:r>
              <w:rPr>
                <w:rFonts w:ascii="Courier New" w:hAnsi="Courier New"/>
                <w:b w:val="0"/>
                <w:i w:val="0"/>
                <w:color w:val="263238"/>
                <w:sz w:val="16"/>
              </w:rPr>
              <w:t xml:space="preserve">  "persona_criteria": {</w:t>
            </w:r>
            <w:r>
              <w:br/>
            </w:r>
            <w:r>
              <w:rPr>
                <w:rFonts w:ascii="Courier New" w:hAnsi="Courier New"/>
                <w:b w:val="0"/>
                <w:i w:val="0"/>
                <w:color w:val="263238"/>
                <w:sz w:val="16"/>
              </w:rPr>
              <w:t xml:space="preserve">    "titles": ["VP Sales", "Director of Revenue Operations"]</w:t>
            </w:r>
            <w:r>
              <w:br/>
            </w:r>
            <w:r>
              <w:rPr>
                <w:rFonts w:ascii="Courier New" w:hAnsi="Courier New"/>
                <w:b w:val="0"/>
                <w:i w:val="0"/>
                <w:color w:val="263238"/>
                <w:sz w:val="16"/>
              </w:rPr>
              <w:t xml:space="preserve">  },</w:t>
            </w:r>
            <w:r>
              <w:br/>
            </w:r>
            <w:r>
              <w:rPr>
                <w:rFonts w:ascii="Courier New" w:hAnsi="Courier New"/>
                <w:b w:val="0"/>
                <w:i w:val="0"/>
                <w:color w:val="263238"/>
                <w:sz w:val="16"/>
              </w:rPr>
              <w:t xml:space="preserve">  "pain_points": ["poor pipeline visibility", "forecasting inconsistency"],</w:t>
            </w:r>
            <w:r>
              <w:br/>
            </w:r>
            <w:r>
              <w:rPr>
                <w:rFonts w:ascii="Courier New" w:hAnsi="Courier New"/>
                <w:b w:val="0"/>
                <w:i w:val="0"/>
                <w:color w:val="263238"/>
                <w:sz w:val="16"/>
              </w:rPr>
              <w:t xml:space="preserve">  "exclusions": {"customer_statuses": ["existing_customer"]},</w:t>
            </w:r>
            <w:r>
              <w:br/>
            </w:r>
            <w:r>
              <w:rPr>
                <w:rFonts w:ascii="Courier New" w:hAnsi="Courier New"/>
                <w:b w:val="0"/>
                <w:i w:val="0"/>
                <w:color w:val="263238"/>
                <w:sz w:val="16"/>
              </w:rPr>
              <w:t xml:space="preserve">  "scoring_weights": {"industry_fit": 0.30, "company_size_fit": 0.20,</w:t>
            </w:r>
            <w:r>
              <w:br/>
            </w:r>
            <w:r>
              <w:rPr>
                <w:rFonts w:ascii="Courier New" w:hAnsi="Courier New"/>
                <w:b w:val="0"/>
                <w:i w:val="0"/>
                <w:color w:val="263238"/>
                <w:sz w:val="16"/>
              </w:rPr>
              <w:t xml:space="preserve">    "persona_fit": 0.25, "geo_fit": 0.10, "pain_point_fit": 0.15}</w:t>
            </w:r>
            <w:r>
              <w:br/>
            </w:r>
            <w:r>
              <w:rPr>
                <w:rFonts w:ascii="Courier New" w:hAnsi="Courier New"/>
                <w:b w:val="0"/>
                <w:i w:val="0"/>
                <w:color w:val="263238"/>
                <w:sz w:val="16"/>
              </w:rPr>
              <w:t>}</w:t>
            </w:r>
          </w:p>
        </w:tc>
      </w:tr>
    </w:tbl>
    <w:p>
      <w:pPr>
        <w:spacing w:after="20"/>
      </w:pPr>
    </w:p>
    <w:p>
      <w:r>
        <w:br w:type="page"/>
      </w:r>
    </w:p>
    <w:p>
      <w:pPr>
        <w:keepNext/>
        <w:spacing w:before="280" w:after="100"/>
      </w:pPr>
      <w:r>
        <w:rPr>
          <w:rFonts w:ascii="Aptos" w:hAnsi="Aptos"/>
          <w:b/>
          <w:i w:val="0"/>
          <w:color w:val="1F4E78"/>
          <w:sz w:val="32"/>
        </w:rPr>
        <w:t>3. Account Discovery Agent Contract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2CC"/>
          </w:tcPr>
          <w:p>
            <w:pPr>
              <w:spacing w:after="0"/>
            </w:pPr>
            <w:r>
              <w:rPr>
                <w:rFonts w:ascii="Aptos" w:hAnsi="Aptos"/>
                <w:b/>
                <w:i w:val="0"/>
                <w:color w:val="17324D"/>
                <w:sz w:val="21"/>
              </w:rPr>
              <w:t xml:space="preserve">Integration requirement: </w:t>
            </w:r>
            <w:r>
              <w:rPr>
                <w:rFonts w:ascii="Aptos" w:hAnsi="Aptos"/>
                <w:b w:val="0"/>
                <w:i w:val="0"/>
                <w:color w:val="1F2933"/>
                <w:sz w:val="21"/>
              </w:rPr>
              <w:t>Account Discovery must produce one normalized account record per discovered company. account_id must be stable and must also appear on every related contact record.</w:t>
            </w:r>
          </w:p>
        </w:tc>
      </w:tr>
    </w:tbl>
    <w:p>
      <w:pPr>
        <w:spacing w:after="20"/>
      </w:pPr>
    </w:p>
    <w:p>
      <w:pPr>
        <w:keepNext/>
        <w:spacing w:before="180" w:after="100"/>
      </w:pPr>
      <w:r>
        <w:rPr>
          <w:rFonts w:ascii="Aptos" w:hAnsi="Aptos"/>
          <w:b/>
          <w:i w:val="0"/>
          <w:color w:val="17324D"/>
          <w:sz w:val="25"/>
        </w:rPr>
        <w:t>Inputs to Account Discovery</w:t>
      </w:r>
    </w:p>
    <w:tbl>
      <w:tblPr>
        <w:tblStyle w:val="TableGrid"/>
        <w:tblW w:type="dxa" w:w="9360"/>
        <w:jc w:val="left"/>
        <w:tblLayout w:type="fixed"/>
        <w:tblLook w:firstColumn="1" w:firstRow="1" w:lastColumn="0" w:lastRow="0" w:noHBand="0" w:noVBand="1" w:val="04A0"/>
        <w:tblInd w:w="120" w:type="dxa"/>
      </w:tblPr>
      <w:tblGrid>
        <w:gridCol w:w="1900"/>
        <w:gridCol w:w="950"/>
        <w:gridCol w:w="1800"/>
        <w:gridCol w:w="4710"/>
      </w:tblGrid>
      <w:tr>
        <w:tc>
          <w:tcPr>
            <w:tcW w:type="dxa" w:w="1900"/>
            <w:shd w:fill="1F4E78"/>
            <w:tcMar>
              <w:top w:w="100" w:type="dxa"/>
              <w:start w:w="120" w:type="dxa"/>
              <w:bottom w:w="100" w:type="dxa"/>
              <w:end w:w="120" w:type="dxa"/>
            </w:tcMar>
            <w:vAlign w:val="center"/>
          </w:tcPr>
          <w:p>
            <w:pPr>
              <w:jc w:val="center"/>
            </w:pPr>
            <w:r>
              <w:rPr>
                <w:rFonts w:ascii="Aptos" w:hAnsi="Aptos"/>
                <w:b/>
                <w:i w:val="0"/>
                <w:color w:val="FFFFFF"/>
                <w:sz w:val="19"/>
              </w:rPr>
              <w:t>Field</w:t>
            </w:r>
          </w:p>
        </w:tc>
        <w:tc>
          <w:tcPr>
            <w:tcW w:type="dxa" w:w="950"/>
            <w:shd w:fill="1F4E78"/>
            <w:tcMar>
              <w:top w:w="100" w:type="dxa"/>
              <w:start w:w="120" w:type="dxa"/>
              <w:bottom w:w="100" w:type="dxa"/>
              <w:end w:w="120" w:type="dxa"/>
            </w:tcMar>
            <w:vAlign w:val="center"/>
          </w:tcPr>
          <w:p>
            <w:pPr>
              <w:jc w:val="center"/>
            </w:pPr>
            <w:r>
              <w:rPr>
                <w:rFonts w:ascii="Aptos" w:hAnsi="Aptos"/>
                <w:b/>
                <w:i w:val="0"/>
                <w:color w:val="FFFFFF"/>
                <w:sz w:val="19"/>
              </w:rPr>
              <w:t>Required?</w:t>
            </w:r>
          </w:p>
        </w:tc>
        <w:tc>
          <w:tcPr>
            <w:tcW w:type="dxa" w:w="1800"/>
            <w:shd w:fill="1F4E78"/>
            <w:tcMar>
              <w:top w:w="100" w:type="dxa"/>
              <w:start w:w="120" w:type="dxa"/>
              <w:bottom w:w="100" w:type="dxa"/>
              <w:end w:w="120" w:type="dxa"/>
            </w:tcMar>
            <w:vAlign w:val="center"/>
          </w:tcPr>
          <w:p>
            <w:pPr>
              <w:jc w:val="center"/>
            </w:pPr>
            <w:r>
              <w:rPr>
                <w:rFonts w:ascii="Aptos" w:hAnsi="Aptos"/>
                <w:b/>
                <w:i w:val="0"/>
                <w:color w:val="FFFFFF"/>
                <w:sz w:val="19"/>
              </w:rPr>
              <w:t>Source</w:t>
            </w:r>
          </w:p>
        </w:tc>
        <w:tc>
          <w:tcPr>
            <w:tcW w:type="dxa" w:w="4710"/>
            <w:shd w:fill="1F4E78"/>
            <w:tcMar>
              <w:top w:w="100" w:type="dxa"/>
              <w:start w:w="120" w:type="dxa"/>
              <w:bottom w:w="100" w:type="dxa"/>
              <w:end w:w="120" w:type="dxa"/>
            </w:tcMar>
            <w:vAlign w:val="center"/>
          </w:tcPr>
          <w:p>
            <w:pPr>
              <w:jc w:val="center"/>
            </w:pPr>
            <w:r>
              <w:rPr>
                <w:rFonts w:ascii="Aptos" w:hAnsi="Aptos"/>
                <w:b/>
                <w:i w:val="0"/>
                <w:color w:val="FFFFFF"/>
                <w:sz w:val="19"/>
              </w:rPr>
              <w:t>Purpose</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icp_id + version</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ICP Agent</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Links discovered accounts to the target definition.</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account_criteria</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ICP Agent</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Industry, geography, company-size and revenue filters.</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exclusions</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ICP Agent</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Removes prohibited accounts before output.</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scoring_weights</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ICP Agent</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Calculates comparable account-fit scores.</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search sources</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Workflow config</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CRM, directories, event lists, web, providers.</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result limit</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Workflow config</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Controls batch size.</w:t>
            </w:r>
          </w:p>
        </w:tc>
      </w:tr>
    </w:tbl>
    <w:p>
      <w:pPr>
        <w:spacing w:after="40"/>
      </w:pPr>
    </w:p>
    <w:p>
      <w:pPr>
        <w:keepNext/>
        <w:spacing w:before="180" w:after="100"/>
      </w:pPr>
      <w:r>
        <w:rPr>
          <w:rFonts w:ascii="Aptos" w:hAnsi="Aptos"/>
          <w:b/>
          <w:i w:val="0"/>
          <w:color w:val="17324D"/>
          <w:sz w:val="25"/>
        </w:rPr>
        <w:t>Required Output for Enrichment</w:t>
      </w:r>
    </w:p>
    <w:tbl>
      <w:tblPr>
        <w:tblStyle w:val="TableGrid"/>
        <w:tblW w:type="dxa" w:w="9360"/>
        <w:jc w:val="left"/>
        <w:tblLayout w:type="fixed"/>
        <w:tblLook w:firstColumn="1" w:firstRow="1" w:lastColumn="0" w:lastRow="0" w:noHBand="0" w:noVBand="1" w:val="04A0"/>
        <w:tblInd w:w="120" w:type="dxa"/>
      </w:tblPr>
      <w:tblGrid>
        <w:gridCol w:w="1900"/>
        <w:gridCol w:w="950"/>
        <w:gridCol w:w="1800"/>
        <w:gridCol w:w="4710"/>
      </w:tblGrid>
      <w:tr>
        <w:tc>
          <w:tcPr>
            <w:tcW w:type="dxa" w:w="1900"/>
            <w:shd w:fill="1F4E78"/>
            <w:tcMar>
              <w:top w:w="100" w:type="dxa"/>
              <w:start w:w="120" w:type="dxa"/>
              <w:bottom w:w="100" w:type="dxa"/>
              <w:end w:w="120" w:type="dxa"/>
            </w:tcMar>
            <w:vAlign w:val="center"/>
          </w:tcPr>
          <w:p>
            <w:pPr>
              <w:jc w:val="center"/>
            </w:pPr>
            <w:r>
              <w:rPr>
                <w:rFonts w:ascii="Aptos" w:hAnsi="Aptos"/>
                <w:b/>
                <w:i w:val="0"/>
                <w:color w:val="FFFFFF"/>
                <w:sz w:val="19"/>
              </w:rPr>
              <w:t>Field</w:t>
            </w:r>
          </w:p>
        </w:tc>
        <w:tc>
          <w:tcPr>
            <w:tcW w:type="dxa" w:w="950"/>
            <w:shd w:fill="1F4E78"/>
            <w:tcMar>
              <w:top w:w="100" w:type="dxa"/>
              <w:start w:w="120" w:type="dxa"/>
              <w:bottom w:w="100" w:type="dxa"/>
              <w:end w:w="120" w:type="dxa"/>
            </w:tcMar>
            <w:vAlign w:val="center"/>
          </w:tcPr>
          <w:p>
            <w:pPr>
              <w:jc w:val="center"/>
            </w:pPr>
            <w:r>
              <w:rPr>
                <w:rFonts w:ascii="Aptos" w:hAnsi="Aptos"/>
                <w:b/>
                <w:i w:val="0"/>
                <w:color w:val="FFFFFF"/>
                <w:sz w:val="19"/>
              </w:rPr>
              <w:t>Required?</w:t>
            </w:r>
          </w:p>
        </w:tc>
        <w:tc>
          <w:tcPr>
            <w:tcW w:type="dxa" w:w="1800"/>
            <w:shd w:fill="1F4E78"/>
            <w:tcMar>
              <w:top w:w="100" w:type="dxa"/>
              <w:start w:w="120" w:type="dxa"/>
              <w:bottom w:w="100" w:type="dxa"/>
              <w:end w:w="120" w:type="dxa"/>
            </w:tcMar>
            <w:vAlign w:val="center"/>
          </w:tcPr>
          <w:p>
            <w:pPr>
              <w:jc w:val="center"/>
            </w:pPr>
            <w:r>
              <w:rPr>
                <w:rFonts w:ascii="Aptos" w:hAnsi="Aptos"/>
                <w:b/>
                <w:i w:val="0"/>
                <w:color w:val="FFFFFF"/>
                <w:sz w:val="19"/>
              </w:rPr>
              <w:t>Source</w:t>
            </w:r>
          </w:p>
        </w:tc>
        <w:tc>
          <w:tcPr>
            <w:tcW w:type="dxa" w:w="4710"/>
            <w:shd w:fill="1F4E78"/>
            <w:tcMar>
              <w:top w:w="100" w:type="dxa"/>
              <w:start w:w="120" w:type="dxa"/>
              <w:bottom w:w="100" w:type="dxa"/>
              <w:end w:w="120" w:type="dxa"/>
            </w:tcMar>
            <w:vAlign w:val="center"/>
          </w:tcPr>
          <w:p>
            <w:pPr>
              <w:jc w:val="center"/>
            </w:pPr>
            <w:r>
              <w:rPr>
                <w:rFonts w:ascii="Aptos" w:hAnsi="Aptos"/>
                <w:b/>
                <w:i w:val="0"/>
                <w:color w:val="FFFFFF"/>
                <w:sz w:val="19"/>
              </w:rPr>
              <w:t>Purpose</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account_id</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Stable cross-agent join key.</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company_name</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Primary research entity.</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website</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Strongly 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Prevents researching the wrong company.</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linkedin_url</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Company identity and leadership context.</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industry</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Strongly 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Improves search and pain-point inference.</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location</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Strongly recommended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Disambiguates similar company names.</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employee_count</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Size and qualification signal.</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revenue_range</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Commercial maturity signal.</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source</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Audit trail: CRM, Apollo, web, event list, etc.</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fit_score</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Preserves ICP-based ranking.</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fit_reasons</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Explains why the account matched.</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discovered_at</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Freshness and audit timestamp.</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4F6"/>
          </w:tcPr>
          <w:p>
            <w:pPr>
              <w:spacing w:after="0"/>
            </w:pPr>
            <w:r>
              <w:rPr>
                <w:rFonts w:ascii="Courier New" w:hAnsi="Courier New"/>
                <w:b w:val="0"/>
                <w:i w:val="0"/>
                <w:color w:val="263238"/>
                <w:sz w:val="16"/>
              </w:rPr>
              <w:t>{</w:t>
            </w:r>
            <w:r>
              <w:br/>
            </w:r>
            <w:r>
              <w:rPr>
                <w:rFonts w:ascii="Courier New" w:hAnsi="Courier New"/>
                <w:b w:val="0"/>
                <w:i w:val="0"/>
                <w:color w:val="263238"/>
                <w:sz w:val="16"/>
              </w:rPr>
              <w:t xml:space="preserve">  "account_id": "acc_123",</w:t>
            </w:r>
            <w:r>
              <w:br/>
            </w:r>
            <w:r>
              <w:rPr>
                <w:rFonts w:ascii="Courier New" w:hAnsi="Courier New"/>
                <w:b w:val="0"/>
                <w:i w:val="0"/>
                <w:color w:val="263238"/>
                <w:sz w:val="16"/>
              </w:rPr>
              <w:t xml:space="preserve">  "company_name": "Johnson Fitness",</w:t>
            </w:r>
            <w:r>
              <w:br/>
            </w:r>
            <w:r>
              <w:rPr>
                <w:rFonts w:ascii="Courier New" w:hAnsi="Courier New"/>
                <w:b w:val="0"/>
                <w:i w:val="0"/>
                <w:color w:val="263238"/>
                <w:sz w:val="16"/>
              </w:rPr>
              <w:t xml:space="preserve">  "website": "https://www.johnsonfitness.com",</w:t>
            </w:r>
            <w:r>
              <w:br/>
            </w:r>
            <w:r>
              <w:rPr>
                <w:rFonts w:ascii="Courier New" w:hAnsi="Courier New"/>
                <w:b w:val="0"/>
                <w:i w:val="0"/>
                <w:color w:val="263238"/>
                <w:sz w:val="16"/>
              </w:rPr>
              <w:t xml:space="preserve">  "linkedin_url": "https://linkedin.com/company/johnson-fitness",</w:t>
            </w:r>
            <w:r>
              <w:br/>
            </w:r>
            <w:r>
              <w:rPr>
                <w:rFonts w:ascii="Courier New" w:hAnsi="Courier New"/>
                <w:b w:val="0"/>
                <w:i w:val="0"/>
                <w:color w:val="263238"/>
                <w:sz w:val="16"/>
              </w:rPr>
              <w:t xml:space="preserve">  "industry": "Fitness Equipment",</w:t>
            </w:r>
            <w:r>
              <w:br/>
            </w:r>
            <w:r>
              <w:rPr>
                <w:rFonts w:ascii="Courier New" w:hAnsi="Courier New"/>
                <w:b w:val="0"/>
                <w:i w:val="0"/>
                <w:color w:val="263238"/>
                <w:sz w:val="16"/>
              </w:rPr>
              <w:t xml:space="preserve">  "location": "United States",</w:t>
            </w:r>
            <w:r>
              <w:br/>
            </w:r>
            <w:r>
              <w:rPr>
                <w:rFonts w:ascii="Courier New" w:hAnsi="Courier New"/>
                <w:b w:val="0"/>
                <w:i w:val="0"/>
                <w:color w:val="263238"/>
                <w:sz w:val="16"/>
              </w:rPr>
              <w:t xml:space="preserve">  "employee_count": 500,</w:t>
            </w:r>
            <w:r>
              <w:br/>
            </w:r>
            <w:r>
              <w:rPr>
                <w:rFonts w:ascii="Courier New" w:hAnsi="Courier New"/>
                <w:b w:val="0"/>
                <w:i w:val="0"/>
                <w:color w:val="263238"/>
                <w:sz w:val="16"/>
              </w:rPr>
              <w:t xml:space="preserve">  "revenue_range": "mid-market",</w:t>
            </w:r>
            <w:r>
              <w:br/>
            </w:r>
            <w:r>
              <w:rPr>
                <w:rFonts w:ascii="Courier New" w:hAnsi="Courier New"/>
                <w:b w:val="0"/>
                <w:i w:val="0"/>
                <w:color w:val="263238"/>
                <w:sz w:val="16"/>
              </w:rPr>
              <w:t xml:space="preserve">  "source": "account_discovery",</w:t>
            </w:r>
            <w:r>
              <w:br/>
            </w:r>
            <w:r>
              <w:rPr>
                <w:rFonts w:ascii="Courier New" w:hAnsi="Courier New"/>
                <w:b w:val="0"/>
                <w:i w:val="0"/>
                <w:color w:val="263238"/>
                <w:sz w:val="16"/>
              </w:rPr>
              <w:t xml:space="preserve">  "fit_score": 87,</w:t>
            </w:r>
            <w:r>
              <w:br/>
            </w:r>
            <w:r>
              <w:rPr>
                <w:rFonts w:ascii="Courier New" w:hAnsi="Courier New"/>
                <w:b w:val="0"/>
                <w:i w:val="0"/>
                <w:color w:val="263238"/>
                <w:sz w:val="16"/>
              </w:rPr>
              <w:t xml:space="preserve">  "fit_reasons": ["industry match", "market match", "company-size match"],</w:t>
            </w:r>
            <w:r>
              <w:br/>
            </w:r>
            <w:r>
              <w:rPr>
                <w:rFonts w:ascii="Courier New" w:hAnsi="Courier New"/>
                <w:b w:val="0"/>
                <w:i w:val="0"/>
                <w:color w:val="263238"/>
                <w:sz w:val="16"/>
              </w:rPr>
              <w:t xml:space="preserve">  "discovered_at": "2026-06-09T12:00:00Z"</w:t>
            </w:r>
            <w:r>
              <w:br/>
            </w:r>
            <w:r>
              <w:rPr>
                <w:rFonts w:ascii="Courier New" w:hAnsi="Courier New"/>
                <w:b w:val="0"/>
                <w:i w:val="0"/>
                <w:color w:val="263238"/>
                <w:sz w:val="16"/>
              </w:rPr>
              <w:t>}</w:t>
            </w:r>
          </w:p>
        </w:tc>
      </w:tr>
    </w:tbl>
    <w:p>
      <w:pPr>
        <w:spacing w:after="20"/>
      </w:pPr>
    </w:p>
    <w:p>
      <w:pPr>
        <w:keepNext/>
        <w:spacing w:before="280" w:after="100"/>
      </w:pPr>
      <w:r>
        <w:rPr>
          <w:rFonts w:ascii="Aptos" w:hAnsi="Aptos"/>
          <w:b/>
          <w:i w:val="0"/>
          <w:color w:val="1F4E78"/>
          <w:sz w:val="32"/>
        </w:rPr>
        <w:t>4. Contact Discovery Agent Contract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2CC"/>
          </w:tcPr>
          <w:p>
            <w:pPr>
              <w:spacing w:after="0"/>
            </w:pPr>
            <w:r>
              <w:rPr>
                <w:rFonts w:ascii="Aptos" w:hAnsi="Aptos"/>
                <w:b/>
                <w:i w:val="0"/>
                <w:color w:val="17324D"/>
                <w:sz w:val="21"/>
              </w:rPr>
              <w:t xml:space="preserve">Integration requirement: </w:t>
            </w:r>
            <w:r>
              <w:rPr>
                <w:rFonts w:ascii="Aptos" w:hAnsi="Aptos"/>
                <w:b w:val="0"/>
                <w:i w:val="0"/>
                <w:color w:val="1F2933"/>
                <w:sz w:val="21"/>
              </w:rPr>
              <w:t>Contact Discovery must produce a normalized list of decision makers for each account. Every contact must contain the same account_id produced by Account Discovery.</w:t>
            </w:r>
          </w:p>
        </w:tc>
      </w:tr>
    </w:tbl>
    <w:p>
      <w:pPr>
        <w:spacing w:after="20"/>
      </w:pPr>
    </w:p>
    <w:p>
      <w:pPr>
        <w:keepNext/>
        <w:spacing w:before="180" w:after="100"/>
      </w:pPr>
      <w:r>
        <w:rPr>
          <w:rFonts w:ascii="Aptos" w:hAnsi="Aptos"/>
          <w:b/>
          <w:i w:val="0"/>
          <w:color w:val="17324D"/>
          <w:sz w:val="25"/>
        </w:rPr>
        <w:t>Inputs to Contact Discovery</w:t>
      </w:r>
    </w:p>
    <w:tbl>
      <w:tblPr>
        <w:tblStyle w:val="TableGrid"/>
        <w:tblW w:type="dxa" w:w="9360"/>
        <w:jc w:val="left"/>
        <w:tblLayout w:type="fixed"/>
        <w:tblLook w:firstColumn="1" w:firstRow="1" w:lastColumn="0" w:lastRow="0" w:noHBand="0" w:noVBand="1" w:val="04A0"/>
        <w:tblInd w:w="120" w:type="dxa"/>
      </w:tblPr>
      <w:tblGrid>
        <w:gridCol w:w="1900"/>
        <w:gridCol w:w="950"/>
        <w:gridCol w:w="1800"/>
        <w:gridCol w:w="4710"/>
      </w:tblGrid>
      <w:tr>
        <w:tc>
          <w:tcPr>
            <w:tcW w:type="dxa" w:w="1900"/>
            <w:shd w:fill="1F4E78"/>
            <w:tcMar>
              <w:top w:w="100" w:type="dxa"/>
              <w:start w:w="120" w:type="dxa"/>
              <w:bottom w:w="100" w:type="dxa"/>
              <w:end w:w="120" w:type="dxa"/>
            </w:tcMar>
            <w:vAlign w:val="center"/>
          </w:tcPr>
          <w:p>
            <w:pPr>
              <w:jc w:val="center"/>
            </w:pPr>
            <w:r>
              <w:rPr>
                <w:rFonts w:ascii="Aptos" w:hAnsi="Aptos"/>
                <w:b/>
                <w:i w:val="0"/>
                <w:color w:val="FFFFFF"/>
                <w:sz w:val="19"/>
              </w:rPr>
              <w:t>Field</w:t>
            </w:r>
          </w:p>
        </w:tc>
        <w:tc>
          <w:tcPr>
            <w:tcW w:type="dxa" w:w="950"/>
            <w:shd w:fill="1F4E78"/>
            <w:tcMar>
              <w:top w:w="100" w:type="dxa"/>
              <w:start w:w="120" w:type="dxa"/>
              <w:bottom w:w="100" w:type="dxa"/>
              <w:end w:w="120" w:type="dxa"/>
            </w:tcMar>
            <w:vAlign w:val="center"/>
          </w:tcPr>
          <w:p>
            <w:pPr>
              <w:jc w:val="center"/>
            </w:pPr>
            <w:r>
              <w:rPr>
                <w:rFonts w:ascii="Aptos" w:hAnsi="Aptos"/>
                <w:b/>
                <w:i w:val="0"/>
                <w:color w:val="FFFFFF"/>
                <w:sz w:val="19"/>
              </w:rPr>
              <w:t>Required?</w:t>
            </w:r>
          </w:p>
        </w:tc>
        <w:tc>
          <w:tcPr>
            <w:tcW w:type="dxa" w:w="1800"/>
            <w:shd w:fill="1F4E78"/>
            <w:tcMar>
              <w:top w:w="100" w:type="dxa"/>
              <w:start w:w="120" w:type="dxa"/>
              <w:bottom w:w="100" w:type="dxa"/>
              <w:end w:w="120" w:type="dxa"/>
            </w:tcMar>
            <w:vAlign w:val="center"/>
          </w:tcPr>
          <w:p>
            <w:pPr>
              <w:jc w:val="center"/>
            </w:pPr>
            <w:r>
              <w:rPr>
                <w:rFonts w:ascii="Aptos" w:hAnsi="Aptos"/>
                <w:b/>
                <w:i w:val="0"/>
                <w:color w:val="FFFFFF"/>
                <w:sz w:val="19"/>
              </w:rPr>
              <w:t>Source</w:t>
            </w:r>
          </w:p>
        </w:tc>
        <w:tc>
          <w:tcPr>
            <w:tcW w:type="dxa" w:w="4710"/>
            <w:shd w:fill="1F4E78"/>
            <w:tcMar>
              <w:top w:w="100" w:type="dxa"/>
              <w:start w:w="120" w:type="dxa"/>
              <w:bottom w:w="100" w:type="dxa"/>
              <w:end w:w="120" w:type="dxa"/>
            </w:tcMar>
            <w:vAlign w:val="center"/>
          </w:tcPr>
          <w:p>
            <w:pPr>
              <w:jc w:val="center"/>
            </w:pPr>
            <w:r>
              <w:rPr>
                <w:rFonts w:ascii="Aptos" w:hAnsi="Aptos"/>
                <w:b/>
                <w:i w:val="0"/>
                <w:color w:val="FFFFFF"/>
                <w:sz w:val="19"/>
              </w:rPr>
              <w:t>Purpose</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account record</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Defines the company whose buying committee is searched.</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persona_criteria</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ICP Agent</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Target titles, departments, and seniorities.</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exclusions</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ICP Agent</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Avoids prohibited personas or existing contacts.</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maximum contacts</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Workflow config</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Controls contacts returned per account.</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data sources</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Workflow config</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Apollo, PDL, CRM, public pages, directories.</w:t>
            </w:r>
          </w:p>
        </w:tc>
      </w:tr>
    </w:tbl>
    <w:p>
      <w:pPr>
        <w:spacing w:after="40"/>
      </w:pPr>
    </w:p>
    <w:p>
      <w:pPr>
        <w:keepNext/>
        <w:spacing w:before="180" w:after="100"/>
      </w:pPr>
      <w:r>
        <w:rPr>
          <w:rFonts w:ascii="Aptos" w:hAnsi="Aptos"/>
          <w:b/>
          <w:i w:val="0"/>
          <w:color w:val="17324D"/>
          <w:sz w:val="25"/>
        </w:rPr>
        <w:t>Required Output for Enrichment</w:t>
      </w:r>
    </w:p>
    <w:tbl>
      <w:tblPr>
        <w:tblStyle w:val="TableGrid"/>
        <w:tblW w:type="dxa" w:w="9360"/>
        <w:jc w:val="left"/>
        <w:tblLayout w:type="fixed"/>
        <w:tblLook w:firstColumn="1" w:firstRow="1" w:lastColumn="0" w:lastRow="0" w:noHBand="0" w:noVBand="1" w:val="04A0"/>
        <w:tblInd w:w="120" w:type="dxa"/>
      </w:tblPr>
      <w:tblGrid>
        <w:gridCol w:w="1900"/>
        <w:gridCol w:w="950"/>
        <w:gridCol w:w="1800"/>
        <w:gridCol w:w="4710"/>
      </w:tblGrid>
      <w:tr>
        <w:tc>
          <w:tcPr>
            <w:tcW w:type="dxa" w:w="1900"/>
            <w:shd w:fill="1F4E78"/>
            <w:tcMar>
              <w:top w:w="100" w:type="dxa"/>
              <w:start w:w="120" w:type="dxa"/>
              <w:bottom w:w="100" w:type="dxa"/>
              <w:end w:w="120" w:type="dxa"/>
            </w:tcMar>
            <w:vAlign w:val="center"/>
          </w:tcPr>
          <w:p>
            <w:pPr>
              <w:jc w:val="center"/>
            </w:pPr>
            <w:r>
              <w:rPr>
                <w:rFonts w:ascii="Aptos" w:hAnsi="Aptos"/>
                <w:b/>
                <w:i w:val="0"/>
                <w:color w:val="FFFFFF"/>
                <w:sz w:val="19"/>
              </w:rPr>
              <w:t>Field</w:t>
            </w:r>
          </w:p>
        </w:tc>
        <w:tc>
          <w:tcPr>
            <w:tcW w:type="dxa" w:w="950"/>
            <w:shd w:fill="1F4E78"/>
            <w:tcMar>
              <w:top w:w="100" w:type="dxa"/>
              <w:start w:w="120" w:type="dxa"/>
              <w:bottom w:w="100" w:type="dxa"/>
              <w:end w:w="120" w:type="dxa"/>
            </w:tcMar>
            <w:vAlign w:val="center"/>
          </w:tcPr>
          <w:p>
            <w:pPr>
              <w:jc w:val="center"/>
            </w:pPr>
            <w:r>
              <w:rPr>
                <w:rFonts w:ascii="Aptos" w:hAnsi="Aptos"/>
                <w:b/>
                <w:i w:val="0"/>
                <w:color w:val="FFFFFF"/>
                <w:sz w:val="19"/>
              </w:rPr>
              <w:t>Required?</w:t>
            </w:r>
          </w:p>
        </w:tc>
        <w:tc>
          <w:tcPr>
            <w:tcW w:type="dxa" w:w="1800"/>
            <w:shd w:fill="1F4E78"/>
            <w:tcMar>
              <w:top w:w="100" w:type="dxa"/>
              <w:start w:w="120" w:type="dxa"/>
              <w:bottom w:w="100" w:type="dxa"/>
              <w:end w:w="120" w:type="dxa"/>
            </w:tcMar>
            <w:vAlign w:val="center"/>
          </w:tcPr>
          <w:p>
            <w:pPr>
              <w:jc w:val="center"/>
            </w:pPr>
            <w:r>
              <w:rPr>
                <w:rFonts w:ascii="Aptos" w:hAnsi="Aptos"/>
                <w:b/>
                <w:i w:val="0"/>
                <w:color w:val="FFFFFF"/>
                <w:sz w:val="19"/>
              </w:rPr>
              <w:t>Source</w:t>
            </w:r>
          </w:p>
        </w:tc>
        <w:tc>
          <w:tcPr>
            <w:tcW w:type="dxa" w:w="4710"/>
            <w:shd w:fill="1F4E78"/>
            <w:tcMar>
              <w:top w:w="100" w:type="dxa"/>
              <w:start w:w="120" w:type="dxa"/>
              <w:bottom w:w="100" w:type="dxa"/>
              <w:end w:w="120" w:type="dxa"/>
            </w:tcMar>
            <w:vAlign w:val="center"/>
          </w:tcPr>
          <w:p>
            <w:pPr>
              <w:jc w:val="center"/>
            </w:pPr>
            <w:r>
              <w:rPr>
                <w:rFonts w:ascii="Aptos" w:hAnsi="Aptos"/>
                <w:b/>
                <w:i w:val="0"/>
                <w:color w:val="FFFFFF"/>
                <w:sz w:val="19"/>
              </w:rPr>
              <w:t>Purpose</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contact_id</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Stable contact identifier.</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account_id</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Account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Links contact to the correct company.</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full_name</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Primary contact research entity.</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title</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Strongly recommended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Role and persona relevance.</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department</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Buying-committee function.</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seniority</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Decision authority indicator.</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email</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Used later by Outreach; not required for web research.</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phone</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Optional</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Used later by Outreach.</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linkedin_url</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Strongly 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Reduces person-identity ambiguity.</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source</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Required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Auditability and licensing trace.</w:t>
            </w:r>
          </w:p>
        </w:tc>
      </w:tr>
      <w:tr>
        <w:tc>
          <w:tcPr>
            <w:tcW w:type="dxa" w:w="1900"/>
            <w:tcMar>
              <w:top w:w="100" w:type="dxa"/>
              <w:start w:w="120" w:type="dxa"/>
              <w:bottom w:w="100" w:type="dxa"/>
              <w:end w:w="120" w:type="dxa"/>
            </w:tcMar>
            <w:vAlign w:val="center"/>
          </w:tcPr>
          <w:p>
            <w:pPr>
              <w:jc w:val="left"/>
            </w:pPr>
            <w:r>
              <w:rPr>
                <w:rFonts w:ascii="Aptos" w:hAnsi="Aptos"/>
                <w:b/>
                <w:i w:val="0"/>
                <w:color w:val="1F2933"/>
                <w:sz w:val="18"/>
              </w:rPr>
              <w:t>confidence</w:t>
            </w:r>
          </w:p>
        </w:tc>
        <w:tc>
          <w:tcPr>
            <w:tcW w:type="dxa" w:w="950"/>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tcMar>
              <w:top w:w="100" w:type="dxa"/>
              <w:start w:w="120" w:type="dxa"/>
              <w:bottom w:w="100" w:type="dxa"/>
              <w:end w:w="120" w:type="dxa"/>
            </w:tcMar>
            <w:vAlign w:val="center"/>
          </w:tcPr>
          <w:p>
            <w:pPr>
              <w:jc w:val="left"/>
            </w:pPr>
            <w:r>
              <w:rPr>
                <w:rFonts w:ascii="Aptos" w:hAnsi="Aptos"/>
                <w:b w:val="0"/>
                <w:i w:val="0"/>
                <w:color w:val="1F2933"/>
                <w:sz w:val="18"/>
              </w:rPr>
              <w:t>Confidence that identity/contact data is correct.</w:t>
            </w:r>
          </w:p>
        </w:tc>
      </w:tr>
      <w:tr>
        <w:tc>
          <w:tcPr>
            <w:tcW w:type="dxa" w:w="1900"/>
            <w:shd w:fill="F5F8FA"/>
            <w:tcMar>
              <w:top w:w="100" w:type="dxa"/>
              <w:start w:w="120" w:type="dxa"/>
              <w:bottom w:w="100" w:type="dxa"/>
              <w:end w:w="120" w:type="dxa"/>
            </w:tcMar>
            <w:vAlign w:val="center"/>
          </w:tcPr>
          <w:p>
            <w:pPr>
              <w:jc w:val="left"/>
            </w:pPr>
            <w:r>
              <w:rPr>
                <w:rFonts w:ascii="Aptos" w:hAnsi="Aptos"/>
                <w:b/>
                <w:i w:val="0"/>
                <w:color w:val="1F2933"/>
                <w:sz w:val="18"/>
              </w:rPr>
              <w:t>persona_match_score</w:t>
            </w:r>
          </w:p>
        </w:tc>
        <w:tc>
          <w:tcPr>
            <w:tcW w:type="dxa" w:w="950"/>
            <w:shd w:fill="F5F8FA"/>
            <w:tcMar>
              <w:top w:w="100" w:type="dxa"/>
              <w:start w:w="120" w:type="dxa"/>
              <w:bottom w:w="100" w:type="dxa"/>
              <w:end w:w="120" w:type="dxa"/>
            </w:tcMar>
            <w:vAlign w:val="center"/>
          </w:tcPr>
          <w:p>
            <w:pPr>
              <w:jc w:val="center"/>
            </w:pPr>
            <w:r>
              <w:rPr>
                <w:rFonts w:ascii="Aptos" w:hAnsi="Aptos"/>
                <w:b w:val="0"/>
                <w:i w:val="0"/>
                <w:color w:val="1F2933"/>
                <w:sz w:val="18"/>
              </w:rPr>
              <w:t>Recommended</w:t>
            </w:r>
          </w:p>
        </w:tc>
        <w:tc>
          <w:tcPr>
            <w:tcW w:type="dxa" w:w="1800"/>
            <w:shd w:fill="F5F8FA"/>
            <w:tcMar>
              <w:top w:w="100" w:type="dxa"/>
              <w:start w:w="120" w:type="dxa"/>
              <w:bottom w:w="100" w:type="dxa"/>
              <w:end w:w="120" w:type="dxa"/>
            </w:tcMar>
            <w:vAlign w:val="center"/>
          </w:tcPr>
          <w:p>
            <w:pPr>
              <w:jc w:val="left"/>
            </w:pPr>
            <w:r>
              <w:rPr>
                <w:rFonts w:ascii="Aptos" w:hAnsi="Aptos"/>
                <w:b w:val="0"/>
                <w:i w:val="0"/>
                <w:color w:val="1F2933"/>
                <w:sz w:val="18"/>
              </w:rPr>
              <w:t>Contact Discovery</w:t>
            </w:r>
          </w:p>
        </w:tc>
        <w:tc>
          <w:tcPr>
            <w:tcW w:type="dxa" w:w="4710"/>
            <w:shd w:fill="F5F8FA"/>
            <w:tcMar>
              <w:top w:w="100" w:type="dxa"/>
              <w:start w:w="120" w:type="dxa"/>
              <w:bottom w:w="100" w:type="dxa"/>
              <w:end w:w="120" w:type="dxa"/>
            </w:tcMar>
            <w:vAlign w:val="center"/>
          </w:tcPr>
          <w:p>
            <w:pPr>
              <w:jc w:val="left"/>
            </w:pPr>
            <w:r>
              <w:rPr>
                <w:rFonts w:ascii="Aptos" w:hAnsi="Aptos"/>
                <w:b w:val="0"/>
                <w:i w:val="0"/>
                <w:color w:val="1F2933"/>
                <w:sz w:val="18"/>
              </w:rPr>
              <w:t>Alignment with ICP persona criteria.</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4F6"/>
          </w:tcPr>
          <w:p>
            <w:pPr>
              <w:spacing w:after="0"/>
            </w:pPr>
            <w:r>
              <w:rPr>
                <w:rFonts w:ascii="Courier New" w:hAnsi="Courier New"/>
                <w:b w:val="0"/>
                <w:i w:val="0"/>
                <w:color w:val="263238"/>
                <w:sz w:val="16"/>
              </w:rPr>
              <w:t>{</w:t>
            </w:r>
            <w:r>
              <w:br/>
            </w:r>
            <w:r>
              <w:rPr>
                <w:rFonts w:ascii="Courier New" w:hAnsi="Courier New"/>
                <w:b w:val="0"/>
                <w:i w:val="0"/>
                <w:color w:val="263238"/>
                <w:sz w:val="16"/>
              </w:rPr>
              <w:t xml:space="preserve">  "contact_id": "con_456",</w:t>
            </w:r>
            <w:r>
              <w:br/>
            </w:r>
            <w:r>
              <w:rPr>
                <w:rFonts w:ascii="Courier New" w:hAnsi="Courier New"/>
                <w:b w:val="0"/>
                <w:i w:val="0"/>
                <w:color w:val="263238"/>
                <w:sz w:val="16"/>
              </w:rPr>
              <w:t xml:space="preserve">  "account_id": "acc_123",</w:t>
            </w:r>
            <w:r>
              <w:br/>
            </w:r>
            <w:r>
              <w:rPr>
                <w:rFonts w:ascii="Courier New" w:hAnsi="Courier New"/>
                <w:b w:val="0"/>
                <w:i w:val="0"/>
                <w:color w:val="263238"/>
                <w:sz w:val="16"/>
              </w:rPr>
              <w:t xml:space="preserve">  "full_name": "Sarah Miller",</w:t>
            </w:r>
            <w:r>
              <w:br/>
            </w:r>
            <w:r>
              <w:rPr>
                <w:rFonts w:ascii="Courier New" w:hAnsi="Courier New"/>
                <w:b w:val="0"/>
                <w:i w:val="0"/>
                <w:color w:val="263238"/>
                <w:sz w:val="16"/>
              </w:rPr>
              <w:t xml:space="preserve">  "title": "VP Sales",</w:t>
            </w:r>
            <w:r>
              <w:br/>
            </w:r>
            <w:r>
              <w:rPr>
                <w:rFonts w:ascii="Courier New" w:hAnsi="Courier New"/>
                <w:b w:val="0"/>
                <w:i w:val="0"/>
                <w:color w:val="263238"/>
                <w:sz w:val="16"/>
              </w:rPr>
              <w:t xml:space="preserve">  "department": "Sales",</w:t>
            </w:r>
            <w:r>
              <w:br/>
            </w:r>
            <w:r>
              <w:rPr>
                <w:rFonts w:ascii="Courier New" w:hAnsi="Courier New"/>
                <w:b w:val="0"/>
                <w:i w:val="0"/>
                <w:color w:val="263238"/>
                <w:sz w:val="16"/>
              </w:rPr>
              <w:t xml:space="preserve">  "seniority": "VP",</w:t>
            </w:r>
            <w:r>
              <w:br/>
            </w:r>
            <w:r>
              <w:rPr>
                <w:rFonts w:ascii="Courier New" w:hAnsi="Courier New"/>
                <w:b w:val="0"/>
                <w:i w:val="0"/>
                <w:color w:val="263238"/>
                <w:sz w:val="16"/>
              </w:rPr>
              <w:t xml:space="preserve">  "email": "sarah@example.com",</w:t>
            </w:r>
            <w:r>
              <w:br/>
            </w:r>
            <w:r>
              <w:rPr>
                <w:rFonts w:ascii="Courier New" w:hAnsi="Courier New"/>
                <w:b w:val="0"/>
                <w:i w:val="0"/>
                <w:color w:val="263238"/>
                <w:sz w:val="16"/>
              </w:rPr>
              <w:t xml:space="preserve">  "phone": null,</w:t>
            </w:r>
            <w:r>
              <w:br/>
            </w:r>
            <w:r>
              <w:rPr>
                <w:rFonts w:ascii="Courier New" w:hAnsi="Courier New"/>
                <w:b w:val="0"/>
                <w:i w:val="0"/>
                <w:color w:val="263238"/>
                <w:sz w:val="16"/>
              </w:rPr>
              <w:t xml:space="preserve">  "linkedin_url": "https://linkedin.com/in/sarah-miller",</w:t>
            </w:r>
            <w:r>
              <w:br/>
            </w:r>
            <w:r>
              <w:rPr>
                <w:rFonts w:ascii="Courier New" w:hAnsi="Courier New"/>
                <w:b w:val="0"/>
                <w:i w:val="0"/>
                <w:color w:val="263238"/>
                <w:sz w:val="16"/>
              </w:rPr>
              <w:t xml:space="preserve">  "source": "contact_discovery",</w:t>
            </w:r>
            <w:r>
              <w:br/>
            </w:r>
            <w:r>
              <w:rPr>
                <w:rFonts w:ascii="Courier New" w:hAnsi="Courier New"/>
                <w:b w:val="0"/>
                <w:i w:val="0"/>
                <w:color w:val="263238"/>
                <w:sz w:val="16"/>
              </w:rPr>
              <w:t xml:space="preserve">  "confidence": 0.82,</w:t>
            </w:r>
            <w:r>
              <w:br/>
            </w:r>
            <w:r>
              <w:rPr>
                <w:rFonts w:ascii="Courier New" w:hAnsi="Courier New"/>
                <w:b w:val="0"/>
                <w:i w:val="0"/>
                <w:color w:val="263238"/>
                <w:sz w:val="16"/>
              </w:rPr>
              <w:t xml:space="preserve">  "persona_match_score": 0.91</w:t>
            </w:r>
            <w:r>
              <w:br/>
            </w:r>
            <w:r>
              <w:rPr>
                <w:rFonts w:ascii="Courier New" w:hAnsi="Courier New"/>
                <w:b w:val="0"/>
                <w:i w:val="0"/>
                <w:color w:val="263238"/>
                <w:sz w:val="16"/>
              </w:rPr>
              <w:t>}</w:t>
            </w:r>
          </w:p>
        </w:tc>
      </w:tr>
    </w:tbl>
    <w:p>
      <w:pPr>
        <w:spacing w:after="20"/>
      </w:pPr>
    </w:p>
    <w:p>
      <w:r>
        <w:br w:type="page"/>
      </w:r>
    </w:p>
    <w:p>
      <w:pPr>
        <w:keepNext/>
        <w:spacing w:before="280" w:after="100"/>
      </w:pPr>
      <w:r>
        <w:rPr>
          <w:rFonts w:ascii="Aptos" w:hAnsi="Aptos"/>
          <w:b/>
          <w:i w:val="0"/>
          <w:color w:val="1F4E78"/>
          <w:sz w:val="32"/>
        </w:rPr>
        <w:t>5. Exact Enrichment Agent Input</w:t>
      </w:r>
    </w:p>
    <w:p>
      <w:pPr>
        <w:spacing w:after="120" w:line="269" w:lineRule="auto"/>
      </w:pPr>
      <w:r>
        <w:rPr>
          <w:rFonts w:ascii="Aptos" w:hAnsi="Aptos"/>
          <w:b w:val="0"/>
          <w:i w:val="0"/>
          <w:color w:val="1F2933"/>
          <w:sz w:val="21"/>
        </w:rPr>
        <w:t>The Enrichment Agent combines the ICP context, one Account Discovery record, and zero or more Contact Discovery records. Only company_name is technically mandatory, but the complete contract below materially improves accuracy.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4F6"/>
          </w:tcPr>
          <w:p>
            <w:pPr>
              <w:spacing w:after="0"/>
            </w:pPr>
            <w:r>
              <w:rPr>
                <w:rFonts w:ascii="Courier New" w:hAnsi="Courier New"/>
                <w:b w:val="0"/>
                <w:i w:val="0"/>
                <w:color w:val="263238"/>
                <w:sz w:val="16"/>
              </w:rPr>
              <w:t>{</w:t>
            </w:r>
            <w:r>
              <w:br/>
            </w:r>
            <w:r>
              <w:rPr>
                <w:rFonts w:ascii="Courier New" w:hAnsi="Courier New"/>
                <w:b w:val="0"/>
                <w:i w:val="0"/>
                <w:color w:val="263238"/>
                <w:sz w:val="16"/>
              </w:rPr>
              <w:t xml:space="preserve">  "account": {</w:t>
            </w:r>
            <w:r>
              <w:br/>
            </w:r>
            <w:r>
              <w:rPr>
                <w:rFonts w:ascii="Courier New" w:hAnsi="Courier New"/>
                <w:b w:val="0"/>
                <w:i w:val="0"/>
                <w:color w:val="263238"/>
                <w:sz w:val="16"/>
              </w:rPr>
              <w:t xml:space="preserve">    "account_id": "acc_123",</w:t>
            </w:r>
            <w:r>
              <w:br/>
            </w:r>
            <w:r>
              <w:rPr>
                <w:rFonts w:ascii="Courier New" w:hAnsi="Courier New"/>
                <w:b w:val="0"/>
                <w:i w:val="0"/>
                <w:color w:val="263238"/>
                <w:sz w:val="16"/>
              </w:rPr>
              <w:t xml:space="preserve">    "company_name": "Johnson Fitness",</w:t>
            </w:r>
            <w:r>
              <w:br/>
            </w:r>
            <w:r>
              <w:rPr>
                <w:rFonts w:ascii="Courier New" w:hAnsi="Courier New"/>
                <w:b w:val="0"/>
                <w:i w:val="0"/>
                <w:color w:val="263238"/>
                <w:sz w:val="16"/>
              </w:rPr>
              <w:t xml:space="preserve">    "website": "https://www.johnsonfitness.com",</w:t>
            </w:r>
            <w:r>
              <w:br/>
            </w:r>
            <w:r>
              <w:rPr>
                <w:rFonts w:ascii="Courier New" w:hAnsi="Courier New"/>
                <w:b w:val="0"/>
                <w:i w:val="0"/>
                <w:color w:val="263238"/>
                <w:sz w:val="16"/>
              </w:rPr>
              <w:t xml:space="preserve">    "linkedin_url": "https://linkedin.com/company/johnson-fitness",</w:t>
            </w:r>
            <w:r>
              <w:br/>
            </w:r>
            <w:r>
              <w:rPr>
                <w:rFonts w:ascii="Courier New" w:hAnsi="Courier New"/>
                <w:b w:val="0"/>
                <w:i w:val="0"/>
                <w:color w:val="263238"/>
                <w:sz w:val="16"/>
              </w:rPr>
              <w:t xml:space="preserve">    "industry": "Fitness Equipment",</w:t>
            </w:r>
            <w:r>
              <w:br/>
            </w:r>
            <w:r>
              <w:rPr>
                <w:rFonts w:ascii="Courier New" w:hAnsi="Courier New"/>
                <w:b w:val="0"/>
                <w:i w:val="0"/>
                <w:color w:val="263238"/>
                <w:sz w:val="16"/>
              </w:rPr>
              <w:t xml:space="preserve">    "location": "United States",</w:t>
            </w:r>
            <w:r>
              <w:br/>
            </w:r>
            <w:r>
              <w:rPr>
                <w:rFonts w:ascii="Courier New" w:hAnsi="Courier New"/>
                <w:b w:val="0"/>
                <w:i w:val="0"/>
                <w:color w:val="263238"/>
                <w:sz w:val="16"/>
              </w:rPr>
              <w:t xml:space="preserve">    "employee_count": 500,</w:t>
            </w:r>
            <w:r>
              <w:br/>
            </w:r>
            <w:r>
              <w:rPr>
                <w:rFonts w:ascii="Courier New" w:hAnsi="Courier New"/>
                <w:b w:val="0"/>
                <w:i w:val="0"/>
                <w:color w:val="263238"/>
                <w:sz w:val="16"/>
              </w:rPr>
              <w:t xml:space="preserve">    "revenue_range": "mid-market",</w:t>
            </w:r>
            <w:r>
              <w:br/>
            </w:r>
            <w:r>
              <w:rPr>
                <w:rFonts w:ascii="Courier New" w:hAnsi="Courier New"/>
                <w:b w:val="0"/>
                <w:i w:val="0"/>
                <w:color w:val="263238"/>
                <w:sz w:val="16"/>
              </w:rPr>
              <w:t xml:space="preserve">    "source": "account_discovery",</w:t>
            </w:r>
            <w:r>
              <w:br/>
            </w:r>
            <w:r>
              <w:rPr>
                <w:rFonts w:ascii="Courier New" w:hAnsi="Courier New"/>
                <w:b w:val="0"/>
                <w:i w:val="0"/>
                <w:color w:val="263238"/>
                <w:sz w:val="16"/>
              </w:rPr>
              <w:t xml:space="preserve">    "fit_score": 87</w:t>
            </w:r>
            <w:r>
              <w:br/>
            </w:r>
            <w:r>
              <w:rPr>
                <w:rFonts w:ascii="Courier New" w:hAnsi="Courier New"/>
                <w:b w:val="0"/>
                <w:i w:val="0"/>
                <w:color w:val="263238"/>
                <w:sz w:val="16"/>
              </w:rPr>
              <w:t xml:space="preserve">  },</w:t>
            </w:r>
            <w:r>
              <w:br/>
            </w:r>
            <w:r>
              <w:rPr>
                <w:rFonts w:ascii="Courier New" w:hAnsi="Courier New"/>
                <w:b w:val="0"/>
                <w:i w:val="0"/>
                <w:color w:val="263238"/>
                <w:sz w:val="16"/>
              </w:rPr>
              <w:t xml:space="preserve">  "contacts": [</w:t>
            </w:r>
            <w:r>
              <w:br/>
            </w:r>
            <w:r>
              <w:rPr>
                <w:rFonts w:ascii="Courier New" w:hAnsi="Courier New"/>
                <w:b w:val="0"/>
                <w:i w:val="0"/>
                <w:color w:val="263238"/>
                <w:sz w:val="16"/>
              </w:rPr>
              <w:t xml:space="preserve">    {</w:t>
            </w:r>
            <w:r>
              <w:br/>
            </w:r>
            <w:r>
              <w:rPr>
                <w:rFonts w:ascii="Courier New" w:hAnsi="Courier New"/>
                <w:b w:val="0"/>
                <w:i w:val="0"/>
                <w:color w:val="263238"/>
                <w:sz w:val="16"/>
              </w:rPr>
              <w:t xml:space="preserve">      "contact_id": "con_456",</w:t>
            </w:r>
            <w:r>
              <w:br/>
            </w:r>
            <w:r>
              <w:rPr>
                <w:rFonts w:ascii="Courier New" w:hAnsi="Courier New"/>
                <w:b w:val="0"/>
                <w:i w:val="0"/>
                <w:color w:val="263238"/>
                <w:sz w:val="16"/>
              </w:rPr>
              <w:t xml:space="preserve">      "account_id": "acc_123",</w:t>
            </w:r>
            <w:r>
              <w:br/>
            </w:r>
            <w:r>
              <w:rPr>
                <w:rFonts w:ascii="Courier New" w:hAnsi="Courier New"/>
                <w:b w:val="0"/>
                <w:i w:val="0"/>
                <w:color w:val="263238"/>
                <w:sz w:val="16"/>
              </w:rPr>
              <w:t xml:space="preserve">      "full_name": "Sarah Miller",</w:t>
            </w:r>
            <w:r>
              <w:br/>
            </w:r>
            <w:r>
              <w:rPr>
                <w:rFonts w:ascii="Courier New" w:hAnsi="Courier New"/>
                <w:b w:val="0"/>
                <w:i w:val="0"/>
                <w:color w:val="263238"/>
                <w:sz w:val="16"/>
              </w:rPr>
              <w:t xml:space="preserve">      "title": "VP Sales",</w:t>
            </w:r>
            <w:r>
              <w:br/>
            </w:r>
            <w:r>
              <w:rPr>
                <w:rFonts w:ascii="Courier New" w:hAnsi="Courier New"/>
                <w:b w:val="0"/>
                <w:i w:val="0"/>
                <w:color w:val="263238"/>
                <w:sz w:val="16"/>
              </w:rPr>
              <w:t xml:space="preserve">      "department": "Sales",</w:t>
            </w:r>
            <w:r>
              <w:br/>
            </w:r>
            <w:r>
              <w:rPr>
                <w:rFonts w:ascii="Courier New" w:hAnsi="Courier New"/>
                <w:b w:val="0"/>
                <w:i w:val="0"/>
                <w:color w:val="263238"/>
                <w:sz w:val="16"/>
              </w:rPr>
              <w:t xml:space="preserve">      "seniority": "VP",</w:t>
            </w:r>
            <w:r>
              <w:br/>
            </w:r>
            <w:r>
              <w:rPr>
                <w:rFonts w:ascii="Courier New" w:hAnsi="Courier New"/>
                <w:b w:val="0"/>
                <w:i w:val="0"/>
                <w:color w:val="263238"/>
                <w:sz w:val="16"/>
              </w:rPr>
              <w:t xml:space="preserve">      "email": "sarah@example.com",</w:t>
            </w:r>
            <w:r>
              <w:br/>
            </w:r>
            <w:r>
              <w:rPr>
                <w:rFonts w:ascii="Courier New" w:hAnsi="Courier New"/>
                <w:b w:val="0"/>
                <w:i w:val="0"/>
                <w:color w:val="263238"/>
                <w:sz w:val="16"/>
              </w:rPr>
              <w:t xml:space="preserve">      "linkedin_url": "https://linkedin.com/in/sarah-miller",</w:t>
            </w:r>
            <w:r>
              <w:br/>
            </w:r>
            <w:r>
              <w:rPr>
                <w:rFonts w:ascii="Courier New" w:hAnsi="Courier New"/>
                <w:b w:val="0"/>
                <w:i w:val="0"/>
                <w:color w:val="263238"/>
                <w:sz w:val="16"/>
              </w:rPr>
              <w:t xml:space="preserve">      "source": "contact_discovery",</w:t>
            </w:r>
            <w:r>
              <w:br/>
            </w:r>
            <w:r>
              <w:rPr>
                <w:rFonts w:ascii="Courier New" w:hAnsi="Courier New"/>
                <w:b w:val="0"/>
                <w:i w:val="0"/>
                <w:color w:val="263238"/>
                <w:sz w:val="16"/>
              </w:rPr>
              <w:t xml:space="preserve">      "confidence": 0.82</w:t>
            </w:r>
            <w:r>
              <w:br/>
            </w:r>
            <w:r>
              <w:rPr>
                <w:rFonts w:ascii="Courier New" w:hAnsi="Courier New"/>
                <w:b w:val="0"/>
                <w:i w:val="0"/>
                <w:color w:val="263238"/>
                <w:sz w:val="16"/>
              </w:rPr>
              <w:t xml:space="preserve">    }</w:t>
            </w:r>
            <w:r>
              <w:br/>
            </w:r>
            <w:r>
              <w:rPr>
                <w:rFonts w:ascii="Courier New" w:hAnsi="Courier New"/>
                <w:b w:val="0"/>
                <w:i w:val="0"/>
                <w:color w:val="263238"/>
                <w:sz w:val="16"/>
              </w:rPr>
              <w:t xml:space="preserve">  ],</w:t>
            </w:r>
            <w:r>
              <w:br/>
            </w:r>
            <w:r>
              <w:rPr>
                <w:rFonts w:ascii="Courier New" w:hAnsi="Courier New"/>
                <w:b w:val="0"/>
                <w:i w:val="0"/>
                <w:color w:val="263238"/>
                <w:sz w:val="16"/>
              </w:rPr>
              <w:t xml:space="preserve">  "icp_context": {</w:t>
            </w:r>
            <w:r>
              <w:br/>
            </w:r>
            <w:r>
              <w:rPr>
                <w:rFonts w:ascii="Courier New" w:hAnsi="Courier New"/>
                <w:b w:val="0"/>
                <w:i w:val="0"/>
                <w:color w:val="263238"/>
                <w:sz w:val="16"/>
              </w:rPr>
              <w:t xml:space="preserve">    "icp_id": "icp_001",</w:t>
            </w:r>
            <w:r>
              <w:br/>
            </w:r>
            <w:r>
              <w:rPr>
                <w:rFonts w:ascii="Courier New" w:hAnsi="Courier New"/>
                <w:b w:val="0"/>
                <w:i w:val="0"/>
                <w:color w:val="263238"/>
                <w:sz w:val="16"/>
              </w:rPr>
              <w:t xml:space="preserve">    "version": 1,</w:t>
            </w:r>
            <w:r>
              <w:br/>
            </w:r>
            <w:r>
              <w:rPr>
                <w:rFonts w:ascii="Courier New" w:hAnsi="Courier New"/>
                <w:b w:val="0"/>
                <w:i w:val="0"/>
                <w:color w:val="263238"/>
                <w:sz w:val="16"/>
              </w:rPr>
              <w:t xml:space="preserve">    "target_personas": ["VP Sales", "Director of Revenue Operations"],</w:t>
            </w:r>
            <w:r>
              <w:br/>
            </w:r>
            <w:r>
              <w:rPr>
                <w:rFonts w:ascii="Courier New" w:hAnsi="Courier New"/>
                <w:b w:val="0"/>
                <w:i w:val="0"/>
                <w:color w:val="263238"/>
                <w:sz w:val="16"/>
              </w:rPr>
              <w:t xml:space="preserve">    "pain_points": ["slow lead follow-up", "quote conversion gaps"],</w:t>
            </w:r>
            <w:r>
              <w:br/>
            </w:r>
            <w:r>
              <w:rPr>
                <w:rFonts w:ascii="Courier New" w:hAnsi="Courier New"/>
                <w:b w:val="0"/>
                <w:i w:val="0"/>
                <w:color w:val="263238"/>
                <w:sz w:val="16"/>
              </w:rPr>
              <w:t xml:space="preserve">    "offer_summary": "AI SDR platform",</w:t>
            </w:r>
            <w:r>
              <w:br/>
            </w:r>
            <w:r>
              <w:rPr>
                <w:rFonts w:ascii="Courier New" w:hAnsi="Courier New"/>
                <w:b w:val="0"/>
                <w:i w:val="0"/>
                <w:color w:val="263238"/>
                <w:sz w:val="16"/>
              </w:rPr>
              <w:t xml:space="preserve">    "exclusions": {"customer_statuses": ["existing_customer"]}</w:t>
            </w:r>
            <w:r>
              <w:br/>
            </w:r>
            <w:r>
              <w:rPr>
                <w:rFonts w:ascii="Courier New" w:hAnsi="Courier New"/>
                <w:b w:val="0"/>
                <w:i w:val="0"/>
                <w:color w:val="263238"/>
                <w:sz w:val="16"/>
              </w:rPr>
              <w:t xml:space="preserve">  },</w:t>
            </w:r>
            <w:r>
              <w:br/>
            </w:r>
            <w:r>
              <w:rPr>
                <w:rFonts w:ascii="Courier New" w:hAnsi="Courier New"/>
                <w:b w:val="0"/>
                <w:i w:val="0"/>
                <w:color w:val="263238"/>
                <w:sz w:val="16"/>
              </w:rPr>
              <w:t xml:space="preserve">  "collection": "sdr_enrichment",</w:t>
            </w:r>
            <w:r>
              <w:br/>
            </w:r>
            <w:r>
              <w:rPr>
                <w:rFonts w:ascii="Courier New" w:hAnsi="Courier New"/>
                <w:b w:val="0"/>
                <w:i w:val="0"/>
                <w:color w:val="263238"/>
                <w:sz w:val="16"/>
              </w:rPr>
              <w:t xml:space="preserve">  "search_provider": "searxng",</w:t>
            </w:r>
            <w:r>
              <w:br/>
            </w:r>
            <w:r>
              <w:rPr>
                <w:rFonts w:ascii="Courier New" w:hAnsi="Courier New"/>
                <w:b w:val="0"/>
                <w:i w:val="0"/>
                <w:color w:val="263238"/>
                <w:sz w:val="16"/>
              </w:rPr>
              <w:t xml:space="preserve">  "top_k": 8,</w:t>
            </w:r>
            <w:r>
              <w:br/>
            </w:r>
            <w:r>
              <w:rPr>
                <w:rFonts w:ascii="Courier New" w:hAnsi="Courier New"/>
                <w:b w:val="0"/>
                <w:i w:val="0"/>
                <w:color w:val="263238"/>
                <w:sz w:val="16"/>
              </w:rPr>
              <w:t xml:space="preserve">  "auto_fetch_and_index": true,</w:t>
            </w:r>
            <w:r>
              <w:br/>
            </w:r>
            <w:r>
              <w:rPr>
                <w:rFonts w:ascii="Courier New" w:hAnsi="Courier New"/>
                <w:b w:val="0"/>
                <w:i w:val="0"/>
                <w:color w:val="263238"/>
                <w:sz w:val="16"/>
              </w:rPr>
              <w:t xml:space="preserve">  "llm_provider": "ollama_local",</w:t>
            </w:r>
            <w:r>
              <w:br/>
            </w:r>
            <w:r>
              <w:rPr>
                <w:rFonts w:ascii="Courier New" w:hAnsi="Courier New"/>
                <w:b w:val="0"/>
                <w:i w:val="0"/>
                <w:color w:val="263238"/>
                <w:sz w:val="16"/>
              </w:rPr>
              <w:t xml:space="preserve">  "llm_model": "llama3.2:3b"</w:t>
            </w:r>
            <w:r>
              <w:br/>
            </w:r>
            <w:r>
              <w:rPr>
                <w:rFonts w:ascii="Courier New" w:hAnsi="Courier New"/>
                <w:b w:val="0"/>
                <w:i w:val="0"/>
                <w:color w:val="263238"/>
                <w:sz w:val="16"/>
              </w:rPr>
              <w:t>}</w:t>
            </w:r>
          </w:p>
        </w:tc>
      </w:tr>
    </w:tbl>
    <w:p>
      <w:pPr>
        <w:spacing w:after="20"/>
      </w:pPr>
    </w:p>
    <w:p>
      <w:pPr>
        <w:keepNext/>
        <w:spacing w:before="180" w:after="100"/>
      </w:pPr>
      <w:r>
        <w:rPr>
          <w:rFonts w:ascii="Aptos" w:hAnsi="Aptos"/>
          <w:b/>
          <w:i w:val="0"/>
          <w:color w:val="17324D"/>
          <w:sz w:val="25"/>
        </w:rPr>
        <w:t>Enrichment Output</w:t>
      </w:r>
    </w:p>
    <w:p>
      <w:pPr>
        <w:pStyle w:val="ListBullet"/>
        <w:spacing w:after="60" w:line="259" w:lineRule="auto"/>
        <w:ind w:left="461" w:hanging="259"/>
      </w:pPr>
      <w:r>
        <w:rPr>
          <w:rFonts w:ascii="Aptos" w:hAnsi="Aptos"/>
          <w:b w:val="0"/>
          <w:i w:val="0"/>
          <w:color w:val="1F2933"/>
          <w:sz w:val="21"/>
        </w:rPr>
        <w:t>Company summary, products/services, target customers and contact briefs.</w:t>
      </w:r>
    </w:p>
    <w:p>
      <w:pPr>
        <w:pStyle w:val="ListBullet"/>
        <w:spacing w:after="60" w:line="259" w:lineRule="auto"/>
        <w:ind w:left="461" w:hanging="259"/>
      </w:pPr>
      <w:r>
        <w:rPr>
          <w:rFonts w:ascii="Aptos" w:hAnsi="Aptos"/>
          <w:b w:val="0"/>
          <w:i w:val="0"/>
          <w:color w:val="1F2933"/>
          <w:sz w:val="21"/>
        </w:rPr>
        <w:t>Recent business signals with confidence and supporting source URLs.</w:t>
      </w:r>
    </w:p>
    <w:p>
      <w:pPr>
        <w:pStyle w:val="ListBullet"/>
        <w:spacing w:after="60" w:line="259" w:lineRule="auto"/>
        <w:ind w:left="461" w:hanging="259"/>
      </w:pPr>
      <w:r>
        <w:rPr>
          <w:rFonts w:ascii="Aptos" w:hAnsi="Aptos"/>
          <w:b w:val="0"/>
          <w:i w:val="0"/>
          <w:color w:val="1F2933"/>
          <w:sz w:val="21"/>
        </w:rPr>
        <w:t>Pain-point hypotheses clearly distinguished from verified facts.</w:t>
      </w:r>
    </w:p>
    <w:p>
      <w:pPr>
        <w:pStyle w:val="ListBullet"/>
        <w:spacing w:after="60" w:line="259" w:lineRule="auto"/>
        <w:ind w:left="461" w:hanging="259"/>
      </w:pPr>
      <w:r>
        <w:rPr>
          <w:rFonts w:ascii="Aptos" w:hAnsi="Aptos"/>
          <w:b w:val="0"/>
          <w:i w:val="0"/>
          <w:color w:val="1F2933"/>
          <w:sz w:val="21"/>
        </w:rPr>
        <w:t>Personalization angles and recommended next action.</w:t>
      </w:r>
    </w:p>
    <w:p>
      <w:pPr>
        <w:pStyle w:val="ListBullet"/>
        <w:spacing w:after="60" w:line="259" w:lineRule="auto"/>
        <w:ind w:left="461" w:hanging="259"/>
      </w:pPr>
      <w:r>
        <w:rPr>
          <w:rFonts w:ascii="Aptos" w:hAnsi="Aptos"/>
          <w:b w:val="0"/>
          <w:i w:val="0"/>
          <w:color w:val="1F2933"/>
          <w:sz w:val="21"/>
        </w:rPr>
        <w:t>Citations, OpenSearch collection, confidence score, timestamps and audit metadata.</w:t>
      </w:r>
    </w:p>
    <w:p>
      <w:pPr>
        <w:keepNext/>
        <w:spacing w:before="280" w:after="100"/>
      </w:pPr>
      <w:r>
        <w:rPr>
          <w:rFonts w:ascii="Aptos" w:hAnsi="Aptos"/>
          <w:b/>
          <w:i w:val="0"/>
          <w:color w:val="1F4E78"/>
          <w:sz w:val="32"/>
        </w:rPr>
        <w:t>6. Account Discovery Interface Requirements</w:t>
      </w:r>
    </w:p>
    <w:p>
      <w:pPr>
        <w:pStyle w:val="ListBullet"/>
        <w:spacing w:after="60" w:line="259" w:lineRule="auto"/>
        <w:ind w:left="461" w:hanging="259"/>
      </w:pPr>
      <w:r>
        <w:rPr>
          <w:rFonts w:ascii="Aptos" w:hAnsi="Aptos"/>
          <w:b w:val="0"/>
          <w:i w:val="0"/>
          <w:color w:val="1F2933"/>
          <w:sz w:val="21"/>
        </w:rPr>
        <w:t>account_id must remain stable across reruns and data sources.</w:t>
      </w:r>
    </w:p>
    <w:p>
      <w:pPr>
        <w:pStyle w:val="ListBullet"/>
        <w:spacing w:after="60" w:line="259" w:lineRule="auto"/>
        <w:ind w:left="461" w:hanging="259"/>
      </w:pPr>
      <w:r>
        <w:rPr>
          <w:rFonts w:ascii="Aptos" w:hAnsi="Aptos"/>
          <w:b w:val="0"/>
          <w:i w:val="0"/>
          <w:color w:val="1F2933"/>
          <w:sz w:val="21"/>
        </w:rPr>
        <w:t>Website/domain should be verified when available; unverified values must be explicitly flagged.</w:t>
      </w:r>
    </w:p>
    <w:p>
      <w:pPr>
        <w:pStyle w:val="ListBullet"/>
        <w:spacing w:after="60" w:line="259" w:lineRule="auto"/>
        <w:ind w:left="461" w:hanging="259"/>
      </w:pPr>
      <w:r>
        <w:rPr>
          <w:rFonts w:ascii="Aptos" w:hAnsi="Aptos"/>
          <w:b w:val="0"/>
          <w:i w:val="0"/>
          <w:color w:val="1F2933"/>
          <w:sz w:val="21"/>
        </w:rPr>
        <w:t>Duplicate companies across CRM, web, enrichment providers, and event lists must be resolved to one canonical account.</w:t>
      </w:r>
    </w:p>
    <w:p>
      <w:pPr>
        <w:pStyle w:val="ListBullet"/>
        <w:spacing w:after="60" w:line="259" w:lineRule="auto"/>
        <w:ind w:left="461" w:hanging="259"/>
      </w:pPr>
      <w:r>
        <w:rPr>
          <w:rFonts w:ascii="Aptos" w:hAnsi="Aptos"/>
          <w:b w:val="0"/>
          <w:i w:val="0"/>
          <w:color w:val="1F2933"/>
          <w:sz w:val="21"/>
        </w:rPr>
        <w:t>fit_score must use a documented scale, preferably 0–1 or 0–100 consistently.</w:t>
      </w:r>
    </w:p>
    <w:p>
      <w:pPr>
        <w:pStyle w:val="ListBullet"/>
        <w:spacing w:after="60" w:line="259" w:lineRule="auto"/>
        <w:ind w:left="461" w:hanging="259"/>
      </w:pPr>
      <w:r>
        <w:rPr>
          <w:rFonts w:ascii="Aptos" w:hAnsi="Aptos"/>
          <w:b w:val="0"/>
          <w:i w:val="0"/>
          <w:color w:val="1F2933"/>
          <w:sz w:val="21"/>
        </w:rPr>
        <w:t>fit_reasons should accompany the numeric fit score for explainability.</w:t>
      </w:r>
    </w:p>
    <w:p>
      <w:pPr>
        <w:pStyle w:val="ListBullet"/>
        <w:spacing w:after="60" w:line="259" w:lineRule="auto"/>
        <w:ind w:left="461" w:hanging="259"/>
      </w:pPr>
      <w:r>
        <w:rPr>
          <w:rFonts w:ascii="Aptos" w:hAnsi="Aptos"/>
          <w:b w:val="0"/>
          <w:i w:val="0"/>
          <w:color w:val="1F2933"/>
          <w:sz w:val="21"/>
        </w:rPr>
        <w:t>ICP exclusion rules must be applied before accounts are returned or recorded as explicit warnings.</w:t>
      </w:r>
    </w:p>
    <w:p>
      <w:pPr>
        <w:pStyle w:val="ListBullet"/>
        <w:spacing w:after="60" w:line="259" w:lineRule="auto"/>
        <w:ind w:left="461" w:hanging="259"/>
      </w:pPr>
      <w:r>
        <w:rPr>
          <w:rFonts w:ascii="Aptos" w:hAnsi="Aptos"/>
          <w:b w:val="0"/>
          <w:i w:val="0"/>
          <w:color w:val="1F2933"/>
          <w:sz w:val="21"/>
        </w:rPr>
        <w:t>Industry, geography, revenue, and employee-count values must use documented normalization rules.</w:t>
      </w:r>
    </w:p>
    <w:p>
      <w:pPr>
        <w:pStyle w:val="ListBullet"/>
        <w:spacing w:after="60" w:line="259" w:lineRule="auto"/>
        <w:ind w:left="461" w:hanging="259"/>
      </w:pPr>
      <w:r>
        <w:rPr>
          <w:rFonts w:ascii="Aptos" w:hAnsi="Aptos"/>
          <w:b w:val="0"/>
          <w:i w:val="0"/>
          <w:color w:val="1F2933"/>
          <w:sz w:val="21"/>
        </w:rPr>
        <w:t>Source and discovery timestamp fields must be retained for auditability.</w:t>
      </w:r>
    </w:p>
    <w:p>
      <w:pPr>
        <w:pStyle w:val="ListBullet"/>
        <w:spacing w:after="60" w:line="259" w:lineRule="auto"/>
        <w:ind w:left="461" w:hanging="259"/>
      </w:pPr>
      <w:r>
        <w:rPr>
          <w:rFonts w:ascii="Aptos" w:hAnsi="Aptos"/>
          <w:b w:val="0"/>
          <w:i w:val="0"/>
          <w:color w:val="1F2933"/>
          <w:sz w:val="21"/>
        </w:rPr>
        <w:t>Output must conform to the JSON contract in Section 3.</w:t>
      </w:r>
    </w:p>
    <w:p>
      <w:pPr>
        <w:keepNext/>
        <w:spacing w:before="280" w:after="100"/>
      </w:pPr>
      <w:r>
        <w:rPr>
          <w:rFonts w:ascii="Aptos" w:hAnsi="Aptos"/>
          <w:b/>
          <w:i w:val="0"/>
          <w:color w:val="1F4E78"/>
          <w:sz w:val="32"/>
        </w:rPr>
        <w:t>7. Contact Discovery Interface Requirements</w:t>
      </w:r>
    </w:p>
    <w:p>
      <w:pPr>
        <w:pStyle w:val="ListBullet"/>
        <w:spacing w:after="60" w:line="259" w:lineRule="auto"/>
        <w:ind w:left="461" w:hanging="259"/>
      </w:pPr>
      <w:r>
        <w:rPr>
          <w:rFonts w:ascii="Aptos" w:hAnsi="Aptos"/>
          <w:b w:val="0"/>
          <w:i w:val="0"/>
          <w:color w:val="1F2933"/>
          <w:sz w:val="21"/>
        </w:rPr>
        <w:t>Every contact must contain the exact account_id produced by Account Discovery.</w:t>
      </w:r>
    </w:p>
    <w:p>
      <w:pPr>
        <w:pStyle w:val="ListBullet"/>
        <w:spacing w:after="60" w:line="259" w:lineRule="auto"/>
        <w:ind w:left="461" w:hanging="259"/>
      </w:pPr>
      <w:r>
        <w:rPr>
          <w:rFonts w:ascii="Aptos" w:hAnsi="Aptos"/>
          <w:b w:val="0"/>
          <w:i w:val="0"/>
          <w:color w:val="1F2933"/>
          <w:sz w:val="21"/>
        </w:rPr>
        <w:t>Duplicate people across sources must be resolved to one canonical contact.</w:t>
      </w:r>
    </w:p>
    <w:p>
      <w:pPr>
        <w:pStyle w:val="ListBullet"/>
        <w:spacing w:after="60" w:line="259" w:lineRule="auto"/>
        <w:ind w:left="461" w:hanging="259"/>
      </w:pPr>
      <w:r>
        <w:rPr>
          <w:rFonts w:ascii="Aptos" w:hAnsi="Aptos"/>
          <w:b w:val="0"/>
          <w:i w:val="0"/>
          <w:color w:val="1F2933"/>
          <w:sz w:val="21"/>
        </w:rPr>
        <w:t>Title, department, and seniority should be normalized to a shared taxonomy.</w:t>
      </w:r>
    </w:p>
    <w:p>
      <w:pPr>
        <w:pStyle w:val="ListBullet"/>
        <w:spacing w:after="60" w:line="259" w:lineRule="auto"/>
        <w:ind w:left="461" w:hanging="259"/>
      </w:pPr>
      <w:r>
        <w:rPr>
          <w:rFonts w:ascii="Aptos" w:hAnsi="Aptos"/>
          <w:b w:val="0"/>
          <w:i w:val="0"/>
          <w:color w:val="1F2933"/>
          <w:sz w:val="21"/>
        </w:rPr>
        <w:t>persona_match_score and identity confidence should be represented as separate values.</w:t>
      </w:r>
    </w:p>
    <w:p>
      <w:pPr>
        <w:pStyle w:val="ListBullet"/>
        <w:spacing w:after="60" w:line="259" w:lineRule="auto"/>
        <w:ind w:left="461" w:hanging="259"/>
      </w:pPr>
      <w:r>
        <w:rPr>
          <w:rFonts w:ascii="Aptos" w:hAnsi="Aptos"/>
          <w:b w:val="0"/>
          <w:i w:val="0"/>
          <w:color w:val="1F2933"/>
          <w:sz w:val="21"/>
        </w:rPr>
        <w:t>LinkedIn URL or another public profile URL should be included when available.</w:t>
      </w:r>
    </w:p>
    <w:p>
      <w:pPr>
        <w:pStyle w:val="ListBullet"/>
        <w:spacing w:after="60" w:line="259" w:lineRule="auto"/>
        <w:ind w:left="461" w:hanging="259"/>
      </w:pPr>
      <w:r>
        <w:rPr>
          <w:rFonts w:ascii="Aptos" w:hAnsi="Aptos"/>
          <w:b w:val="0"/>
          <w:i w:val="0"/>
          <w:color w:val="1F2933"/>
          <w:sz w:val="21"/>
        </w:rPr>
        <w:t>Email and phone verification status should be represented separately from the raw values.</w:t>
      </w:r>
    </w:p>
    <w:p>
      <w:pPr>
        <w:pStyle w:val="ListBullet"/>
        <w:spacing w:after="60" w:line="259" w:lineRule="auto"/>
        <w:ind w:left="461" w:hanging="259"/>
      </w:pPr>
      <w:r>
        <w:rPr>
          <w:rFonts w:ascii="Aptos" w:hAnsi="Aptos"/>
          <w:b w:val="0"/>
          <w:i w:val="0"/>
          <w:color w:val="1F2933"/>
          <w:sz w:val="21"/>
        </w:rPr>
        <w:t>Source, consent, and applicable licensing metadata must be preserved.</w:t>
      </w:r>
    </w:p>
    <w:p>
      <w:pPr>
        <w:pStyle w:val="ListBullet"/>
        <w:spacing w:after="60" w:line="259" w:lineRule="auto"/>
        <w:ind w:left="461" w:hanging="259"/>
      </w:pPr>
      <w:r>
        <w:rPr>
          <w:rFonts w:ascii="Aptos" w:hAnsi="Aptos"/>
          <w:b w:val="0"/>
          <w:i w:val="0"/>
          <w:color w:val="1F2933"/>
          <w:sz w:val="21"/>
        </w:rPr>
        <w:t>Former employees and stale contacts should be detected or explicitly flagged.</w:t>
      </w:r>
    </w:p>
    <w:p>
      <w:pPr>
        <w:pStyle w:val="ListBullet"/>
        <w:spacing w:after="60" w:line="259" w:lineRule="auto"/>
        <w:ind w:left="461" w:hanging="259"/>
      </w:pPr>
      <w:r>
        <w:rPr>
          <w:rFonts w:ascii="Aptos" w:hAnsi="Aptos"/>
          <w:b w:val="0"/>
          <w:i w:val="0"/>
          <w:color w:val="1F2933"/>
          <w:sz w:val="21"/>
        </w:rPr>
        <w:t>Output must conform to the JSON contract in Section 4.</w:t>
      </w:r>
    </w:p>
    <w:p>
      <w:pPr>
        <w:keepNext/>
        <w:spacing w:before="280" w:after="100"/>
      </w:pPr>
      <w:r>
        <w:rPr>
          <w:rFonts w:ascii="Aptos" w:hAnsi="Aptos"/>
          <w:b/>
          <w:i w:val="0"/>
          <w:color w:val="1F4E78"/>
          <w:sz w:val="32"/>
        </w:rPr>
        <w:t>8. Integration Acceptance Checklist</w:t>
      </w:r>
    </w:p>
    <w:p>
      <w:pPr>
        <w:pStyle w:val="ListBullet"/>
        <w:spacing w:after="60" w:line="259" w:lineRule="auto"/>
        <w:ind w:left="461" w:hanging="259"/>
      </w:pPr>
      <w:r>
        <w:rPr>
          <w:rFonts w:ascii="Aptos" w:hAnsi="Aptos"/>
          <w:b w:val="0"/>
          <w:i w:val="0"/>
          <w:color w:val="1F2933"/>
          <w:sz w:val="21"/>
        </w:rPr>
        <w:t>☐ account_id is stable, unique, and reused by Contact Discovery.</w:t>
      </w:r>
    </w:p>
    <w:p>
      <w:pPr>
        <w:pStyle w:val="ListBullet"/>
        <w:spacing w:after="60" w:line="259" w:lineRule="auto"/>
        <w:ind w:left="461" w:hanging="259"/>
      </w:pPr>
      <w:r>
        <w:rPr>
          <w:rFonts w:ascii="Aptos" w:hAnsi="Aptos"/>
          <w:b w:val="0"/>
          <w:i w:val="0"/>
          <w:color w:val="1F2933"/>
          <w:sz w:val="21"/>
        </w:rPr>
        <w:t>☐ contact_id is stable and unique.</w:t>
      </w:r>
    </w:p>
    <w:p>
      <w:pPr>
        <w:pStyle w:val="ListBullet"/>
        <w:spacing w:after="60" w:line="259" w:lineRule="auto"/>
        <w:ind w:left="461" w:hanging="259"/>
      </w:pPr>
      <w:r>
        <w:rPr>
          <w:rFonts w:ascii="Aptos" w:hAnsi="Aptos"/>
          <w:b w:val="0"/>
          <w:i w:val="0"/>
          <w:color w:val="1F2933"/>
          <w:sz w:val="21"/>
        </w:rPr>
        <w:t>☐ company_name and full_name are never empty.</w:t>
      </w:r>
    </w:p>
    <w:p>
      <w:pPr>
        <w:pStyle w:val="ListBullet"/>
        <w:spacing w:after="60" w:line="259" w:lineRule="auto"/>
        <w:ind w:left="461" w:hanging="259"/>
      </w:pPr>
      <w:r>
        <w:rPr>
          <w:rFonts w:ascii="Aptos" w:hAnsi="Aptos"/>
          <w:b w:val="0"/>
          <w:i w:val="0"/>
          <w:color w:val="1F2933"/>
          <w:sz w:val="21"/>
        </w:rPr>
        <w:t>☐ Website/domain and LinkedIn URLs are validated when present.</w:t>
      </w:r>
    </w:p>
    <w:p>
      <w:pPr>
        <w:pStyle w:val="ListBullet"/>
        <w:spacing w:after="60" w:line="259" w:lineRule="auto"/>
        <w:ind w:left="461" w:hanging="259"/>
      </w:pPr>
      <w:r>
        <w:rPr>
          <w:rFonts w:ascii="Aptos" w:hAnsi="Aptos"/>
          <w:b w:val="0"/>
          <w:i w:val="0"/>
          <w:color w:val="1F2933"/>
          <w:sz w:val="21"/>
        </w:rPr>
        <w:t>☐ Scores document their scale and meaning.</w:t>
      </w:r>
    </w:p>
    <w:p>
      <w:pPr>
        <w:pStyle w:val="ListBullet"/>
        <w:spacing w:after="60" w:line="259" w:lineRule="auto"/>
        <w:ind w:left="461" w:hanging="259"/>
      </w:pPr>
      <w:r>
        <w:rPr>
          <w:rFonts w:ascii="Aptos" w:hAnsi="Aptos"/>
          <w:b w:val="0"/>
          <w:i w:val="0"/>
          <w:color w:val="1F2933"/>
          <w:sz w:val="21"/>
        </w:rPr>
        <w:t>☐ Sources and timestamps are retained.</w:t>
      </w:r>
    </w:p>
    <w:p>
      <w:pPr>
        <w:pStyle w:val="ListBullet"/>
        <w:spacing w:after="60" w:line="259" w:lineRule="auto"/>
        <w:ind w:left="461" w:hanging="259"/>
      </w:pPr>
      <w:r>
        <w:rPr>
          <w:rFonts w:ascii="Aptos" w:hAnsi="Aptos"/>
          <w:b w:val="0"/>
          <w:i w:val="0"/>
          <w:color w:val="1F2933"/>
          <w:sz w:val="21"/>
        </w:rPr>
        <w:t>☐ ICP exclusions are applied or explicitly flagged.</w:t>
      </w:r>
    </w:p>
    <w:p>
      <w:pPr>
        <w:pStyle w:val="ListBullet"/>
        <w:spacing w:after="60" w:line="259" w:lineRule="auto"/>
        <w:ind w:left="461" w:hanging="259"/>
      </w:pPr>
      <w:r>
        <w:rPr>
          <w:rFonts w:ascii="Aptos" w:hAnsi="Aptos"/>
          <w:b w:val="0"/>
          <w:i w:val="0"/>
          <w:color w:val="1F2933"/>
          <w:sz w:val="21"/>
        </w:rPr>
        <w:t>☐ Unknown values are null, not invented placeholder text.</w:t>
      </w:r>
    </w:p>
    <w:p>
      <w:pPr>
        <w:pStyle w:val="ListBullet"/>
        <w:spacing w:after="60" w:line="259" w:lineRule="auto"/>
        <w:ind w:left="461" w:hanging="259"/>
      </w:pPr>
      <w:r>
        <w:rPr>
          <w:rFonts w:ascii="Aptos" w:hAnsi="Aptos"/>
          <w:b w:val="0"/>
          <w:i w:val="0"/>
          <w:color w:val="1F2933"/>
          <w:sz w:val="21"/>
        </w:rPr>
        <w:t>☐ Payloads validate against the shared Pydantic schemas.</w:t>
      </w:r>
    </w:p>
    <w:p>
      <w:pPr>
        <w:pStyle w:val="ListBullet"/>
        <w:spacing w:after="60" w:line="259" w:lineRule="auto"/>
        <w:ind w:left="461" w:hanging="259"/>
      </w:pPr>
      <w:r>
        <w:rPr>
          <w:rFonts w:ascii="Aptos" w:hAnsi="Aptos"/>
          <w:b w:val="0"/>
          <w:i w:val="0"/>
          <w:color w:val="1F2933"/>
          <w:sz w:val="21"/>
        </w:rPr>
        <w:t>☐ A sample batch is tested end-to-end before live provider integration.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DFF0E5"/>
          </w:tcPr>
          <w:p>
            <w:pPr>
              <w:spacing w:after="0"/>
            </w:pPr>
            <w:r>
              <w:rPr>
                <w:rFonts w:ascii="Aptos" w:hAnsi="Aptos"/>
                <w:b/>
                <w:i w:val="0"/>
                <w:color w:val="17324D"/>
                <w:sz w:val="21"/>
              </w:rPr>
              <w:t xml:space="preserve">Mandatory join rule: </w:t>
            </w:r>
            <w:r>
              <w:rPr>
                <w:rFonts w:ascii="Aptos" w:hAnsi="Aptos"/>
                <w:b w:val="0"/>
                <w:i w:val="0"/>
                <w:color w:val="1F2933"/>
                <w:sz w:val="21"/>
              </w:rPr>
              <w:t>Account Discovery and Contact Discovery outputs must conform to the JSON contracts in Sections 3 and 4. Every contact must carry the same account_id as its parent account.</w:t>
            </w:r>
          </w:p>
        </w:tc>
      </w:tr>
    </w:tbl>
    <w:p>
      <w:pPr>
        <w:spacing w:after="20"/>
      </w:pP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7"/>
      </w:rPr>
      <w:t>ICP → Account Discovery → Contact Discovery → Enrichment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B6573"/>
        <w:sz w:val="17"/>
      </w:rPr>
      <w:t>AI SDR Integration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