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 SDR Platform: Post-Enrichment to Follow-Up Production Documentation 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Prospect Intelligence, Outreach, Conversation, Follow-Up, MetaRank, Temporal, Brevo, and OpenClaw implementation notes.</w:t>
      </w:r>
    </w:p>
    <w:tbl>
      <w:tblPr>
        <w:tblStyle w:val="Table1"/>
        <w:tblW w:w="9360.0" w:type="dxa"/>
        <w:jc w:val="left"/>
        <w:tblInd w:w="-108.0" w:type="dxa"/>
        <w:tblBorders>
          <w:top w:color="b8c7d9" w:space="0" w:sz="6" w:val="single"/>
          <w:left w:color="b8c7d9" w:space="0" w:sz="6" w:val="single"/>
          <w:bottom w:color="b8c7d9" w:space="0" w:sz="6" w:val="single"/>
          <w:right w:color="b8c7d9" w:space="0" w:sz="6" w:val="single"/>
          <w:insideH w:color="b8c7d9" w:space="0" w:sz="6" w:val="single"/>
          <w:insideV w:color="b8c7d9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Everything after the Enrichment Agent through Follow-Up, including the new single-chat Streamlit flow.</w:t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Implemented and wired locally. Brevo outbound, Temporal follow-up workflows, OpenClaw operator layer, and MetaRank event logging are configured for testing.</w:t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Key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Enrichment evidence becomes probabilistic buyer intelligence, then controlled outreach, conversation handling, and durable follow-up scheduling.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End-to-End 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platform now runs as a single AI SDR workflow rather than separate manual agent screens. The chatbot accepts one ICP prompt and orchestrates the downstream agents in order.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ICP Agent converts the user's market description into a structured ICP.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Prospect Discovery finds matching accounts and contacts.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Enrichment researches account and contact context.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Prospect Intelligence converts enrichment evidence into intent, propensity, ranking, and personalization.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Outreach drafts policy-checked, approval-gated messages and sends through Brevo.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creates a durable Temporal workflow for later touches.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classifies replies, stops follow-ups, drafts responses, and writes outcomes back to learning loops.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Prospect Intelligence Agent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Prospect Intelligence sits between Enrichment and Outreach. It is different from ICP fit scoring: fit scoring answers whether an account resembles the target customer, while Prospect Intelligence estimates what is likely to happen now if SDR outreach is attempted.</w:t>
      </w:r>
    </w:p>
    <w:tbl>
      <w:tblPr>
        <w:tblStyle w:val="Table2"/>
        <w:tblW w:w="9360.0" w:type="dxa"/>
        <w:jc w:val="left"/>
        <w:tblInd w:w="-108.0" w:type="dxa"/>
        <w:tblBorders>
          <w:top w:color="b8c7d9" w:space="0" w:sz="6" w:val="single"/>
          <w:left w:color="b8c7d9" w:space="0" w:sz="6" w:val="single"/>
          <w:bottom w:color="b8c7d9" w:space="0" w:sz="6" w:val="single"/>
          <w:right w:color="b8c7d9" w:space="0" w:sz="6" w:val="single"/>
          <w:insideH w:color="b8c7d9" w:space="0" w:sz="6" w:val="single"/>
          <w:insideV w:color="b8c7d9" w:space="0" w:sz="6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Production library/framework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Signal normalization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Turns enrichment evidence into consistent funding, hiring, expansion, intent, risk, and recency signals.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Pydantic contracts in models.py and feature builders in features.py/signals.py.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Intent probability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Estimates current buying interest from recency, source trust, activity, and enrichment signals.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Bootstrap LightGBM artifact now loaded through ArtifactProbabilityPredictor; retrainable with real outcomes.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Reply/meeting/qualification propensity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Separates response probability, meeting probability, and qualification probability instead of one fixed score.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Bootstrap LightGBM artifacts with scikit-learn calibration and persisted model versions.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Ranking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Orders prospects for SDR attention after propensity scoring.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 cold-start queue ordering plus MetaRank client and event store.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Personalization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Produces evidence-grounded email openings, LinkedIn copy, value props, and why-now reasoning.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Pydantic structured package, enrichment citations, and controlled generation logic.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Explanation/monitoring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Stores reasons, warnings, score details, model version, and event logs.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SHAP-ready explanation surface, Evidently-style monitoring module, JSONL MetaRank feedback.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Why Prospect Intelligence Is Production-Ready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uses typed Pydantic contracts rather than loose dictionaries, so every score package has stable fields for downstream agents.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separates fit, intent, reply, meeting, and qualification; this prevents one deterministic score from pretending to explain all outcomes.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now uses bootstrap LightGBM artifacts for intent, reply, meeting, and qualification instead of showing heuristic probability mode in the demo.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bootstrap models are calibrated with scikit-learn and can be replaced by real outcome-trained models once CRM and outreach labels accumulate.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writes ranking and outcome events for MetaRank, which lets the ranking layer learn from real replies, meetings, bounces, and unsubscribes.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exposes status endpoints so the UI can show whether ranking is local fallback or learned MetaRank reranking.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creates grounded personalization packages that Outreach can use without inventing unsupported claims.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Cold-start honesty: the current bootstrap LightGBM artifacts are production-shaped priors, not final historical CRM-trained models. As campaigns produce replies, meetings, bounces, and unsubscribes, those real labels should replace the bootstrap artifacts and activate learned MetaRank reranking.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3. Outreach Agent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Outreach turns Prospect Intelligence into controlled, provider-backed campaigns. It does not let a broad agent send arbitrary messages. Policy, review, approval, rate limits, provider IDs, and event ingestion live in the backend.</w:t>
      </w:r>
    </w:p>
    <w:tbl>
      <w:tblPr>
        <w:tblStyle w:val="Table3"/>
        <w:tblW w:w="9360.0" w:type="dxa"/>
        <w:jc w:val="left"/>
        <w:tblInd w:w="-108.0" w:type="dxa"/>
        <w:tblBorders>
          <w:top w:color="b8c7d9" w:space="0" w:sz="6" w:val="single"/>
          <w:left w:color="b8c7d9" w:space="0" w:sz="6" w:val="single"/>
          <w:bottom w:color="b8c7d9" w:space="0" w:sz="6" w:val="single"/>
          <w:right w:color="b8c7d9" w:space="0" w:sz="6" w:val="single"/>
          <w:insideH w:color="b8c7d9" w:space="0" w:sz="6" w:val="single"/>
          <w:insideV w:color="b8c7d9" w:space="0" w:sz="6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Implemented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Production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Schemas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Campaign, message, recipient, event, approval, and command contracts.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Pydantic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Policy Agent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Consent, suppression, frequency, channel eligibility, and safe-send checks.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policy module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Message Composer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Converts personalization packages into email/LinkedIn/phone/SMS style messages.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Template logic + Pydantic payloads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 Agent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Blocks unsupported, unsafe, or low-quality messages before approval.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 module and approval gate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Send Agent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Calls provider adapters idempotently and stores provider message IDs.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Brevo REST API, SMTP/SES/Twilio-ready adapters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Event Agent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Consumes delivery, open, click, bounce, unsubscribe, and failure events.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Brevo transactional webhooks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Operator API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Allows OpenClaw to approve, pause, list, and inspect campaigns through controlled backend actions.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OpenClaw command route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Brevo is configured for outbound transactional sending. Only the sender email must be verified in Brevo; the recipient can be any valid prospect email. Inbound parsing is intentionally not required for the first test because it usually needs a domain/MX setup.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4. Conversation Agent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Conversation handles replies after outreach. It retrieves the original campaign, Prospect Intelligence context, and recent thread history; applies deterministic compliance guardrails; uses a Pydantic-validated structured Ollama decision for nuanced replies; stops follow-up; drafts a response; requires approval; and records learning outcomes.</w:t>
      </w:r>
    </w:p>
    <w:tbl>
      <w:tblPr>
        <w:tblStyle w:val="Table4"/>
        <w:tblW w:w="9360.0" w:type="dxa"/>
        <w:jc w:val="left"/>
        <w:tblInd w:w="-108.0" w:type="dxa"/>
        <w:tblBorders>
          <w:top w:color="b8c7d9" w:space="0" w:sz="6" w:val="single"/>
          <w:left w:color="b8c7d9" w:space="0" w:sz="6" w:val="single"/>
          <w:bottom w:color="b8c7d9" w:space="0" w:sz="6" w:val="single"/>
          <w:right w:color="b8c7d9" w:space="0" w:sz="6" w:val="single"/>
          <w:insideH w:color="b8c7d9" w:space="0" w:sz="6" w:val="single"/>
          <w:insideV w:color="b8c7d9" w:space="0" w:sz="6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Current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Production upgrade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Intent classification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Nuanced replies use structured Ollama output validated by Pydantic; source/model/confidence are stored.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PydanticAI is listed as an optional provider-abstraction dependency.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Safety handling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Unsubscribe, wrong-person, and out-of-office are deterministic guardrails; human replies stop pending follow-up plans.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Compliance rules remain deterministic by design.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Reply drafting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LLM receives campaign, Prospect Intelligence, and thread context; output is post-validated and held for approval.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Safe draft is supplied if the model omits one.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Outcome feedback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Positive replies and meeting requests are written back to Prospect Intelligence and MetaRank event logs.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Calibrate reply-quality models after enough labeled replies exist.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Observability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Threads and agent metadata are persisted; Langfuse traces classification and send operations when credentials are configured.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OpenTelemetry-compatible Langfuse client plus local structured logs.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Conversation Agent is now hybrid: deterministic compliance rules for hard-stop cases and structured LLM extraction for nuanced buyer intent. If Ollama is unavailable, it enters an explicit degraded human-review mode rather than silently pretending the fallback is an ML decision.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5. Follow-Up Agent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Follow-Up now uses Temporal as the active production scheduler. Approval of a follow-up plan starts an SDRFollowUpWorkflow, stores the Temporal workflow ID on the plan, and lets Temporal handle durable timers.</w:t>
      </w:r>
    </w:p>
    <w:tbl>
      <w:tblPr>
        <w:tblStyle w:val="Table5"/>
        <w:tblW w:w="9360.0" w:type="dxa"/>
        <w:jc w:val="left"/>
        <w:tblInd w:w="-108.0" w:type="dxa"/>
        <w:tblBorders>
          <w:top w:color="b8c7d9" w:space="0" w:sz="6" w:val="single"/>
          <w:left w:color="b8c7d9" w:space="0" w:sz="6" w:val="single"/>
          <w:bottom w:color="b8c7d9" w:space="0" w:sz="6" w:val="single"/>
          <w:right w:color="b8c7d9" w:space="0" w:sz="6" w:val="single"/>
          <w:insideH w:color="b8c7d9" w:space="0" w:sz="6" w:val="single"/>
          <w:insideV w:color="b8c7d9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Implementation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 creation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Outreach campaign creates two default follow-up touches with scheduled timestamps and approval-required state.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Approval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Approve Follow-Up In Temporal changes the plan to active and starts SDRFollowUpWorkflow.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Durable scheduling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workflow sleeps until the next scheduled touch, then calls the backend plan processor.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Stop rules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Conversation replies, unsubscribes, bounces, or suppression events stop the plan and suppress pending touches.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Proof in UI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Streamlit shows scheduler_backend, temporal_schedule_status, and temporal_workflow_id.</w:t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6. MetaRank Learning Loop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MetaRank is configured for SDR outcomes, not product clicks. The system logs ranking impressions and later interactions so learned reranking can begin after enough real data exists.</w:t>
      </w:r>
    </w:p>
    <w:tbl>
      <w:tblPr>
        <w:tblStyle w:val="Table6"/>
        <w:tblW w:w="9360.0" w:type="dxa"/>
        <w:jc w:val="left"/>
        <w:tblInd w:w="-108.0" w:type="dxa"/>
        <w:tblBorders>
          <w:top w:color="b8c7d9" w:space="0" w:sz="6" w:val="single"/>
          <w:left w:color="b8c7d9" w:space="0" w:sz="6" w:val="single"/>
          <w:bottom w:color="b8c7d9" w:space="0" w:sz="6" w:val="single"/>
          <w:right w:color="b8c7d9" w:space="0" w:sz="6" w:val="single"/>
          <w:insideH w:color="b8c7d9" w:space="0" w:sz="6" w:val="single"/>
          <w:insideV w:color="b8c7d9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Cold start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 probability-weighted ranking is active. Events are written to metarank/sdr/events.jsonl.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Event collection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Signals include lead shown, opened, clicked, replied, interested, pricing_request, qualified, meeting_request, meeting_booked, bounced, and unsubscribe.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activation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After enough outcomes, start MetaRank and uncomment SDR_INTELLIGENCE_METARANK_URL.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Production value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MetaRank reranks the SDR queue based on real feedback, not static rules.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7. OpenClaw Operator Layer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OpenClaw is used as the human-facing operator/copilot, not as the sender or owner of provider credentials. It calls the controlled Outreach API.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highest-priority prospects.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campaigns waiting for approval.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or pause a campaign through /outreach/operator/command.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replies requiring attention.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pending follow-up plans and performance summaries.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8. Runtime Commands for Demo</w:t>
      </w:r>
    </w:p>
    <w:tbl>
      <w:tblPr>
        <w:tblStyle w:val="Table7"/>
        <w:tblW w:w="9360.0" w:type="dxa"/>
        <w:jc w:val="left"/>
        <w:tblInd w:w="-108.0" w:type="dxa"/>
        <w:tblBorders>
          <w:top w:color="b8c7d9" w:space="0" w:sz="6" w:val="single"/>
          <w:left w:color="b8c7d9" w:space="0" w:sz="6" w:val="single"/>
          <w:bottom w:color="b8c7d9" w:space="0" w:sz="6" w:val="single"/>
          <w:right w:color="b8c7d9" w:space="0" w:sz="6" w:val="single"/>
          <w:insideH w:color="b8c7d9" w:space="0" w:sz="6" w:val="single"/>
          <w:insideV w:color="b8c7d9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Command /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server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server start-dev --db-filename ai_sdr_platform/data/temporal/temporal.db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source .venv/bin/activate; set -a; source ai_sdr_platform/.env.sdr; set +a; uvicorn ai_sdr_platform.src.api.app:app --host 127.0.0.1 --port 8011 --reload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worker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 -m ai_sdr_platform.src.agents.follow_up.temporal_worker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Streamlit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BACKEND_URL=http://127.0.0.1:8011 streamlit run app.py --server.port 8511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Ngrok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ngrok http 8011 for Brevo outbound delivery webhooks.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9. What Is Still Deterministic vs Learned</w:t>
      </w:r>
    </w:p>
    <w:tbl>
      <w:tblPr>
        <w:tblStyle w:val="Table8"/>
        <w:tblW w:w="9360.0" w:type="dxa"/>
        <w:jc w:val="left"/>
        <w:tblInd w:w="-108.0" w:type="dxa"/>
        <w:tblBorders>
          <w:top w:color="b8c7d9" w:space="0" w:sz="6" w:val="single"/>
          <w:left w:color="b8c7d9" w:space="0" w:sz="6" w:val="single"/>
          <w:bottom w:color="b8c7d9" w:space="0" w:sz="6" w:val="single"/>
          <w:right w:color="b8c7d9" w:space="0" w:sz="6" w:val="single"/>
          <w:insideH w:color="b8c7d9" w:space="0" w:sz="6" w:val="single"/>
          <w:insideV w:color="b8c7d9" w:space="0" w:sz="6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b254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Why acceptable / 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Prospect Intelligence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Bootstrap LightGBM artifacts for probabilities plus calibration and MetaRank-ready learning loop.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 no longer uses heuristic probability mode; real CRM/outreach outcomes should retrain the artifacts.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Outreach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Policy, review, approval, provider delivery, webhooks, and audit storage.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Production-style because it controls actual sending and avoids unrestricted automation.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Hybrid compliance guardrails plus Pydantic-validated Ollama classification/drafting and Langfuse tracing.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Production-shaped; configure Langfuse keys and keep Ollama available for the non-degraded path.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Follow-Up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workflow started on approval.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Production-ready durable scheduling path; local forced processing remains only a test helper.</w:t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10. Files Added or Used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Prospect Intelligence: ai_sdr_platform/src/agents/prospect_intelligence/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Outreach: ai_sdr_platform/src/agents/outreach/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Conversation: ai_sdr_platform/src/agents/conversation/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and Temporal worker: ai_sdr_platform/src/agents/follow_up/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route: ai_sdr_platform/src/api/routes/routes_sdr_pipeline.py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chatbot: app.py, first tab AI SDR Chatbot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MetaRank SDR configuration: metarank/sdr/config.yml and events.jsonl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OpenClaw skill: ai_sdr_platform/openclaw/skills/sdr-outreach/SKILL.md</w:t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11. Recommended Next Hardening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PydanticAI as a provider-abstraction layer if multiple hosted/local LLM providers are required.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OpenSearch retrieval of original outreach, enrichment evidence, and prior messages before drafting replies.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Langfuse/OpenTelemetry traces for every LLM and routing decision.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 enough SDR outcome events, then activate MetaRank learned reranking.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persistence from local SQLite to PostgreSQL for shared/team demos.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verified sending domain in Brevo for better deliverability after the first test.</w:t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55555"/>
        <w:sz w:val="16"/>
        <w:szCs w:val="16"/>
        <w:u w:val="none"/>
        <w:shd w:fill="auto" w:val="clear"/>
        <w:vertAlign w:val="baseline"/>
        <w:rtl w:val="0"/>
      </w:rPr>
      <w:t xml:space="preserve">AI SDR Platform Post-Enrichment Documentation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line="240" w:lineRule="auto"/>
    </w:pPr>
    <w:rPr>
      <w:rFonts w:ascii="Calibri" w:cs="Calibri" w:eastAsia="Calibri" w:hAnsi="Calibri"/>
      <w:b w:val="1"/>
      <w:bCs w:val="1"/>
      <w:color w:val="0b2545"/>
      <w:sz w:val="44"/>
      <w:szCs w:val="44"/>
    </w:rPr>
  </w:style>
  <w:style w:type="paragraph" w:styleId="Subtitle">
    <w:name w:val="Subtitle"/>
    <w:basedOn w:val="Normal"/>
    <w:next w:val="Normal"/>
    <w:pPr>
      <w:spacing w:after="240" w:lineRule="auto"/>
    </w:pPr>
    <w:rPr>
      <w:rFonts w:ascii="Calibri" w:cs="Calibri" w:eastAsia="Calibri" w:hAnsi="Calibri"/>
      <w:i w:val="1"/>
      <w:iCs w:val="1"/>
      <w:color w:val="555555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39r7dsrlPmCivZ3mPv0EgvyGpg==">CgMxLjA4AHIhMWQwR2JqVHFrOFJXTDlGbTNfNXVuZmVUSV9ZbmNnZXFs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