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D26224" w14:textId="77777777" w:rsidR="007953E0" w:rsidRPr="00721C81" w:rsidRDefault="00721C81" w:rsidP="00C806C7">
      <w:pPr>
        <w:jc w:val="center"/>
        <w:outlineLvl w:val="0"/>
        <w:rPr>
          <w:sz w:val="56"/>
          <w:szCs w:val="56"/>
        </w:rPr>
      </w:pPr>
      <w:r w:rsidRPr="00721C81">
        <w:rPr>
          <w:sz w:val="56"/>
          <w:szCs w:val="56"/>
        </w:rPr>
        <w:t xml:space="preserve">Notes on </w:t>
      </w:r>
      <w:r w:rsidR="00C31C09" w:rsidRPr="00721C81">
        <w:rPr>
          <w:sz w:val="56"/>
          <w:szCs w:val="56"/>
        </w:rPr>
        <w:t xml:space="preserve">GMT </w:t>
      </w:r>
      <w:r w:rsidRPr="00721C81">
        <w:rPr>
          <w:sz w:val="56"/>
          <w:szCs w:val="56"/>
        </w:rPr>
        <w:t>subplot figures</w:t>
      </w:r>
    </w:p>
    <w:p w14:paraId="320BD805" w14:textId="77777777" w:rsidR="00C31C09" w:rsidRDefault="00C31C09" w:rsidP="00C31C09">
      <w:pPr>
        <w:jc w:val="center"/>
      </w:pPr>
      <w:r>
        <w:rPr>
          <w:noProof/>
          <w:lang w:eastAsia="en-US"/>
        </w:rPr>
        <w:drawing>
          <wp:inline distT="0" distB="0" distL="0" distR="0" wp14:anchorId="4DBE31B7" wp14:editId="14862827">
            <wp:extent cx="4394835" cy="4804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bplot.pdf"/>
                    <pic:cNvPicPr/>
                  </pic:nvPicPr>
                  <pic:blipFill>
                    <a:blip r:embed="rId4">
                      <a:extLst>
                        <a:ext uri="{28A0092B-C50C-407E-A947-70E740481C1C}">
                          <a14:useLocalDpi xmlns:a14="http://schemas.microsoft.com/office/drawing/2010/main" val="0"/>
                        </a:ext>
                      </a:extLst>
                    </a:blip>
                    <a:stretch>
                      <a:fillRect/>
                    </a:stretch>
                  </pic:blipFill>
                  <pic:spPr>
                    <a:xfrm>
                      <a:off x="0" y="0"/>
                      <a:ext cx="4401434" cy="4811482"/>
                    </a:xfrm>
                    <a:prstGeom prst="rect">
                      <a:avLst/>
                    </a:prstGeom>
                  </pic:spPr>
                </pic:pic>
              </a:graphicData>
            </a:graphic>
          </wp:inline>
        </w:drawing>
      </w:r>
    </w:p>
    <w:p w14:paraId="0B6B0299" w14:textId="77777777" w:rsidR="00C31C09" w:rsidRDefault="00C31C09" w:rsidP="00C31C09">
      <w:pPr>
        <w:jc w:val="both"/>
      </w:pPr>
    </w:p>
    <w:p w14:paraId="234F65B3" w14:textId="09422514" w:rsidR="00C31C09" w:rsidRDefault="009941E1" w:rsidP="00C31C09">
      <w:pPr>
        <w:jc w:val="both"/>
      </w:pPr>
      <w:r>
        <w:t xml:space="preserve">1. </w:t>
      </w:r>
      <w:r w:rsidR="00721C81">
        <w:t>There are t</w:t>
      </w:r>
      <w:r w:rsidR="00C31C09">
        <w:t xml:space="preserve">wo ways to specify dimensions of a </w:t>
      </w:r>
      <w:r w:rsidR="00C01858">
        <w:t>figure containing subplots</w:t>
      </w:r>
      <w:r w:rsidR="00C31C09">
        <w:t>:</w:t>
      </w:r>
    </w:p>
    <w:p w14:paraId="37FD4DC2" w14:textId="60155B90" w:rsidR="00C31C09" w:rsidRDefault="00C01858" w:rsidP="00721C81">
      <w:pPr>
        <w:ind w:left="360"/>
        <w:jc w:val="both"/>
      </w:pPr>
      <w:r>
        <w:rPr>
          <w:b/>
        </w:rPr>
        <w:t>–</w:t>
      </w:r>
      <w:r w:rsidR="00C31C09" w:rsidRPr="00C01858">
        <w:rPr>
          <w:b/>
        </w:rPr>
        <w:t>F</w:t>
      </w:r>
      <w:r>
        <w:rPr>
          <w:b/>
        </w:rPr>
        <w:t>[</w:t>
      </w:r>
      <w:proofErr w:type="spellStart"/>
      <w:r>
        <w:rPr>
          <w:b/>
        </w:rPr>
        <w:t>f</w:t>
      </w:r>
      <w:proofErr w:type="spellEnd"/>
      <w:r>
        <w:rPr>
          <w:b/>
        </w:rPr>
        <w:t>]</w:t>
      </w:r>
      <w:r w:rsidR="00C31C09" w:rsidRPr="00C01858">
        <w:rPr>
          <w:i/>
        </w:rPr>
        <w:t>W/H</w:t>
      </w:r>
      <w:r w:rsidR="00C31C09">
        <w:t xml:space="preserve">: This sets the </w:t>
      </w:r>
      <w:r w:rsidRPr="00C01858">
        <w:rPr>
          <w:b/>
        </w:rPr>
        <w:t>figure</w:t>
      </w:r>
      <w:r>
        <w:t xml:space="preserve"> </w:t>
      </w:r>
      <w:r w:rsidR="00C31C09">
        <w:t>dimensions</w:t>
      </w:r>
      <w:r w:rsidR="00721C81">
        <w:t>, i.e.,</w:t>
      </w:r>
      <w:r w:rsidR="00C31C09">
        <w:t xml:space="preserve"> </w:t>
      </w:r>
      <w:r w:rsidR="00F76E93">
        <w:t xml:space="preserve">dimensions </w:t>
      </w:r>
      <w:r w:rsidR="00C31C09">
        <w:t>of the outside frame (</w:t>
      </w:r>
      <w:r w:rsidR="00C31C09" w:rsidRPr="00135CF7">
        <w:rPr>
          <w:color w:val="FF0000"/>
        </w:rPr>
        <w:t xml:space="preserve">red </w:t>
      </w:r>
      <w:r w:rsidR="00C31C09">
        <w:t xml:space="preserve">pen).  Given the chosen panel margins we </w:t>
      </w:r>
      <w:r w:rsidR="00F76E93">
        <w:t>then</w:t>
      </w:r>
      <w:r w:rsidR="00721C81">
        <w:t xml:space="preserve"> </w:t>
      </w:r>
      <w:r w:rsidR="00C31C09">
        <w:t xml:space="preserve">compute the </w:t>
      </w:r>
      <w:r w:rsidR="00F76E93">
        <w:t xml:space="preserve">subplot </w:t>
      </w:r>
      <w:r w:rsidR="00C31C09">
        <w:t xml:space="preserve">dimensions </w:t>
      </w:r>
      <w:r w:rsidR="00C31C09" w:rsidRPr="00C01858">
        <w:rPr>
          <w:i/>
        </w:rPr>
        <w:t>w</w:t>
      </w:r>
      <w:r>
        <w:t>/</w:t>
      </w:r>
      <w:r w:rsidR="00C31C09" w:rsidRPr="00C01858">
        <w:rPr>
          <w:i/>
        </w:rPr>
        <w:t>h</w:t>
      </w:r>
      <w:r w:rsidR="00C31C09">
        <w:t>.</w:t>
      </w:r>
    </w:p>
    <w:p w14:paraId="1B8F37B0" w14:textId="1DDB5E60" w:rsidR="00C31C09" w:rsidRDefault="00C01858" w:rsidP="009941E1">
      <w:pPr>
        <w:ind w:left="360"/>
        <w:jc w:val="both"/>
      </w:pPr>
      <w:r w:rsidRPr="00C01858">
        <w:rPr>
          <w:b/>
        </w:rPr>
        <w:t>–</w:t>
      </w:r>
      <w:proofErr w:type="spellStart"/>
      <w:r w:rsidR="00C31C09" w:rsidRPr="00C01858">
        <w:rPr>
          <w:b/>
        </w:rPr>
        <w:t>F</w:t>
      </w:r>
      <w:r w:rsidRPr="00C01858">
        <w:rPr>
          <w:b/>
        </w:rPr>
        <w:t>s</w:t>
      </w:r>
      <w:r w:rsidR="00C31C09" w:rsidRPr="00C01858">
        <w:rPr>
          <w:i/>
        </w:rPr>
        <w:t>w</w:t>
      </w:r>
      <w:proofErr w:type="spellEnd"/>
      <w:r w:rsidR="00C31C09" w:rsidRPr="00C01858">
        <w:rPr>
          <w:i/>
        </w:rPr>
        <w:t>/h</w:t>
      </w:r>
      <w:r w:rsidR="00C31C09">
        <w:t xml:space="preserve">: This sets the </w:t>
      </w:r>
      <w:r w:rsidRPr="00C01858">
        <w:rPr>
          <w:b/>
        </w:rPr>
        <w:t>subplot</w:t>
      </w:r>
      <w:r>
        <w:t xml:space="preserve"> </w:t>
      </w:r>
      <w:r w:rsidR="00C31C09">
        <w:t>dimensions</w:t>
      </w:r>
      <w:r w:rsidR="00721C81">
        <w:t>, i.e.,</w:t>
      </w:r>
      <w:r w:rsidR="00C31C09">
        <w:t xml:space="preserve"> </w:t>
      </w:r>
      <w:r w:rsidR="00F76E93">
        <w:t xml:space="preserve">dimensions </w:t>
      </w:r>
      <w:r w:rsidR="00C31C09">
        <w:t xml:space="preserve">of each </w:t>
      </w:r>
      <w:r>
        <w:t>subplot</w:t>
      </w:r>
      <w:r w:rsidR="00C31C09">
        <w:t xml:space="preserve"> frame (</w:t>
      </w:r>
      <w:r w:rsidR="00F76E93">
        <w:t xml:space="preserve">dashed </w:t>
      </w:r>
      <w:r w:rsidR="00C31C09" w:rsidRPr="00135CF7">
        <w:rPr>
          <w:color w:val="4472C4" w:themeColor="accent1"/>
        </w:rPr>
        <w:t xml:space="preserve">blue </w:t>
      </w:r>
      <w:r w:rsidR="00C31C09">
        <w:t>pen).  Given the chosen panel margins we calculate</w:t>
      </w:r>
      <w:r w:rsidR="00721C81">
        <w:t xml:space="preserve"> the outside frame dimensions </w:t>
      </w:r>
      <w:r w:rsidR="00721C81" w:rsidRPr="00721C81">
        <w:rPr>
          <w:i/>
        </w:rPr>
        <w:t>W/</w:t>
      </w:r>
      <w:r w:rsidR="00C31C09" w:rsidRPr="00721C81">
        <w:rPr>
          <w:i/>
        </w:rPr>
        <w:t>H</w:t>
      </w:r>
      <w:r w:rsidR="00C31C09">
        <w:t>.</w:t>
      </w:r>
    </w:p>
    <w:p w14:paraId="20DCB2A5" w14:textId="5DFFEF6F" w:rsidR="00C31C09" w:rsidRDefault="009941E1" w:rsidP="009941E1">
      <w:pPr>
        <w:ind w:left="270" w:hanging="270"/>
        <w:jc w:val="both"/>
      </w:pPr>
      <w:r>
        <w:t xml:space="preserve">2. </w:t>
      </w:r>
      <w:r w:rsidR="00C31C09">
        <w:t xml:space="preserve">The actual </w:t>
      </w:r>
      <w:r w:rsidR="00F76E93">
        <w:t xml:space="preserve">subplot </w:t>
      </w:r>
      <w:r w:rsidR="00C31C09">
        <w:t>dimension</w:t>
      </w:r>
      <w:r w:rsidR="00F76E93">
        <w:t>s</w:t>
      </w:r>
      <w:r w:rsidR="00C31C09">
        <w:t xml:space="preserve"> </w:t>
      </w:r>
      <w:r w:rsidR="00C806C7">
        <w:t>(</w:t>
      </w:r>
      <w:r w:rsidR="00C31C09" w:rsidRPr="00721C81">
        <w:rPr>
          <w:i/>
        </w:rPr>
        <w:t>w</w:t>
      </w:r>
      <w:r w:rsidR="00721C81" w:rsidRPr="00721C81">
        <w:rPr>
          <w:i/>
        </w:rPr>
        <w:t>/</w:t>
      </w:r>
      <w:r w:rsidR="00C31C09" w:rsidRPr="00721C81">
        <w:rPr>
          <w:i/>
        </w:rPr>
        <w:t>h</w:t>
      </w:r>
      <w:r w:rsidR="00C806C7">
        <w:t xml:space="preserve">) </w:t>
      </w:r>
      <w:r w:rsidR="00C31C09">
        <w:t xml:space="preserve">may be </w:t>
      </w:r>
      <w:r w:rsidR="00721C81">
        <w:t>reduced</w:t>
      </w:r>
      <w:r w:rsidR="00C31C09">
        <w:t xml:space="preserve"> </w:t>
      </w:r>
      <w:r w:rsidR="00721C81">
        <w:t xml:space="preserve">further </w:t>
      </w:r>
      <w:r w:rsidR="00C31C09">
        <w:t xml:space="preserve">on a panel-by-panel basis via subplot </w:t>
      </w:r>
      <w:r w:rsidR="00C31C09" w:rsidRPr="00F76E93">
        <w:rPr>
          <w:i/>
        </w:rPr>
        <w:t>clearances</w:t>
      </w:r>
      <w:r w:rsidR="00C31C09">
        <w:t xml:space="preserve"> specified via </w:t>
      </w:r>
      <w:r w:rsidR="00C31C09" w:rsidRPr="00721C81">
        <w:rPr>
          <w:b/>
        </w:rPr>
        <w:t>–C</w:t>
      </w:r>
      <w:r w:rsidR="00721C81">
        <w:t>.</w:t>
      </w:r>
      <w:r>
        <w:t xml:space="preserve">  </w:t>
      </w:r>
      <w:r w:rsidR="00C31C09">
        <w:t xml:space="preserve">The complexity of your overall plot will dictate if it is preferable to specify the subplot dimension or the </w:t>
      </w:r>
      <w:r w:rsidR="00721C81">
        <w:t>subplot</w:t>
      </w:r>
      <w:r w:rsidR="00C31C09">
        <w:t xml:space="preserve"> dimension.</w:t>
      </w:r>
    </w:p>
    <w:p w14:paraId="35FD5E79" w14:textId="0BE009E5" w:rsidR="009941E1" w:rsidRDefault="00C806C7" w:rsidP="009941E1">
      <w:pPr>
        <w:ind w:left="270" w:hanging="270"/>
        <w:jc w:val="both"/>
      </w:pPr>
      <w:r>
        <w:t>3. A subplot figure</w:t>
      </w:r>
      <w:r w:rsidR="009941E1">
        <w:t xml:space="preserve"> can be </w:t>
      </w:r>
      <w:r w:rsidR="00F76E93">
        <w:t>placed</w:t>
      </w:r>
      <w:r w:rsidR="009941E1">
        <w:t xml:space="preserve"> via absolute or relative positioning </w:t>
      </w:r>
      <w:r w:rsidR="009941E1" w:rsidRPr="009941E1">
        <w:rPr>
          <w:b/>
        </w:rPr>
        <w:t>(-X</w:t>
      </w:r>
      <w:r w:rsidR="009941E1">
        <w:t xml:space="preserve">, </w:t>
      </w:r>
      <w:r w:rsidR="009941E1" w:rsidRPr="009941E1">
        <w:rPr>
          <w:b/>
        </w:rPr>
        <w:t>-Y</w:t>
      </w:r>
      <w:r w:rsidR="009941E1">
        <w:t xml:space="preserve">) so you can plot other items before or after the </w:t>
      </w:r>
      <w:r>
        <w:t>figure</w:t>
      </w:r>
      <w:r w:rsidR="009941E1">
        <w:t xml:space="preserve"> has been placed.  If relative positioning is used then when the subplot completes the plot origin will be at the lower left corner of the figure.</w:t>
      </w:r>
    </w:p>
    <w:p w14:paraId="77A37AD3" w14:textId="77777777" w:rsidR="008E1997" w:rsidRDefault="008E1997" w:rsidP="009941E1">
      <w:pPr>
        <w:ind w:left="270" w:hanging="270"/>
        <w:jc w:val="both"/>
      </w:pPr>
    </w:p>
    <w:p w14:paraId="55ABEA8F" w14:textId="50B0D780" w:rsidR="008E1997" w:rsidRDefault="008E1997" w:rsidP="009941E1">
      <w:pPr>
        <w:ind w:left="270" w:hanging="270"/>
        <w:jc w:val="both"/>
      </w:pPr>
      <w:r>
        <w:t xml:space="preserve">The calculations of dimensions involve determining how much “fluff” is required.  This is a combination of space for ticks, annotations, labels, </w:t>
      </w:r>
      <w:bookmarkStart w:id="0" w:name="_GoBack"/>
      <w:bookmarkEnd w:id="0"/>
      <w:r>
        <w:t xml:space="preserve">column titles, and </w:t>
      </w:r>
      <w:r w:rsidR="00611B05">
        <w:t xml:space="preserve">added clearance </w:t>
      </w:r>
      <w:r w:rsidR="00611B05">
        <w:lastRenderedPageBreak/>
        <w:t>between subplots.  Once the fluff in both x and y have been estimated we can compute the required dimensions:</w:t>
      </w:r>
    </w:p>
    <w:p w14:paraId="328FC622" w14:textId="77777777" w:rsidR="00611B05" w:rsidRDefault="00611B05" w:rsidP="009941E1">
      <w:pPr>
        <w:ind w:left="270" w:hanging="270"/>
        <w:jc w:val="both"/>
      </w:pPr>
    </w:p>
    <w:p w14:paraId="2B48187A" w14:textId="034EAB1E" w:rsidR="00611B05" w:rsidRDefault="00611B05" w:rsidP="009941E1">
      <w:pPr>
        <w:ind w:left="270" w:hanging="270"/>
        <w:jc w:val="both"/>
      </w:pPr>
      <w:r>
        <w:t xml:space="preserve">If </w:t>
      </w:r>
      <w:r w:rsidRPr="00D47EE3">
        <w:rPr>
          <w:b/>
        </w:rPr>
        <w:t>–</w:t>
      </w:r>
      <w:proofErr w:type="spellStart"/>
      <w:r w:rsidRPr="00D47EE3">
        <w:rPr>
          <w:b/>
        </w:rPr>
        <w:t>Ff</w:t>
      </w:r>
      <w:proofErr w:type="spellEnd"/>
      <w:r>
        <w:t>: Remove fluff from given figure dimensions, then split the remainder evenly among the rows and columns.</w:t>
      </w:r>
    </w:p>
    <w:p w14:paraId="79B72D38" w14:textId="4F9613CB" w:rsidR="00611B05" w:rsidRDefault="00611B05" w:rsidP="009941E1">
      <w:pPr>
        <w:ind w:left="270" w:hanging="270"/>
        <w:jc w:val="both"/>
      </w:pPr>
      <w:r>
        <w:t xml:space="preserve">If </w:t>
      </w:r>
      <w:r w:rsidRPr="00D47EE3">
        <w:rPr>
          <w:b/>
        </w:rPr>
        <w:t>–Fs</w:t>
      </w:r>
      <w:r>
        <w:t>: Multiply subplot dimensions by number of rows (and columns), then add the fluff: This gives the figure dimensions.</w:t>
      </w:r>
    </w:p>
    <w:p w14:paraId="4DF87465" w14:textId="77777777" w:rsidR="00611B05" w:rsidRDefault="00611B05" w:rsidP="009941E1">
      <w:pPr>
        <w:ind w:left="270" w:hanging="270"/>
        <w:jc w:val="both"/>
      </w:pPr>
    </w:p>
    <w:p w14:paraId="4B822910" w14:textId="5F1C85B0" w:rsidR="00611B05" w:rsidRDefault="00611B05" w:rsidP="009941E1">
      <w:pPr>
        <w:ind w:left="270" w:hanging="270"/>
        <w:jc w:val="both"/>
      </w:pPr>
      <w:r>
        <w:t>It is possible to specify different subplot dimensions on a per-row and/or per-column level.  The full syntax of the –F option is</w:t>
      </w:r>
    </w:p>
    <w:p w14:paraId="68E1FBA2" w14:textId="77777777" w:rsidR="00611B05" w:rsidRDefault="00611B05" w:rsidP="009941E1">
      <w:pPr>
        <w:ind w:left="270" w:hanging="270"/>
        <w:jc w:val="both"/>
      </w:pPr>
    </w:p>
    <w:p w14:paraId="71A4EE00" w14:textId="56B1C309" w:rsidR="00611B05" w:rsidRDefault="00611B05" w:rsidP="009941E1">
      <w:pPr>
        <w:ind w:left="270" w:hanging="270"/>
        <w:jc w:val="both"/>
      </w:pPr>
      <w:r>
        <w:rPr>
          <w:b/>
        </w:rPr>
        <w:t>–</w:t>
      </w:r>
      <w:r w:rsidRPr="00C01858">
        <w:rPr>
          <w:b/>
        </w:rPr>
        <w:t>F</w:t>
      </w:r>
      <w:r>
        <w:rPr>
          <w:b/>
        </w:rPr>
        <w:t>[</w:t>
      </w:r>
      <w:proofErr w:type="spellStart"/>
      <w:r>
        <w:rPr>
          <w:b/>
        </w:rPr>
        <w:t>f</w:t>
      </w:r>
      <w:proofErr w:type="spellEnd"/>
      <w:r>
        <w:rPr>
          <w:b/>
        </w:rPr>
        <w:t>]</w:t>
      </w:r>
      <w:r w:rsidRPr="00C01858">
        <w:rPr>
          <w:i/>
        </w:rPr>
        <w:t>W/H</w:t>
      </w:r>
      <w:r>
        <w:t>[:</w:t>
      </w:r>
      <w:r w:rsidRPr="00611B05">
        <w:rPr>
          <w:i/>
        </w:rPr>
        <w:t>c</w:t>
      </w:r>
      <w:proofErr w:type="gramStart"/>
      <w:r w:rsidRPr="00611B05">
        <w:rPr>
          <w:i/>
          <w:vertAlign w:val="subscript"/>
        </w:rPr>
        <w:t>1</w:t>
      </w:r>
      <w:r w:rsidRPr="00611B05">
        <w:rPr>
          <w:i/>
        </w:rPr>
        <w:t>,c</w:t>
      </w:r>
      <w:proofErr w:type="gramEnd"/>
      <w:r w:rsidRPr="00611B05">
        <w:rPr>
          <w:i/>
          <w:vertAlign w:val="subscript"/>
        </w:rPr>
        <w:t>2</w:t>
      </w:r>
      <w:r>
        <w:t>,…,</w:t>
      </w:r>
      <w:proofErr w:type="spellStart"/>
      <w:r w:rsidRPr="00611B05">
        <w:rPr>
          <w:i/>
        </w:rPr>
        <w:t>c</w:t>
      </w:r>
      <w:r w:rsidRPr="00611B05">
        <w:rPr>
          <w:i/>
          <w:vertAlign w:val="subscript"/>
        </w:rPr>
        <w:t>n</w:t>
      </w:r>
      <w:proofErr w:type="spellEnd"/>
      <w:r>
        <w:t>/</w:t>
      </w:r>
      <w:r w:rsidRPr="00611B05">
        <w:rPr>
          <w:i/>
        </w:rPr>
        <w:t>r</w:t>
      </w:r>
      <w:r w:rsidRPr="00611B05">
        <w:rPr>
          <w:i/>
          <w:vertAlign w:val="subscript"/>
        </w:rPr>
        <w:t>1</w:t>
      </w:r>
      <w:r w:rsidRPr="00611B05">
        <w:rPr>
          <w:i/>
        </w:rPr>
        <w:t>,r</w:t>
      </w:r>
      <w:r w:rsidRPr="00611B05">
        <w:rPr>
          <w:i/>
          <w:vertAlign w:val="subscript"/>
        </w:rPr>
        <w:t>2</w:t>
      </w:r>
      <w:r>
        <w:t>,…,</w:t>
      </w:r>
      <w:proofErr w:type="spellStart"/>
      <w:r w:rsidRPr="00611B05">
        <w:rPr>
          <w:i/>
        </w:rPr>
        <w:t>r</w:t>
      </w:r>
      <w:r w:rsidRPr="00611B05">
        <w:rPr>
          <w:i/>
          <w:vertAlign w:val="subscript"/>
        </w:rPr>
        <w:t>m</w:t>
      </w:r>
      <w:proofErr w:type="spellEnd"/>
      <w:r>
        <w:t>].</w:t>
      </w:r>
    </w:p>
    <w:p w14:paraId="2697501B" w14:textId="42BA975A" w:rsidR="00611B05" w:rsidRDefault="00611B05" w:rsidP="009941E1">
      <w:pPr>
        <w:ind w:left="270" w:hanging="270"/>
        <w:jc w:val="both"/>
      </w:pPr>
      <w:r>
        <w:tab/>
        <w:t>The optional specifications following the colon specifies how the width and height is to be distributed across columns and rows.  Default is evenly, but you can change that by specifying the fraction of width per column (</w:t>
      </w:r>
      <w:r w:rsidRPr="00611B05">
        <w:rPr>
          <w:i/>
        </w:rPr>
        <w:t>c</w:t>
      </w:r>
      <w:r w:rsidRPr="00611B05">
        <w:rPr>
          <w:i/>
          <w:vertAlign w:val="subscript"/>
        </w:rPr>
        <w:t>1-n</w:t>
      </w:r>
      <w:r>
        <w:t>) and fraction of height per row (</w:t>
      </w:r>
      <w:r w:rsidRPr="00611B05">
        <w:rPr>
          <w:i/>
        </w:rPr>
        <w:t>r</w:t>
      </w:r>
      <w:r w:rsidRPr="00611B05">
        <w:rPr>
          <w:i/>
          <w:vertAlign w:val="subscript"/>
        </w:rPr>
        <w:t>1-m</w:t>
      </w:r>
      <w:r>
        <w:t>).  If only one dimensions should be unequal then give 1 for the other.  For example –Ff4i/4i:3,1/1,2 will make the first column three times as wide as the second, while the second row will be twice as tall as the first row.  The final widths and heights depends on the figure dimensions and the fluff but will be distributed given the fractions provided.</w:t>
      </w:r>
    </w:p>
    <w:p w14:paraId="24E9D5D1" w14:textId="77777777" w:rsidR="00611B05" w:rsidRDefault="00611B05" w:rsidP="009941E1">
      <w:pPr>
        <w:ind w:left="270" w:hanging="270"/>
        <w:jc w:val="both"/>
      </w:pPr>
    </w:p>
    <w:p w14:paraId="38871722" w14:textId="07F791CD" w:rsidR="00611B05" w:rsidRDefault="00611B05" w:rsidP="00611B05">
      <w:pPr>
        <w:ind w:left="270" w:hanging="270"/>
        <w:jc w:val="both"/>
      </w:pPr>
      <w:r>
        <w:rPr>
          <w:b/>
        </w:rPr>
        <w:t>–</w:t>
      </w:r>
      <w:r w:rsidRPr="00C01858">
        <w:rPr>
          <w:b/>
        </w:rPr>
        <w:t>F</w:t>
      </w:r>
      <w:r w:rsidR="00D47EE3">
        <w:rPr>
          <w:b/>
        </w:rPr>
        <w:t>s</w:t>
      </w:r>
      <w:r w:rsidR="00D47EE3">
        <w:rPr>
          <w:i/>
        </w:rPr>
        <w:t>w</w:t>
      </w:r>
      <w:r w:rsidRPr="00611B05">
        <w:rPr>
          <w:i/>
          <w:vertAlign w:val="subscript"/>
        </w:rPr>
        <w:t>1</w:t>
      </w:r>
      <w:proofErr w:type="gramStart"/>
      <w:r w:rsidR="00D47EE3" w:rsidRPr="00D47EE3">
        <w:t>[</w:t>
      </w:r>
      <w:r w:rsidR="00D47EE3">
        <w:rPr>
          <w:i/>
        </w:rPr>
        <w:t>,w</w:t>
      </w:r>
      <w:proofErr w:type="gramEnd"/>
      <w:r w:rsidRPr="00611B05">
        <w:rPr>
          <w:i/>
          <w:vertAlign w:val="subscript"/>
        </w:rPr>
        <w:t>2</w:t>
      </w:r>
      <w:r>
        <w:t>,…,</w:t>
      </w:r>
      <w:proofErr w:type="spellStart"/>
      <w:r w:rsidR="00D47EE3">
        <w:rPr>
          <w:i/>
        </w:rPr>
        <w:t>w</w:t>
      </w:r>
      <w:r w:rsidRPr="00611B05">
        <w:rPr>
          <w:i/>
          <w:vertAlign w:val="subscript"/>
        </w:rPr>
        <w:t>n</w:t>
      </w:r>
      <w:proofErr w:type="spellEnd"/>
      <w:r w:rsidR="00D47EE3">
        <w:t>]/</w:t>
      </w:r>
      <w:r w:rsidR="00D47EE3">
        <w:rPr>
          <w:i/>
        </w:rPr>
        <w:t>h</w:t>
      </w:r>
      <w:r w:rsidRPr="00611B05">
        <w:rPr>
          <w:i/>
          <w:vertAlign w:val="subscript"/>
        </w:rPr>
        <w:t>1</w:t>
      </w:r>
      <w:r w:rsidR="00D47EE3" w:rsidRPr="00D47EE3">
        <w:t>[</w:t>
      </w:r>
      <w:r w:rsidR="00D47EE3">
        <w:rPr>
          <w:i/>
        </w:rPr>
        <w:t>,h</w:t>
      </w:r>
      <w:r w:rsidRPr="00611B05">
        <w:rPr>
          <w:i/>
          <w:vertAlign w:val="subscript"/>
        </w:rPr>
        <w:t>2</w:t>
      </w:r>
      <w:r>
        <w:t>,…,</w:t>
      </w:r>
      <w:proofErr w:type="spellStart"/>
      <w:r w:rsidR="00D47EE3">
        <w:rPr>
          <w:i/>
        </w:rPr>
        <w:t>h</w:t>
      </w:r>
      <w:r w:rsidRPr="00611B05">
        <w:rPr>
          <w:i/>
          <w:vertAlign w:val="subscript"/>
        </w:rPr>
        <w:t>m</w:t>
      </w:r>
      <w:proofErr w:type="spellEnd"/>
      <w:r>
        <w:t>].</w:t>
      </w:r>
    </w:p>
    <w:p w14:paraId="0B4D2BC5" w14:textId="5363552D" w:rsidR="00611B05" w:rsidRDefault="00611B05" w:rsidP="00611B05">
      <w:pPr>
        <w:ind w:left="270" w:hanging="270"/>
        <w:jc w:val="both"/>
      </w:pPr>
      <w:r>
        <w:tab/>
      </w:r>
      <w:r w:rsidR="00D47EE3">
        <w:t xml:space="preserve">Here, one can either give a single width (which is the default) and it will be used for all columns.  Alternatively, you can give comma-separated widths for each column.  Likewise, you can give a single height of a comma-separated list of heights for each row.  The final figure dimensions then </w:t>
      </w:r>
      <w:r w:rsidR="008C0972">
        <w:t>depend</w:t>
      </w:r>
      <w:r w:rsidR="00D47EE3">
        <w:t xml:space="preserve"> on the sum of these plus the fluff.</w:t>
      </w:r>
    </w:p>
    <w:p w14:paraId="1D6F92A8" w14:textId="77777777" w:rsidR="00D47EE3" w:rsidRDefault="00D47EE3" w:rsidP="00611B05">
      <w:pPr>
        <w:ind w:left="270" w:hanging="270"/>
        <w:jc w:val="both"/>
      </w:pPr>
    </w:p>
    <w:sectPr w:rsidR="00D47EE3" w:rsidSect="00C636B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C09"/>
    <w:rsid w:val="00101853"/>
    <w:rsid w:val="00127967"/>
    <w:rsid w:val="00135CF7"/>
    <w:rsid w:val="00152CA5"/>
    <w:rsid w:val="00171247"/>
    <w:rsid w:val="001B20AB"/>
    <w:rsid w:val="00243417"/>
    <w:rsid w:val="00272657"/>
    <w:rsid w:val="002A2A79"/>
    <w:rsid w:val="00305238"/>
    <w:rsid w:val="00344C38"/>
    <w:rsid w:val="00401267"/>
    <w:rsid w:val="00401C68"/>
    <w:rsid w:val="00436C1F"/>
    <w:rsid w:val="004A22BF"/>
    <w:rsid w:val="005D2CA3"/>
    <w:rsid w:val="00611B05"/>
    <w:rsid w:val="0063141D"/>
    <w:rsid w:val="006D7E2A"/>
    <w:rsid w:val="007168D8"/>
    <w:rsid w:val="00721C81"/>
    <w:rsid w:val="007740FE"/>
    <w:rsid w:val="007953E0"/>
    <w:rsid w:val="008C0972"/>
    <w:rsid w:val="008E1997"/>
    <w:rsid w:val="009510C6"/>
    <w:rsid w:val="009941E1"/>
    <w:rsid w:val="00AC446D"/>
    <w:rsid w:val="00AE3C06"/>
    <w:rsid w:val="00B567D9"/>
    <w:rsid w:val="00C01858"/>
    <w:rsid w:val="00C31C09"/>
    <w:rsid w:val="00C636B3"/>
    <w:rsid w:val="00C806C7"/>
    <w:rsid w:val="00CB76C2"/>
    <w:rsid w:val="00CE7A53"/>
    <w:rsid w:val="00D009FB"/>
    <w:rsid w:val="00D175EA"/>
    <w:rsid w:val="00D47EE3"/>
    <w:rsid w:val="00D6461A"/>
    <w:rsid w:val="00D92A12"/>
    <w:rsid w:val="00DB682C"/>
    <w:rsid w:val="00DF6C20"/>
    <w:rsid w:val="00E14337"/>
    <w:rsid w:val="00F65376"/>
    <w:rsid w:val="00F7057F"/>
    <w:rsid w:val="00F76E9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7F7A62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399</Words>
  <Characters>2279</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Notes on GMT subplot figures</vt:lpstr>
    </vt:vector>
  </TitlesOfParts>
  <LinksUpToDate>false</LinksUpToDate>
  <CharactersWithSpaces>2673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Paul Wessel</cp:lastModifiedBy>
  <cp:revision>5</cp:revision>
  <cp:lastPrinted>2017-11-20T21:33:00Z</cp:lastPrinted>
  <dcterms:created xsi:type="dcterms:W3CDTF">2017-08-11T20:04:00Z</dcterms:created>
  <dcterms:modified xsi:type="dcterms:W3CDTF">2017-11-20T21:33:00Z</dcterms:modified>
</cp:coreProperties>
</file>