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药敏实验2025-01-20"/>
    <w:p>
      <w:pPr>
        <w:pStyle w:val="Heading1"/>
      </w:pPr>
      <w:r>
        <w:rPr>
          <w:rFonts w:hint="eastAsia"/>
        </w:rPr>
        <w:t xml:space="preserve">药敏实验（2025-01-20）</w:t>
      </w:r>
    </w:p>
    <w:bookmarkStart w:id="21" w:name="dbet1药敏曲线"/>
    <w:p>
      <w:pPr>
        <w:pStyle w:val="Heading2"/>
      </w:pPr>
      <w:r>
        <w:rPr>
          <w:rFonts w:hint="eastAsia"/>
        </w:rPr>
        <w:t xml:space="preserve">dBET1药敏曲线</w:t>
      </w:r>
    </w:p>
    <w:p>
      <w:pPr>
        <w:pStyle w:val="FirstParagraph"/>
      </w:pPr>
      <w:r>
        <w:rPr>
          <w:rFonts w:hint="eastAsia"/>
        </w:rPr>
        <w:t xml:space="preserve">细胞：[</w:t>
      </w:r>
      <w:r>
        <w:t xml:space="preserve">‘MOLM-13’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初始浓度（μM）：27.0</w:t>
      </w:r>
    </w:p>
    <w:p>
      <w:pPr>
        <w:pStyle w:val="BodyText"/>
      </w:pPr>
      <w:r>
        <w:rPr>
          <w:rFonts w:hint="eastAsia"/>
        </w:rPr>
        <w:t xml:space="preserve">浓度梯度（nM）：[27000.0,</w:t>
      </w:r>
      <w:r>
        <w:t xml:space="preserve"> 9000.0, 3000.0, 1000.0, 333.3333333333333, 111.11111111111111, 37.03703703703704, 12.345679012345679]</w:t>
      </w:r>
    </w:p>
    <w:p>
      <w:pPr>
        <w:pStyle w:val="BodyText"/>
      </w:pPr>
      <w:r>
        <w:rPr>
          <w:rFonts w:hint="eastAsia"/>
        </w:rPr>
        <w:t xml:space="preserve">母液浓度（mM）：10</w:t>
      </w:r>
    </w:p>
    <w:p>
      <w:pPr>
        <w:pStyle w:val="BodyText"/>
      </w:pPr>
      <w:r>
        <w:rPr>
          <w:rFonts w:hint="eastAsia"/>
        </w:rPr>
        <w:t xml:space="preserve">初始浓度配制：13.5/1000，</w:t>
      </w:r>
      <w:r>
        <w:t xml:space="preserve"> </w:t>
      </w:r>
      <w:r>
        <w:rPr>
          <w:rFonts w:hint="eastAsia"/>
        </w:rPr>
        <w:t xml:space="preserve">取7.3μl母液</w:t>
      </w:r>
      <w:r>
        <w:t xml:space="preserve"> </w:t>
      </w:r>
      <w:r>
        <w:rPr>
          <w:rFonts w:hint="eastAsia"/>
        </w:rPr>
        <w:t xml:space="preserve">加入到532.7μl培养基中。</w:t>
      </w:r>
    </w:p>
    <w:bookmarkStart w:id="20" w:name="加药方式"/>
    <w:p>
      <w:pPr>
        <w:pStyle w:val="Heading3"/>
      </w:pPr>
      <w:r>
        <w:rPr>
          <w:rFonts w:hint="eastAsia"/>
        </w:rPr>
        <w:t xml:space="preserve">加药方式</w:t>
      </w:r>
    </w:p>
    <w:p>
      <w:pPr>
        <w:pStyle w:val="FirstParagraph"/>
      </w:pPr>
      <w:r>
        <w:rPr>
          <w:rFonts w:hint="eastAsia"/>
        </w:rPr>
        <w:t xml:space="preserve">15组平行</w:t>
      </w:r>
    </w:p>
    <w:p>
      <w:pPr>
        <w:pStyle w:val="BodyText"/>
      </w:pPr>
      <w:r>
        <w:rPr>
          <w:rFonts w:hint="eastAsia"/>
        </w:rPr>
        <w:t xml:space="preserve">药物：配成5倍浓度；每孔加入20.0μl。</w:t>
      </w:r>
    </w:p>
    <w:p>
      <w:pPr>
        <w:pStyle w:val="BodyText"/>
      </w:pPr>
      <w:r>
        <w:rPr>
          <w:rFonts w:hint="eastAsia"/>
        </w:rPr>
        <w:t xml:space="preserve">药物稀释方式：起始为540.0μl，</w:t>
      </w:r>
      <w:r>
        <w:t xml:space="preserve"> </w:t>
      </w:r>
      <w:r>
        <w:rPr>
          <w:rFonts w:hint="eastAsia"/>
        </w:rPr>
        <w:t xml:space="preserve">取180.0μl加入360.0μl中。</w:t>
      </w:r>
    </w:p>
    <w:p>
      <w:pPr>
        <w:pStyle w:val="BodyText"/>
      </w:pPr>
      <w:r>
        <w:rPr>
          <w:rFonts w:hint="eastAsia"/>
        </w:rPr>
        <w:t xml:space="preserve">细胞：初始密度为1.25×10^5个/ml；每孔加入80.0μl。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2025-01-20T08:58:54Z</dcterms:created>
  <dcterms:modified xsi:type="dcterms:W3CDTF">2025-01-20T08:58:54Z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