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AI Prompt Documentation</w:t>
      </w:r>
    </w:p>
    <w:p>
      <w:r>
        <w:rPr>
          <w:i/>
          <w:color w:val="475569"/>
        </w:rPr>
        <w:t>API Sentinel Intelligent API Monitoring and Alert System</w:t>
      </w:r>
    </w:p>
    <w:p>
      <w:r>
        <w:rPr>
          <w:b/>
        </w:rPr>
        <w:t xml:space="preserve">Purpose and conclusion. </w:t>
      </w:r>
      <w:r>
        <w:t>This document discloses the representative AI prompts used while developing API Sentinel and explains how their output was reviewed. AI-assisted material was treated as a draft: business rules, architecture, code, prompts, and UI behavior were checked against the assignment, automated tests, builds, and live PostgreSQL integration tests before use.</w:t>
      </w:r>
    </w:p>
    <w:p>
      <w:pPr>
        <w:pStyle w:val="Heading1"/>
        <w:spacing w:before="280" w:after="120"/>
      </w:pPr>
      <w:r>
        <w:t>Scope of AI Assistance</w:t>
      </w:r>
    </w:p>
    <w:p>
      <w:r>
        <w:t>AI assistance supported planning, implementation, interface design, and debugging. It did not replace deterministic incident detection, severity assignment, database constraints, or the final review process. No production patient data or API credentials were supplied to prompts.</w:t>
      </w:r>
    </w:p>
    <w:p>
      <w:pPr>
        <w:pStyle w:val="Heading1"/>
        <w:spacing w:before="280" w:after="120"/>
      </w:pPr>
      <w:r>
        <w:t>Representative Development Prompts</w:t>
      </w:r>
    </w:p>
    <w:p>
      <w:pPr>
        <w:pStyle w:val="Heading2"/>
        <w:spacing w:before="200" w:after="120"/>
      </w:pPr>
      <w:r>
        <w:t>Architecture Planning</w:t>
      </w:r>
    </w:p>
    <w:p>
      <w:r>
        <w:rPr>
          <w:b/>
        </w:rPr>
        <w:t xml:space="preserve">Purpose. </w:t>
      </w:r>
      <w:r>
        <w:t>Establish a small, testable design for a two to three day technical assignment.</w:t>
      </w:r>
    </w:p>
    <w:p>
      <w:r>
        <w:rPr>
          <w:b/>
        </w:rPr>
        <w:t xml:space="preserve">Representative prompt. </w:t>
      </w:r>
      <w:r>
        <w:t>Design a modular monolith for an API monitoring system using React, Express, PostgreSQL, deterministic anomaly rules, and an LLM only for human readable explanations. Explain module boundaries, API contracts, failure handling, and test strategy without proposing microservices.</w:t>
      </w:r>
    </w:p>
    <w:p>
      <w:pPr>
        <w:pStyle w:val="Heading2"/>
        <w:spacing w:before="200" w:after="120"/>
      </w:pPr>
      <w:r>
        <w:t>Business Logic</w:t>
      </w:r>
    </w:p>
    <w:p>
      <w:r>
        <w:rPr>
          <w:b/>
        </w:rPr>
        <w:t xml:space="preserve">Purpose. </w:t>
      </w:r>
      <w:r>
        <w:t>Translate the assignment into explicit, auditable rules.</w:t>
      </w:r>
    </w:p>
    <w:p>
      <w:r>
        <w:rPr>
          <w:b/>
        </w:rPr>
        <w:t xml:space="preserve">Representative prompt. </w:t>
      </w:r>
      <w:r>
        <w:t>Define deterministic rules for HTTP failures, high latency, and zero records. Propose severity rules for single and combined anomalies, a stable incident fingerprint, and duplicate aggregation behavior. Keep the detector independent of HTTP, database, and LLM code.</w:t>
      </w:r>
    </w:p>
    <w:p>
      <w:pPr>
        <w:pStyle w:val="Heading2"/>
        <w:spacing w:before="200" w:after="120"/>
      </w:pPr>
      <w:r>
        <w:t>Code Generation</w:t>
      </w:r>
    </w:p>
    <w:p>
      <w:r>
        <w:rPr>
          <w:b/>
        </w:rPr>
        <w:t xml:space="preserve">Purpose. </w:t>
      </w:r>
      <w:r>
        <w:t>Accelerate implementation while preserving project conventions.</w:t>
      </w:r>
    </w:p>
    <w:p>
      <w:r>
        <w:rPr>
          <w:b/>
        </w:rPr>
        <w:t xml:space="preserve">Representative prompt. </w:t>
      </w:r>
      <w:r>
        <w:t>Implement a TypeScript Express monitoring service that receives a validated API health event, detects anomalies, assigns severity, builds a fingerprint, creates or updates an incident, and returns a typed result. Keep SQL in the repository layer and add unit tests.</w:t>
      </w:r>
    </w:p>
    <w:p>
      <w:pPr>
        <w:pStyle w:val="Heading2"/>
        <w:spacing w:before="200" w:after="120"/>
      </w:pPr>
      <w:r>
        <w:t>Prompt Design</w:t>
      </w:r>
    </w:p>
    <w:p>
      <w:r>
        <w:rPr>
          <w:b/>
        </w:rPr>
        <w:t xml:space="preserve">Purpose. </w:t>
      </w:r>
      <w:r>
        <w:t>Constrain LLM alert generation to supplied telemetry facts.</w:t>
      </w:r>
    </w:p>
    <w:p>
      <w:r>
        <w:rPr>
          <w:b/>
        </w:rPr>
        <w:t xml:space="preserve">Representative prompt. </w:t>
      </w:r>
      <w:r>
        <w:t>Generate one concise human readable operational alert from the supplied API name, status code, response time, records returned, anomaly types, and severity. Use only these facts. Do not infer root cause, do not claim unsupported certainty, and do not include markdown or a heading.</w:t>
      </w:r>
    </w:p>
    <w:p>
      <w:pPr>
        <w:pStyle w:val="Heading2"/>
        <w:spacing w:before="200" w:after="120"/>
      </w:pPr>
      <w:r>
        <w:t>UI Generation</w:t>
      </w:r>
    </w:p>
    <w:p>
      <w:r>
        <w:rPr>
          <w:b/>
        </w:rPr>
        <w:t xml:space="preserve">Purpose. </w:t>
      </w:r>
      <w:r>
        <w:t>Create an operational dashboard rather than a marketing page.</w:t>
      </w:r>
    </w:p>
    <w:p>
      <w:r>
        <w:rPr>
          <w:b/>
        </w:rPr>
        <w:t xml:space="preserve">Representative prompt. </w:t>
      </w:r>
      <w:r>
        <w:t>Build a React monitoring dashboard with three summary cards, a dense incident table, semantic severity badges, loading, empty, and error states, automatic polling, and a right side detail sheet. Prioritize scanability, keyboard access, responsive table scrolling, and restrained color use.</w:t>
      </w:r>
    </w:p>
    <w:p>
      <w:pPr>
        <w:pStyle w:val="Heading2"/>
        <w:spacing w:before="200" w:after="120"/>
      </w:pPr>
      <w:r>
        <w:t>Debugging</w:t>
      </w:r>
    </w:p>
    <w:p>
      <w:r>
        <w:rPr>
          <w:b/>
        </w:rPr>
        <w:t xml:space="preserve">Purpose. </w:t>
      </w:r>
      <w:r>
        <w:t>Investigate a duplicate incident race found in batch simulation.</w:t>
      </w:r>
    </w:p>
    <w:p>
      <w:r>
        <w:rPr>
          <w:b/>
        </w:rPr>
        <w:t xml:space="preserve">Representative prompt. </w:t>
      </w:r>
      <w:r>
        <w:t>Repeated identical events processed concurrently create duplicate active incidents because each request observes no existing row. Propose a PostgreSQL safe fix that preserves occurrence counts. Include a migration and an integration test for two identical events in one batch.</w:t>
      </w:r>
    </w:p>
    <w:p>
      <w:pPr>
        <w:pStyle w:val="Heading1"/>
        <w:spacing w:before="280" w:after="120"/>
      </w:pPr>
      <w:r>
        <w:t>Operational LLM Request</w:t>
      </w:r>
    </w:p>
    <w:p>
      <w:r>
        <w:t>The production adapter sends high level behavior constraints through the Responses API instructions parameter and serializes only the telemetry context as input. The adapter reads the SDK output text helper, rejects an empty response, and lets the monitoring service persist a deterministic fallback if the request fails.</w:t>
      </w:r>
    </w:p>
    <w:tbl>
      <w:tblPr>
        <w:tblStyle w:val="TableGrid"/>
        <w:tblW w:type="auto" w:w="0"/>
        <w:jc w:val="center"/>
        <w:tblLook w:firstColumn="1" w:firstRow="1" w:lastColumn="0" w:lastRow="0" w:noHBand="0" w:noVBand="1" w:val="04A0"/>
      </w:tblPr>
      <w:tblGrid>
        <w:gridCol w:w="4997"/>
        <w:gridCol w:w="4997"/>
      </w:tblGrid>
      <w:tr>
        <w:tc>
          <w:tcPr>
            <w:tcW w:type="dxa" w:w="1944"/>
            <w:vAlign w:val="center"/>
            <w:shd w:fill="1E3A5F"/>
          </w:tcPr>
          <w:p>
            <w:pPr>
              <w:spacing w:after="0"/>
            </w:pPr>
            <w:r/>
            <w:r>
              <w:rPr>
                <w:b/>
                <w:color w:val="FFFFFF"/>
                <w:sz w:val="19"/>
              </w:rPr>
              <w:t>Request part</w:t>
            </w:r>
          </w:p>
        </w:tc>
        <w:tc>
          <w:tcPr>
            <w:tcW w:type="dxa" w:w="8136"/>
            <w:vAlign w:val="center"/>
            <w:shd w:fill="1E3A5F"/>
          </w:tcPr>
          <w:p>
            <w:pPr>
              <w:spacing w:after="0"/>
            </w:pPr>
            <w:r/>
            <w:r>
              <w:rPr>
                <w:b/>
                <w:color w:val="FFFFFF"/>
                <w:sz w:val="19"/>
              </w:rPr>
              <w:t>Implementation</w:t>
            </w:r>
          </w:p>
        </w:tc>
      </w:tr>
      <w:tr>
        <w:tc>
          <w:tcPr>
            <w:tcW w:type="dxa" w:w="4997"/>
            <w:vAlign w:val="center"/>
            <w:shd w:fill="EAF2F8"/>
          </w:tcPr>
          <w:p>
            <w:pPr>
              <w:spacing w:after="0"/>
            </w:pPr>
            <w:r/>
            <w:r>
              <w:rPr>
                <w:b/>
                <w:sz w:val="19"/>
              </w:rPr>
              <w:t>Instructions</w:t>
            </w:r>
          </w:p>
        </w:tc>
        <w:tc>
          <w:tcPr>
            <w:tcW w:type="dxa" w:w="4997"/>
            <w:vAlign w:val="center"/>
          </w:tcPr>
          <w:p>
            <w:pPr>
              <w:spacing w:after="0"/>
            </w:pPr>
            <w:r/>
            <w:r>
              <w:rPr>
                <w:b w:val="0"/>
                <w:sz w:val="19"/>
              </w:rPr>
              <w:t>Generate one concise human readable operational alert. Use only the supplied telemetry facts. Do not infer a root cause or claim certainty beyond the evidence. Do not include markdown or a heading.</w:t>
            </w:r>
          </w:p>
        </w:tc>
      </w:tr>
      <w:tr>
        <w:tc>
          <w:tcPr>
            <w:tcW w:type="dxa" w:w="4997"/>
            <w:vAlign w:val="center"/>
            <w:shd w:fill="EAF2F8"/>
          </w:tcPr>
          <w:p>
            <w:pPr>
              <w:spacing w:after="0"/>
            </w:pPr>
            <w:r/>
            <w:r>
              <w:rPr>
                <w:b/>
                <w:sz w:val="19"/>
              </w:rPr>
              <w:t>Input</w:t>
            </w:r>
          </w:p>
        </w:tc>
        <w:tc>
          <w:tcPr>
            <w:tcW w:type="dxa" w:w="4997"/>
            <w:vAlign w:val="center"/>
          </w:tcPr>
          <w:p>
            <w:pPr>
              <w:spacing w:after="0"/>
            </w:pPr>
            <w:r/>
            <w:r>
              <w:rPr>
                <w:b w:val="0"/>
                <w:sz w:val="19"/>
              </w:rPr>
              <w:t>A JSON object containing api_name, status_code, response_time_ms, records_returned, anomalies, and severity.</w:t>
            </w:r>
          </w:p>
        </w:tc>
      </w:tr>
      <w:tr>
        <w:tc>
          <w:tcPr>
            <w:tcW w:type="dxa" w:w="4997"/>
            <w:vAlign w:val="center"/>
            <w:shd w:fill="EAF2F8"/>
          </w:tcPr>
          <w:p>
            <w:pPr>
              <w:spacing w:after="0"/>
            </w:pPr>
            <w:r/>
            <w:r>
              <w:rPr>
                <w:b/>
                <w:sz w:val="19"/>
              </w:rPr>
              <w:t>Failure path</w:t>
            </w:r>
          </w:p>
        </w:tc>
        <w:tc>
          <w:tcPr>
            <w:tcW w:type="dxa" w:w="4997"/>
            <w:vAlign w:val="center"/>
          </w:tcPr>
          <w:p>
            <w:pPr>
              <w:spacing w:after="0"/>
            </w:pPr>
            <w:r/>
            <w:r>
              <w:rPr>
                <w:b w:val="0"/>
                <w:sz w:val="19"/>
              </w:rPr>
              <w:t>Missing key, timeout, provider error, invalid output, or empty output results in a deterministic fallback alert and alert_source FALLBACK.</w:t>
            </w:r>
          </w:p>
        </w:tc>
      </w:tr>
    </w:tbl>
    <w:p>
      <w:pPr>
        <w:pStyle w:val="Heading1"/>
        <w:spacing w:before="280" w:after="120"/>
      </w:pPr>
      <w:r>
        <w:t>Review and Validation</w:t>
      </w:r>
    </w:p>
    <w:p>
      <w:pPr>
        <w:pStyle w:val="ListBullet"/>
      </w:pPr>
      <w:r>
        <w:t>Cross-checked scope and business rules against the original assignment and project analysis documents.</w:t>
      </w:r>
    </w:p>
    <w:p>
      <w:pPr>
        <w:pStyle w:val="ListBullet"/>
      </w:pPr>
      <w:r>
        <w:t>Reviewed generated code for dependency boundaries, parameterized SQL, environment variable handling, and no browser exposure of API keys.</w:t>
      </w:r>
    </w:p>
    <w:p>
      <w:pPr>
        <w:pStyle w:val="ListBullet"/>
      </w:pPr>
      <w:r>
        <w:t>Ran backend TypeScript builds, unit tests, and PostgreSQL-backed integration tests for validation, anomalies, severity, deduplication, alerts, and fallback behavior.</w:t>
      </w:r>
    </w:p>
    <w:p>
      <w:pPr>
        <w:pStyle w:val="ListBullet"/>
      </w:pPr>
      <w:r>
        <w:t>Ran frontend lint and production builds; reviewed loading, empty, error, table, and detail-sheet states for accessibility and responsive behavior.</w:t>
      </w:r>
    </w:p>
    <w:p>
      <w:pPr>
        <w:pStyle w:val="ListBullet"/>
      </w:pPr>
      <w:r>
        <w:t>Ran the event simulator against the local API and corrected a concurrent duplicate-aggregation race with a database constraint and atomic upsert.</w:t>
      </w:r>
    </w:p>
    <w:p>
      <w:pPr>
        <w:pStyle w:val="Heading1"/>
        <w:spacing w:before="280" w:after="120"/>
      </w:pPr>
      <w:r>
        <w:t>Limitations and Ongoing Review</w:t>
      </w:r>
    </w:p>
    <w:p>
      <w:r>
        <w:t>LLM output is non-deterministic and is not used to determine incident existence or severity. Prompt changes should be reviewed like code, covered by representative tests, and evaluated against supplied telemetry facts. The configurable model identifier is intentionally kept in environment configuration rather than embedded in the monitoring domain.</w:t>
      </w: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API Sentinel  AI usage disclosure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