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GESTIÓN DEL CAMBIO EN EQUIPOS DE SEGUROS DE PERSONAS: EL MODELO DE KOTTER</w:t>
      </w:r>
    </w:p>
    <w:p/>
    <w:p>
      <w:r>
        <w:rPr>
          <w:i/>
          <w:color w:val="646464"/>
          <w:sz w:val="20"/>
        </w:rPr>
        <w:t>Fecha: 2026-09-30 | Área: Gestión y liderazgo operativo | Lectura estimada: 12 minutos</w:t>
      </w:r>
    </w:p>
    <w:p/>
    <w:p>
      <w:r>
        <w:rPr>
          <w:color w:val="B4B4B4"/>
        </w:rPr>
        <w:t>----------------------------------------</w:t>
      </w:r>
    </w:p>
    <w:p>
      <w:r>
        <w:rPr>
          <w:b/>
          <w:color w:val="1A5276"/>
          <w:sz w:val="24"/>
        </w:rPr>
        <w:t>1) CONCEPTO</w:t>
      </w:r>
    </w:p>
    <w:p>
      <w:pPr>
        <w:spacing w:line="276" w:lineRule="auto" w:after="80"/>
      </w:pPr>
      <w:r>
        <w:t>El Modelo de 8 Pasos para la Gestión del Cambio de John P. Kotter es una metodología estructurada y secuencial diseñada para implementar transformaciones organizacionales de manera exitosa. Desarrollado por el profesor de Harvard Business School, este modelo propone que el cambio efectivo no es un evento aislado, sino un proceso que requiere una planificación y ejecución cuidadosas a través de una serie de etapas interconectadas. Su objetivo es superar la resistencia natural al cambio y asegurar que las nuevas prácticas se arraiguen en la cultura de la organización. En el dinámico sector de seguros de personas, donde la adaptación a nuevas regulaciones, tecnologías y expectativas del cliente es constante, la aplicación de un marco como el de Kotter se vuelve crucial para liderar a tu equipo a través de transiciones complejas.</w:t>
      </w:r>
    </w:p>
    <w:p/>
    <w:p>
      <w:r>
        <w:rPr>
          <w:color w:val="B4B4B4"/>
        </w:rPr>
        <w:t>----------------------------------------</w:t>
      </w:r>
    </w:p>
    <w:p>
      <w:r>
        <w:rPr>
          <w:b/>
          <w:color w:val="1A5276"/>
          <w:sz w:val="24"/>
        </w:rPr>
        <w:t>2) FÓRMULA / COMPONENTES / MECÁNICA</w:t>
      </w:r>
    </w:p>
    <w:p>
      <w:pPr>
        <w:spacing w:line="276" w:lineRule="auto" w:after="80"/>
      </w:pPr>
      <w:r>
        <w:t>El modelo de Kotter se compone de ocho pasos fundamentales que deben seguirse en orden para maximizar las posibilidades de éxito del cambio:</w:t>
      </w:r>
    </w:p>
    <w:p/>
    <w:p>
      <w:pPr>
        <w:spacing w:line="276" w:lineRule="auto" w:after="80"/>
      </w:pPr>
      <w:r>
        <w:t>1.  Crear un sentido de urgencia: Ayudá a tu equipo a ver la necesidad del cambio, identificando y discutiendo crisis potenciales, oportunidades o tendencias del mercado. Esto genera la motivación inicial.</w:t>
      </w:r>
    </w:p>
    <w:p>
      <w:pPr>
        <w:spacing w:line="276" w:lineRule="auto" w:after="80"/>
      </w:pPr>
      <w:r>
        <w:t>2.  Formar una coalición guía: Reuní un grupo de líderes influyentes y comprometidos de diferentes áreas y niveles, con suficiente poder para liderar el esfuerzo de cambio.</w:t>
      </w:r>
    </w:p>
    <w:p>
      <w:pPr>
        <w:spacing w:line="276" w:lineRule="auto" w:after="80"/>
      </w:pPr>
      <w:r>
        <w:t>3.  Desarrollar una visión y estrategia: Creá una visión clara y concisa del futuro deseado y una estrategia para lograrlo. La visión debe ser fácil de entender y atractiva.</w:t>
      </w:r>
    </w:p>
    <w:p>
      <w:pPr>
        <w:spacing w:line="276" w:lineRule="auto" w:after="80"/>
      </w:pPr>
      <w:r>
        <w:t>4.  Comunicar la visión del cambio: Difundí la visión y las estrategias utilizando todos los canales posibles, repitiéndola con frecuencia y modelando el comportamiento deseado.</w:t>
      </w:r>
    </w:p>
    <w:p>
      <w:pPr>
        <w:spacing w:line="276" w:lineRule="auto" w:after="80"/>
      </w:pPr>
      <w:r>
        <w:t>5.  Eliminar los obstáculos: Identificá y remové barreras que impidan el cambio, ya sean estructuras organizacionales, procesos, sistemas o personas resistentes.</w:t>
      </w:r>
    </w:p>
    <w:p>
      <w:pPr>
        <w:spacing w:line="276" w:lineRule="auto" w:after="80"/>
      </w:pPr>
      <w:r>
        <w:t>6.  Asegurar triunfos a corto plazo: Planificá y celebrá victorias visibles y rápidas. Esto genera impulso, refuerza la confianza y valida los esfuerzos.</w:t>
      </w:r>
    </w:p>
    <w:p>
      <w:pPr>
        <w:spacing w:line="276" w:lineRule="auto" w:after="80"/>
      </w:pPr>
      <w:r>
        <w:t>7.  Construir sobre el cambio: No declarés la victoria prematuramente. Utilizá los logros iniciales como base para impulsar más cambios, consolidando mejoras y ajustando la visión si es necesario.</w:t>
      </w:r>
    </w:p>
    <w:p>
      <w:pPr>
        <w:spacing w:line="276" w:lineRule="auto" w:after="80"/>
      </w:pPr>
      <w:r>
        <w:t>8.  Anclar el cambio en la cultura de la empresa: Asegurá que los nuevos comportamientos y valores se integren en la cultura organizacional, demostrando cómo el cambio ha llevado al éxito y asegurando la sucesión de líderes que encarnen la nueva cultura.</w:t>
      </w:r>
    </w:p>
    <w:p/>
    <w:p>
      <w:r>
        <w:rPr>
          <w:color w:val="B4B4B4"/>
        </w:rPr>
        <w:t>----------------------------------------</w:t>
      </w:r>
    </w:p>
    <w:p>
      <w:r>
        <w:rPr>
          <w:b/>
          <w:color w:val="1A5276"/>
          <w:sz w:val="24"/>
        </w:rPr>
        <w:t>3) APLICABILIDAD POR RAMO / CONTEXTO</w:t>
      </w:r>
    </w:p>
    <w:p>
      <w:pPr>
        <w:spacing w:line="276" w:lineRule="auto" w:after="80"/>
      </w:pPr>
      <w:r>
        <w:t>El modelo de Kotter es altamente aplicable en una Gerencia de Seguros de Personas y Retiro para gestionar diversas iniciativas de cambio:</w:t>
      </w:r>
    </w:p>
    <w:p/>
    <w:p>
      <w:pPr>
        <w:spacing w:line="276" w:lineRule="auto" w:after="80"/>
      </w:pPr>
      <w:r>
        <w:t>-   Vida: Implementación de nuevas plataformas de suscripción digital, cambios en los procesos de gestión de pólizas o la introducción de productos de Vida con componentes de inversión.</w:t>
      </w:r>
    </w:p>
    <w:p>
      <w:pPr>
        <w:spacing w:line="276" w:lineRule="auto" w:after="80"/>
      </w:pPr>
      <w:r>
        <w:t>-   Retiro: Adaptación a nuevas regulaciones sobre planes de ahorro y retiro, integración de sistemas para la gestión de rentas vitalicias o la optimización de procesos de pago de beneficios.</w:t>
      </w:r>
    </w:p>
    <w:p>
      <w:pPr>
        <w:spacing w:line="276" w:lineRule="auto" w:after="80"/>
      </w:pPr>
      <w:r>
        <w:t>-   Accidentes Personales (AP): Despliegue de herramientas de telemetría para tarificación dinámica, automatización de la gestión de siniestros menores o la incorporación de nuevos canales de venta digital.</w:t>
      </w:r>
    </w:p>
    <w:p>
      <w:pPr>
        <w:spacing w:line="276" w:lineRule="auto" w:after="80"/>
      </w:pPr>
      <w:r>
        <w:t>-   Salud: Integración de sistemas de gestión de prestadores, implementación de programas de bienestar y prevención basados en datos o la adaptación a cambios en la cobertura médica obligatoria.</w:t>
      </w:r>
    </w:p>
    <w:p/>
    <w:p>
      <w:pPr>
        <w:spacing w:line="276" w:lineRule="auto" w:after="80"/>
      </w:pPr>
      <w:r>
        <w:t>En general, cualquier proyecto que implique un cambio significativo en la forma de trabajar, la tecnología utilizada o la estrategia de negocio, se beneficia de este enfoque estructurado.</w:t>
      </w:r>
    </w:p>
    <w:p/>
    <w:p>
      <w:r>
        <w:rPr>
          <w:color w:val="B4B4B4"/>
        </w:rPr>
        <w:t>----------------------------------------</w:t>
      </w:r>
    </w:p>
    <w:p>
      <w:r>
        <w:rPr>
          <w:b/>
          <w:color w:val="1A5276"/>
          <w:sz w:val="24"/>
        </w:rPr>
        <w:t>4) EJEMPLO NUMÉRICO O CASO CONCRETO</w:t>
      </w:r>
    </w:p>
    <w:p>
      <w:pPr>
        <w:spacing w:line="276" w:lineRule="auto" w:after="80"/>
      </w:pPr>
      <w:r>
        <w:t>Imaginá que tu gerencia debe implementar un nuevo sistema de gestión de siniestros para los ramos de Vida y Accidentes Personales, con el objetivo de reducir los tiempos de respuesta y mejorar la experiencia del asegurado.</w:t>
      </w:r>
    </w:p>
    <w:p/>
    <w:p>
      <w:pPr>
        <w:spacing w:line="276" w:lineRule="auto" w:after="80"/>
      </w:pPr>
      <w:r>
        <w:t>1.  Urgencia: Presentás datos que muestran un aumento del 25% en el tiempo promedio de resolución de siniestros en los últimos 12 meses y un 15% de incremento en las quejas de asegurados.</w:t>
      </w:r>
    </w:p>
    <w:p>
      <w:pPr>
        <w:spacing w:line="276" w:lineRule="auto" w:after="80"/>
      </w:pPr>
      <w:r>
        <w:t>2.  Coalición: Formás un equipo con el jefe de siniestros, un referente de IT, un actuario de producto y un especialista legal, todos con fuerte influencia en sus áreas.</w:t>
      </w:r>
    </w:p>
    <w:p>
      <w:pPr>
        <w:spacing w:line="276" w:lineRule="auto" w:after="80"/>
      </w:pPr>
      <w:r>
        <w:t>3.  Visión: "Ser la gerencia con el proceso de siniestros más ágil y transparente del mercado, reduciendo el tiempo de resolución en un 40% y aumentando la satisfacción del asegurado en 20% en 18 meses".</w:t>
      </w:r>
    </w:p>
    <w:p>
      <w:pPr>
        <w:spacing w:line="276" w:lineRule="auto" w:after="80"/>
      </w:pPr>
      <w:r>
        <w:t>4.  Comunicación: Realizás reuniones semanales, enviás newsletters con avances y creás un espacio en la intranet para preguntas frecuentes, siempre reforzando la visión.</w:t>
      </w:r>
    </w:p>
    <w:p>
      <w:pPr>
        <w:spacing w:line="276" w:lineRule="auto" w:after="80"/>
      </w:pPr>
      <w:r>
        <w:t>5.  Obstáculos: Identificás que la resistencia al cambio de algunos analistas es alta. Implementás capacitaciones intensivas y reasignás roles para aquellos más reacios, mientras ofrecés incentivos a los que adoptan el nuevo sistema rápidamente.</w:t>
      </w:r>
    </w:p>
    <w:p>
      <w:pPr>
        <w:spacing w:line="276" w:lineRule="auto" w:after="80"/>
      </w:pPr>
      <w:r>
        <w:t>6.  Triunfos: Tras tres meses, lográs reducir el tiempo de resolución de siniestros de AP en un 15% en un piloto con un equipo reducido. Celebrás este logro con un reconocimiento público al equipo piloto.</w:t>
      </w:r>
    </w:p>
    <w:p>
      <w:pPr>
        <w:spacing w:line="276" w:lineRule="auto" w:after="80"/>
      </w:pPr>
      <w:r>
        <w:t>7.  Construir: Extendés el piloto al ramo de Vida, incorporando las lecciones aprendidas. Continuás monitoreando los KPIs y ajustando los procesos.</w:t>
      </w:r>
    </w:p>
    <w:p>
      <w:pPr>
        <w:spacing w:line="276" w:lineRule="auto" w:after="80"/>
      </w:pPr>
      <w:r>
        <w:t>8.  Anclar: Modificás los manuales de procedimiento, incorporás el uso del nuevo sistema en las descripciones de puesto y lo incluís como métrica clave en la evaluación de desempeño anual, asegurando que la agilidad en siniestros se convierta en un valor central.</w:t>
      </w:r>
    </w:p>
    <w:p/>
    <w:p>
      <w:r>
        <w:rPr>
          <w:color w:val="B4B4B4"/>
        </w:rPr>
        <w:t>----------------------------------------</w:t>
      </w:r>
    </w:p>
    <w:p>
      <w:r>
        <w:rPr>
          <w:b/>
          <w:color w:val="1A5276"/>
          <w:sz w:val="24"/>
        </w:rPr>
        <w:t>5) APLICACIÓN PRÁCTICA PARA UN LÍDER DE EQUIPO</w:t>
      </w:r>
    </w:p>
    <w:p>
      <w:pPr>
        <w:spacing w:line="276" w:lineRule="auto" w:after="80"/>
      </w:pPr>
      <w:r>
        <w:t>Como líder de equipo, tu rol es fundamental en cada paso. Considerá lo siguiente:</w:t>
      </w:r>
    </w:p>
    <w:p/>
    <w:p>
      <w:pPr>
        <w:spacing w:line="276" w:lineRule="auto" w:after="80"/>
      </w:pPr>
      <w:r>
        <w:t>-   Diagnóstico: Antes de iniciar, evaluá la preparación de tu equipo para el cambio. ¿Existe una comprensión clara de por qué es necesario cambiar?</w:t>
      </w:r>
    </w:p>
    <w:p>
      <w:pPr>
        <w:spacing w:line="276" w:lineRule="auto" w:after="80"/>
      </w:pPr>
      <w:r>
        <w:t>-   Empoderamiento: Identificá y empoderá a los "agentes de cambio" dentro de tu equipo, aquellos que pueden influir positivamente en sus pares.</w:t>
      </w:r>
    </w:p>
    <w:p>
      <w:pPr>
        <w:spacing w:line="276" w:lineRule="auto" w:after="80"/>
      </w:pPr>
      <w:r>
        <w:t>-   Comunicación Constante: No subestimes la necesidad de comunicar la visión del cambio de forma repetida y consistente, adaptando el mensaje a las preocupaciones específicas de cada sub-equipo.</w:t>
      </w:r>
    </w:p>
    <w:p>
      <w:pPr>
        <w:spacing w:line="276" w:lineRule="auto" w:after="80"/>
      </w:pPr>
      <w:r>
        <w:t>-   Gestión de la Resistencia: Anticipá y gestioná la resistencia al cambio. Esto puede implicar escuchar activamente, ofrecer capacitación adicional o incluso reasignar tareas.</w:t>
      </w:r>
    </w:p>
    <w:p>
      <w:pPr>
        <w:spacing w:line="276" w:lineRule="auto" w:after="80"/>
      </w:pPr>
      <w:r>
        <w:t>-   Celebración de Hitos: Asegurate de reconocer y celebrar los pequeños y grandes logros para mantener la moral y el impulso.</w:t>
      </w:r>
    </w:p>
    <w:p>
      <w:pPr>
        <w:spacing w:line="276" w:lineRule="auto" w:after="80"/>
      </w:pPr>
      <w:r>
        <w:t>-   KPIs: Establecé indicadores clave de rendimiento (KPIs) claros para medir el progreso del cambio y compartí los resultados con tu equipo y tu superior directo. Esto te permitirá justificar la inversión de recursos y demostrar el valor del proceso.</w:t>
      </w:r>
    </w:p>
    <w:p/>
    <w:p>
      <w:r>
        <w:rPr>
          <w:color w:val="B4B4B4"/>
        </w:rPr>
        <w:t>----------------------------------------</w:t>
      </w:r>
    </w:p>
    <w:p>
      <w:r>
        <w:rPr>
          <w:b/>
          <w:color w:val="1A5276"/>
          <w:sz w:val="24"/>
        </w:rPr>
        <w:t>6) ERRORES COMUNES O PUNTOS CIEGOS</w:t>
      </w:r>
    </w:p>
    <w:p>
      <w:pPr>
        <w:spacing w:line="276" w:lineRule="auto" w:after="80"/>
      </w:pPr>
      <w:r>
        <w:t>-   No crear suficiente urgencia: Si tu equipo no percibe una necesidad real de cambio, la iniciativa carecerá de la energía necesaria para despegar.</w:t>
      </w:r>
    </w:p>
    <w:p>
      <w:pPr>
        <w:spacing w:line="276" w:lineRule="auto" w:after="80"/>
      </w:pPr>
      <w:r>
        <w:t>-   Subestimar el poder de la resistencia: La resistencia no siempre es explícita; a menudo se manifiesta como inercia, apatía o sabotaje pasivo.</w:t>
      </w:r>
    </w:p>
    <w:p>
      <w:pPr>
        <w:spacing w:line="276" w:lineRule="auto" w:after="80"/>
      </w:pPr>
      <w:r>
        <w:t>-   Comunicación deficiente: Asumir que una única comunicación es suficiente o no adaptar el mensaje a diferentes audiencias.</w:t>
      </w:r>
    </w:p>
    <w:p>
      <w:pPr>
        <w:spacing w:line="276" w:lineRule="auto" w:after="80"/>
      </w:pPr>
      <w:r>
        <w:t>-   No celebrar los triunfos a corto plazo: Sin estas "victorias", el equipo puede desmotivarse y perder la fe en el proceso.</w:t>
      </w:r>
    </w:p>
    <w:p>
      <w:pPr>
        <w:spacing w:line="276" w:lineRule="auto" w:after="80"/>
      </w:pPr>
      <w:r>
        <w:t>-   Declarar la victoria demasiado pronto: El cambio no está consolidado hasta que se ancla en la cultura, y retroceder es fácil si no se refuerza continuamente.</w:t>
      </w:r>
    </w:p>
    <w:p>
      <w:pPr>
        <w:spacing w:line="276" w:lineRule="auto" w:after="80"/>
      </w:pPr>
      <w:r>
        <w:t>-   No involucrar a los stakeholders clave: La falta de una coalición guía fuerte y diversa puede llevar a la falta de apoyo y recursos.</w:t>
      </w:r>
    </w:p>
    <w:p/>
    <w:p>
      <w:r>
        <w:rPr>
          <w:color w:val="B4B4B4"/>
        </w:rPr>
        <w:t>----------------------------------------</w:t>
      </w:r>
    </w:p>
    <w:p>
      <w:r>
        <w:rPr>
          <w:b/>
          <w:color w:val="1A5276"/>
          <w:sz w:val="24"/>
        </w:rPr>
        <w:t>7) EN UNA LÍNEA</w:t>
      </w:r>
    </w:p>
    <w:p>
      <w:pPr>
        <w:spacing w:line="276" w:lineRule="auto" w:after="80"/>
      </w:pPr>
      <w:r>
        <w:t>El modelo de 8 pasos de Kotter es una hoja de ruta estructurada para liderar exitosamente el cambio organizacional, fundamental en la dinámica industria de seguros.</w:t>
      </w:r>
    </w:p>
    <w:p/>
    <w:p>
      <w:r>
        <w:rPr>
          <w:color w:val="B4B4B4"/>
        </w:rPr>
        <w:t>----------------------------------------</w:t>
      </w:r>
    </w:p>
    <w:p>
      <w:r>
        <w:rPr>
          <w:b/>
          <w:color w:val="1A5276"/>
          <w:sz w:val="24"/>
        </w:rPr>
        <w:t>FUENTES DE REFERENCIA</w:t>
      </w:r>
    </w:p>
    <w:p>
      <w:pPr>
        <w:spacing w:line="276" w:lineRule="auto" w:after="80"/>
      </w:pPr>
      <w:r>
        <w:t>- Kotter, John P. (1996). Leading Change. Harvard Business Review Press.</w:t>
      </w:r>
    </w:p>
    <w:p>
      <w:pPr>
        <w:spacing w:line="276" w:lineRule="auto" w:after="80"/>
      </w:pPr>
      <w:r>
        <w:t>- Harvard Business Review. Artículos sobre gestión del cambio y liderazgo.</w:t>
      </w:r>
    </w:p>
    <w:p>
      <w:pPr>
        <w:spacing w:line="276" w:lineRule="auto" w:after="80"/>
      </w:pPr>
      <w:r>
        <w:t>- Ley N° 17.418 de Seguros. (Mencionada para contexto general de la industria, no directamente relacionada con el modelo de Kotter).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