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80"/>
      </w:pPr>
      <w:r>
        <w:t>INTELIGENCIA ARTIFICIAL GENERATIVA EN SEGUROS DE PERSONAS: DE LA AUTOMATIZACIÓN A LA PERSONALIZACIÓN ESCALABLE</w:t>
      </w:r>
    </w:p>
    <w:p/>
    <w:p>
      <w:r>
        <w:rPr>
          <w:i/>
          <w:color w:val="646464"/>
          <w:sz w:val="20"/>
        </w:rPr>
        <w:t>Fecha: 2026-10-29 | Área: Tendencias de mercado y tecnología | Lectura estimada: 12 minutos</w:t>
      </w:r>
    </w:p>
    <w:p/>
    <w:p>
      <w:r>
        <w:rPr>
          <w:color w:val="B4B4B4"/>
        </w:rPr>
        <w:t>----------------------------------------</w:t>
      </w:r>
    </w:p>
    <w:p>
      <w:r>
        <w:rPr>
          <w:b/>
          <w:color w:val="1A5276"/>
          <w:sz w:val="24"/>
        </w:rPr>
        <w:t>1) CONCEPTO</w:t>
      </w:r>
    </w:p>
    <w:p>
      <w:pPr>
        <w:spacing w:line="276" w:lineRule="auto" w:after="80"/>
      </w:pPr>
      <w:r>
        <w:t>La Inteligencia Artificial Generativa (IAG) representa una evolución significativa en el campo de la IA, trascendiendo la capacidad de los modelos predictivos tradicionales para clasificar o predecir. Su principal característica es la habilidad de crear contenido nuevo y original -ya sea texto, imágenes, código o datos sintéticos- a partir de los patrones aprendidos de vastos conjuntos de datos. A diferencia de la IA discriminativa, que se enfoca en el análisis y la toma de decisiones sobre datos existentes, la IAG produce activamente información que no existía previamente. En el sector de seguros de personas, esto se traduce en un potencial transformador para personalizar la experiencia del cliente, automatizar tareas cognitivas complejas y optimizar la eficiencia operativa a una escala sin precedentes.</w:t>
      </w:r>
    </w:p>
    <w:p/>
    <w:p>
      <w:r>
        <w:rPr>
          <w:color w:val="B4B4B4"/>
        </w:rPr>
        <w:t>----------------------------------------</w:t>
      </w:r>
    </w:p>
    <w:p>
      <w:r>
        <w:rPr>
          <w:b/>
          <w:color w:val="1A5276"/>
          <w:sz w:val="24"/>
        </w:rPr>
        <w:t>2) FÓRMULA / COMPONENTES / MECÁNICA</w:t>
      </w:r>
    </w:p>
    <w:p>
      <w:pPr>
        <w:spacing w:line="276" w:lineRule="auto" w:after="80"/>
      </w:pPr>
      <w:r>
        <w:t>La IAG se sustenta en arquitecturas de modelos avanzados, siendo los Modelos de Lenguaje Grandes (LLMs, por sus siglas en inglés) los más prominentes para aplicaciones basadas en texto. Estos LLMs, como los basados en la arquitectura Transformer, son entrenados con enormes volúmenes de texto para aprender las complejidades del lenguaje humano, incluyendo gramática, semántica y contexto. Su mecánica de operación implica varias etapas:</w:t>
      </w:r>
    </w:p>
    <w:p/>
    <w:p>
      <w:pPr>
        <w:spacing w:line="276" w:lineRule="auto" w:after="80"/>
      </w:pPr>
      <w:r>
        <w:t>1.  Pre-entrenamiento: El modelo se expone a una cantidad masiva de datos textuales (internet, libros, etc.) para desarrollar una comprensión general del lenguaje y sus patrones.</w:t>
      </w:r>
    </w:p>
    <w:p>
      <w:pPr>
        <w:spacing w:line="276" w:lineRule="auto" w:after="80"/>
      </w:pPr>
      <w:r>
        <w:t>2.  Fine-tuning (Ajuste fino): Una vez pre-entrenado, el modelo se adapta a tareas específicas del dominio asegurador utilizando conjuntos de datos más pequeños y especializados (ej. pólizas, historiales de siniestros, comunicaciones con clientes). Esto mejora su precisión y relevancia para el negocio.</w:t>
      </w:r>
    </w:p>
    <w:p>
      <w:pPr>
        <w:spacing w:line="276" w:lineRule="auto" w:after="80"/>
      </w:pPr>
      <w:r>
        <w:t>3.  Generación: Al recibir un "prompt" o instrucción en lenguaje natural, el LLM utiliza su conocimiento aprendido para generar una respuesta coherente y contextualmente apropiada. Esto puede ser desde un resumen de un documento hasta la redacción de un correo electrónico o una cláusula de póliza.</w:t>
      </w:r>
    </w:p>
    <w:p/>
    <w:p>
      <w:pPr>
        <w:spacing w:line="276" w:lineRule="auto" w:after="80"/>
      </w:pPr>
      <w:r>
        <w:t>Otros modelos generativos, como las Redes Generativas Antagónicas (GANs), son más utilizados para la creación de imágenes o datos sintéticos, aunque el principio de "generación" es el mismo: un componente generador crea datos y un discriminador evalúa su realismo, mejorando iterativamente la calidad del output.</w:t>
      </w:r>
    </w:p>
    <w:p/>
    <w:p>
      <w:r>
        <w:rPr>
          <w:color w:val="B4B4B4"/>
        </w:rPr>
        <w:t>----------------------------------------</w:t>
      </w:r>
    </w:p>
    <w:p>
      <w:r>
        <w:rPr>
          <w:b/>
          <w:color w:val="1A5276"/>
          <w:sz w:val="24"/>
        </w:rPr>
        <w:t>3) APLICABILIDAD POR RAMO / CONTEXTO</w:t>
      </w:r>
    </w:p>
    <w:p>
      <w:pPr>
        <w:spacing w:line="276" w:lineRule="auto" w:after="80"/>
      </w:pPr>
      <w:r>
        <w:t>La IAG ofrece aplicaciones disruptivas en todos los ramos de seguros de personas:</w:t>
      </w:r>
    </w:p>
    <w:p/>
    <w:p>
      <w:pPr>
        <w:spacing w:line="276" w:lineRule="auto" w:after="80"/>
      </w:pPr>
      <w:r>
        <w:t>-   Vida:</w:t>
      </w:r>
    </w:p>
    <w:p>
      <w:pPr>
        <w:spacing w:line="276" w:lineRule="auto" w:after="80"/>
      </w:pPr>
      <w:r>
        <w:t>-   Suscripción: Asistencia en la revisión y resumen de historiales médicos complejos, generación de propuestas de cobertura personalizadas basadas en perfiles de riesgo detallados, y redacción de cláusulas contractuales específicas.</w:t>
      </w:r>
    </w:p>
    <w:p>
      <w:pPr>
        <w:spacing w:line="276" w:lineRule="auto" w:after="80"/>
      </w:pPr>
      <w:r>
        <w:t>-   Siniestros: Automatización de la redacción de comunicaciones a beneficiarios, resumen de documentación para la evaluación de siniestros complejos y generación de informes iniciales.</w:t>
      </w:r>
    </w:p>
    <w:p>
      <w:pPr>
        <w:spacing w:line="276" w:lineRule="auto" w:after="80"/>
      </w:pPr>
      <w:r>
        <w:t>-   Retiro:</w:t>
      </w:r>
    </w:p>
    <w:p>
      <w:pPr>
        <w:spacing w:line="276" w:lineRule="auto" w:after="80"/>
      </w:pPr>
      <w:r>
        <w:t>-   Suscripción: Creación de planes de ahorro y jubilación personalizados, incluyendo simulaciones de escenarios financieros explicados en lenguaje natural.</w:t>
      </w:r>
    </w:p>
    <w:p>
      <w:pPr>
        <w:spacing w:line="276" w:lineRule="auto" w:after="80"/>
      </w:pPr>
      <w:r>
        <w:t>-   Atención al Cliente: Chatbots y asistentes virtuales avanzados que responden consultas sobre saldos, proyecciones de inversión y opciones de retiro, con la capacidad de generar explicaciones claras y detalladas.</w:t>
      </w:r>
    </w:p>
    <w:p>
      <w:pPr>
        <w:spacing w:line="276" w:lineRule="auto" w:after="80"/>
      </w:pPr>
      <w:r>
        <w:t>-   Accidentes Personales (AP):</w:t>
      </w:r>
    </w:p>
    <w:p>
      <w:pPr>
        <w:spacing w:line="276" w:lineRule="auto" w:after="80"/>
      </w:pPr>
      <w:r>
        <w:t>-   Suscripción: Generación de textos explicativos de coberturas para nichos específicos, personalización de cuestionarios de salud o actividad física y adaptación de la comunicación a diferentes segmentos de riesgo.</w:t>
      </w:r>
    </w:p>
    <w:p>
      <w:pPr>
        <w:spacing w:line="276" w:lineRule="auto" w:after="80"/>
      </w:pPr>
      <w:r>
        <w:t>-   Siniestros: Automatización de la redacción de informes de siniestros, resumen de partes médicos y sugerencia de los siguientes pasos en el proceso de liquidación.</w:t>
      </w:r>
    </w:p>
    <w:p>
      <w:pPr>
        <w:spacing w:line="276" w:lineRule="auto" w:after="80"/>
      </w:pPr>
      <w:r>
        <w:t>-   Salud:</w:t>
      </w:r>
    </w:p>
    <w:p>
      <w:pPr>
        <w:spacing w:line="276" w:lineRule="auto" w:after="80"/>
      </w:pPr>
      <w:r>
        <w:t>-   Suscripción: Personalización de planes de salud según el historial médico y preferencias del asegurado, y generación de explicaciones claras de términos complejos de la póliza.</w:t>
      </w:r>
    </w:p>
    <w:p>
      <w:pPr>
        <w:spacing w:line="276" w:lineRule="auto" w:after="80"/>
      </w:pPr>
      <w:r>
        <w:t>-   Siniestros: Resumen de expedientes médicos para auditoría, generación de respuestas a consultas frecuentes sobre coberturas y reintegros, y asistencia en la detección de fraudes mediante el análisis de patrones en la documentación.</w:t>
      </w:r>
    </w:p>
    <w:p/>
    <w:p>
      <w:pPr>
        <w:spacing w:line="276" w:lineRule="auto" w:after="80"/>
      </w:pPr>
      <w:r>
        <w:t>En general, la IAG potencia asistentes virtuales para empleados, la creación de contenido de marketing hiperpersonalizado y la automatización de la redacción de documentos internos y externos, mejorando la eficiencia y la experiencia del cliente.</w:t>
      </w:r>
    </w:p>
    <w:p/>
    <w:p>
      <w:r>
        <w:rPr>
          <w:color w:val="B4B4B4"/>
        </w:rPr>
        <w:t>----------------------------------------</w:t>
      </w:r>
    </w:p>
    <w:p>
      <w:r>
        <w:rPr>
          <w:b/>
          <w:color w:val="1A5276"/>
          <w:sz w:val="24"/>
        </w:rPr>
        <w:t>4) EJEMPLO NUMÉRICO O CASO CONCRETO</w:t>
      </w:r>
    </w:p>
    <w:p>
      <w:pPr>
        <w:spacing w:line="276" w:lineRule="auto" w:after="80"/>
      </w:pPr>
      <w:r>
        <w:t>Consideremos un equipo de suscripción en seguros de Vida que procesa diariamente 50 solicitudes que requieren la revisión de historiales médicos extensos y la redacción de una propuesta de cobertura personalizada.</w:t>
      </w:r>
    </w:p>
    <w:p/>
    <w:p>
      <w:pPr>
        <w:spacing w:line="276" w:lineRule="auto" w:after="80"/>
      </w:pPr>
      <w:r>
        <w:t>-   Escenario sin IAG: Cada suscriptor dedica en promedio 30 minutos a revisar el historial médico, identificar riesgos clave y redactar la propuesta.</w:t>
      </w:r>
    </w:p>
    <w:p>
      <w:pPr>
        <w:spacing w:line="276" w:lineRule="auto" w:after="80"/>
      </w:pPr>
      <w:r>
        <w:t>-   Tiempo total diario: 50 solicitudes * 30 minutos/solicitud = 1500 minutos = 25 horas.</w:t>
      </w:r>
    </w:p>
    <w:p/>
    <w:p>
      <w:pPr>
        <w:spacing w:line="276" w:lineRule="auto" w:after="80"/>
      </w:pPr>
      <w:r>
        <w:t>-   Escenario con IAG (asistente): La IAG se utiliza para:</w:t>
      </w:r>
    </w:p>
    <w:p>
      <w:pPr>
        <w:spacing w:line="276" w:lineRule="auto" w:after="80"/>
      </w:pPr>
      <w:r>
        <w:t>1.  Resumir el historial médico, extrayendo los puntos relevantes para la evaluación de riesgo (ej. enfermedades preexistentes, tratamientos, hábitos). Tiempo: 5 minutos.</w:t>
      </w:r>
    </w:p>
    <w:p>
      <w:pPr>
        <w:spacing w:line="276" w:lineRule="auto" w:after="80"/>
      </w:pPr>
      <w:r>
        <w:t>2.  Generar un borrador de propuesta de cobertura, incluyendo cláusulas y recomendaciones personalizadas. Tiempo: 5 minutos.</w:t>
      </w:r>
    </w:p>
    <w:p>
      <w:pPr>
        <w:spacing w:line="276" w:lineRule="auto" w:after="80"/>
      </w:pPr>
      <w:r>
        <w:t>3.  El suscriptor humano revisa, valida y ajusta el borrador generado por la IA. Tiempo: 10 minutos.</w:t>
      </w:r>
    </w:p>
    <w:p>
      <w:pPr>
        <w:spacing w:line="276" w:lineRule="auto" w:after="80"/>
      </w:pPr>
      <w:r>
        <w:t>-   Tiempo total por solicitud con IAG: 5 + 5 + 10 = 20 minutos.</w:t>
      </w:r>
    </w:p>
    <w:p>
      <w:pPr>
        <w:spacing w:line="276" w:lineRule="auto" w:after="80"/>
      </w:pPr>
      <w:r>
        <w:t>-   Tiempo total diario con IAG: 50 solicitudes * 20 minutos/solicitud = 1000 minutos = 16.67 horas.</w:t>
      </w:r>
    </w:p>
    <w:p/>
    <w:p>
      <w:pPr>
        <w:spacing w:line="276" w:lineRule="auto" w:after="80"/>
      </w:pPr>
      <w:r>
        <w:t>-   Impacto: Se logra un ahorro de 10 minutos por solicitud, lo que representa un ahorro diario de 8.33 horas (25 - 16.67). Esto permite al equipo procesar un 33% más de solicitudes en el mismo tiempo, reducir los tiempos de respuesta al cliente o dedicar más tiempo a casos excepcionalmente complejos, mejorando la eficiencia y la calidad del servicio.</w:t>
      </w:r>
    </w:p>
    <w:p/>
    <w:p>
      <w:r>
        <w:rPr>
          <w:color w:val="B4B4B4"/>
        </w:rPr>
        <w:t>----------------------------------------</w:t>
      </w:r>
    </w:p>
    <w:p>
      <w:r>
        <w:rPr>
          <w:b/>
          <w:color w:val="1A5276"/>
          <w:sz w:val="24"/>
        </w:rPr>
        <w:t>5) APLICACIÓN PRÁCTICA PARA UN LÍDER DE EQUIPO</w:t>
      </w:r>
    </w:p>
    <w:p>
      <w:pPr>
        <w:spacing w:line="276" w:lineRule="auto" w:after="80"/>
      </w:pPr>
      <w:r>
        <w:t>Como líder de equipo, tu rol es crucial para capitalizar los beneficios de la IAG mientras gestionás sus riesgos:</w:t>
      </w:r>
    </w:p>
    <w:p/>
    <w:p>
      <w:pPr>
        <w:spacing w:line="276" w:lineRule="auto" w:after="80"/>
      </w:pPr>
      <w:r>
        <w:t>1.  Identificá oportunidades de piloto: Buscá procesos repetitivos, intensivos en texto o que requieran personalización a escala dentro de tu gerencia (ej. redacción de correos, resúmenes de documentos, respuestas a preguntas frecuentes). Priorizá aquellos con alto volumen y donde un error humano sea costoso.</w:t>
      </w:r>
    </w:p>
    <w:p>
      <w:pPr>
        <w:spacing w:line="276" w:lineRule="auto" w:after="80"/>
      </w:pPr>
      <w:r>
        <w:t>2.  Fomentá la capacitación y el "prompt engineering": Asegurate de que tu equipo entienda cómo interactuar eficazmente con las herramientas de IAG. Capacitá a tu gente en la formulación de "prompts" claros y precisos para obtener los mejores resultados, y en la verificación crítica de las salidas generadas.</w:t>
      </w:r>
    </w:p>
    <w:p>
      <w:pPr>
        <w:spacing w:line="276" w:lineRule="auto" w:after="80"/>
      </w:pPr>
      <w:r>
        <w:t>3.  Establecé políticas de uso claras: Definí qué tipo de información sensible puede o no ser introducida en los modelos de IAG, cómo se debe verificar la precisión de la información generada y los límites de la autonomía de la IA. La seguridad de la información y la privacidad de los datos personales (Ley 25.326) deben ser prioritarias.</w:t>
      </w:r>
    </w:p>
    <w:p>
      <w:pPr>
        <w:spacing w:line="276" w:lineRule="auto" w:after="80"/>
      </w:pPr>
      <w:r>
        <w:t>4.  Medí el impacto y los KPIs: Antes de implementar, definí métricas claras (ej. tiempo promedio de procesamiento, calidad de la respuesta, satisfacción del cliente/empleado, reducción de errores) para evaluar el retorno de la inversión y justificar la expansión de la tecnología.</w:t>
      </w:r>
    </w:p>
    <w:p>
      <w:pPr>
        <w:spacing w:line="276" w:lineRule="auto" w:after="80"/>
      </w:pPr>
      <w:r>
        <w:t>5.  Colaborá con IT y áreas de innovación: Trabajá de cerca con los equipos técnicos para seleccionar las herramientas adecuadas, asegurar la integración con los sistemas existentes y desarrollar soluciones personalizadas que se ajusten a las necesidades específicas de tu gerencia.</w:t>
      </w:r>
    </w:p>
    <w:p>
      <w:pPr>
        <w:spacing w:line="276" w:lineRule="auto" w:after="80"/>
      </w:pPr>
      <w:r>
        <w:t>6.  Gestioná el cambio: Comunicá proactivamente los beneficios de la IAG, abordá las preocupaciones del equipo sobre la automatización y asegurá una transición fluida, posicionando la IA como una herramienta que potencia las capacidades humanas, no que las reemplaza.</w:t>
      </w:r>
    </w:p>
    <w:p/>
    <w:p>
      <w:r>
        <w:rPr>
          <w:color w:val="B4B4B4"/>
        </w:rPr>
        <w:t>----------------------------------------</w:t>
      </w:r>
    </w:p>
    <w:p>
      <w:r>
        <w:rPr>
          <w:b/>
          <w:color w:val="1A5276"/>
          <w:sz w:val="24"/>
        </w:rPr>
        <w:t>6) ERRORES COMUNES O PUNTOS CIEGOS</w:t>
      </w:r>
    </w:p>
    <w:p>
      <w:pPr>
        <w:spacing w:line="276" w:lineRule="auto" w:after="80"/>
      </w:pPr>
      <w:r>
        <w:t>La implementación de la IAG no está exenta de desafíos:</w:t>
      </w:r>
    </w:p>
    <w:p/>
    <w:p>
      <w:pPr>
        <w:spacing w:line="276" w:lineRule="auto" w:after="80"/>
      </w:pPr>
      <w:r>
        <w:t>-   Alucinaciones: Los modelos de IAG pueden generar información incorrecta, inventada o sin base en los datos de entrenamiento, pero que suena plausible. La verificación humana es indispensable para evitar errores graves y riesgos reputacionales.</w:t>
      </w:r>
    </w:p>
    <w:p>
      <w:pPr>
        <w:spacing w:line="276" w:lineRule="auto" w:after="80"/>
      </w:pPr>
      <w:r>
        <w:t>-   Sesgos de datos: Si los datos utilizados para entrenar la IA contienen sesgos históricos (ej. demográficos, socioeconómicos), la IAG puede replicarlos y amplificarlos, llevando a resultados discriminatorios en la suscripción o liquidación de siniestros.</w:t>
      </w:r>
    </w:p>
    <w:p>
      <w:pPr>
        <w:spacing w:line="276" w:lineRule="auto" w:after="80"/>
      </w:pPr>
      <w:r>
        <w:t>-   Seguridad y privacidad de la información: El uso de datos sensibles de asegurados en modelos de IAG, especialmente si son soluciones de terceros o en la nube, plantea riesgos significativos de fuga de información y cumplimiento normativo (Ley 25.326). Es vital asegurar la gobernanza de datos.</w:t>
      </w:r>
    </w:p>
    <w:p>
      <w:pPr>
        <w:spacing w:line="276" w:lineRule="auto" w:after="80"/>
      </w:pPr>
      <w:r>
        <w:t>-   Falta de contexto específico del negocio: Los modelos genéricos pueden carecer de la comprensión profunda de las regulaciones, productos y terminología específica del mercado asegurador argentino, requiriendo un ajuste fino considerable y supervisión experta.</w:t>
      </w:r>
    </w:p>
    <w:p>
      <w:pPr>
        <w:spacing w:line="276" w:lineRule="auto" w:after="80"/>
      </w:pPr>
      <w:r>
        <w:t>-   Dependencia excesiva y pérdida de expertise: Una confianza ciega en la IAG sin la debida supervisión puede llevar a la degradación de las habilidades críticas del equipo y a una menor capacidad para manejar situaciones complejas o atípicas.</w:t>
      </w:r>
    </w:p>
    <w:p>
      <w:pPr>
        <w:spacing w:line="276" w:lineRule="auto" w:after="80"/>
      </w:pPr>
      <w:r>
        <w:t>-   Costos ocultos: Los costos asociados al entrenamiento, fine-tuning, infraestructura computacional y licenciamiento de modelos de IAG pueden ser significativos y deben ser evaluados cuidadosamente.</w:t>
      </w:r>
    </w:p>
    <w:p/>
    <w:p>
      <w:r>
        <w:rPr>
          <w:color w:val="B4B4B4"/>
        </w:rPr>
        <w:t>----------------------------------------</w:t>
      </w:r>
    </w:p>
    <w:p>
      <w:r>
        <w:rPr>
          <w:b/>
          <w:color w:val="1A5276"/>
          <w:sz w:val="24"/>
        </w:rPr>
        <w:t>7) EN UNA LÍNEA</w:t>
      </w:r>
    </w:p>
    <w:p>
      <w:pPr>
        <w:spacing w:line="276" w:lineRule="auto" w:after="80"/>
      </w:pPr>
      <w:r>
        <w:t>La IA Generativa transforma la eficiencia y personalización en seguros de personas, pero exige una implementación estratégica y una supervisión humana rigurosa para mitigar riesgos.</w:t>
      </w:r>
    </w:p>
    <w:p/>
    <w:p>
      <w:r>
        <w:rPr>
          <w:color w:val="B4B4B4"/>
        </w:rPr>
        <w:t>----------------------------------------</w:t>
      </w:r>
    </w:p>
    <w:p>
      <w:r>
        <w:rPr>
          <w:b/>
          <w:color w:val="1A5276"/>
          <w:sz w:val="24"/>
        </w:rPr>
        <w:t>FUENTES DE REFERENCIA</w:t>
      </w:r>
    </w:p>
    <w:p>
      <w:pPr>
        <w:spacing w:line="276" w:lineRule="auto" w:after="80"/>
      </w:pPr>
      <w:r>
        <w:t>-   Ley 25.326 de Protección de los Datos Personales (Argentina).</w:t>
      </w:r>
    </w:p>
    <w:p>
      <w:pPr>
        <w:spacing w:line="276" w:lineRule="auto" w:after="80"/>
      </w:pPr>
      <w:r>
        <w:t>-   SAS. La IA transforma los seguros: ocho ejemplos de su funcionamiento. Publicado el 13 de mayo de 2025.</w:t>
      </w:r>
    </w:p>
    <w:p>
      <w:pPr>
        <w:spacing w:line="276" w:lineRule="auto" w:after="80"/>
      </w:pPr>
      <w:r>
        <w:t>-   Equisoft. El papel de la inteligencia artificial en los seguros de vida | Guía completa. Publicado el 19 de agosto de 2026.</w:t>
      </w:r>
    </w:p>
    <w:p>
      <w:pPr>
        <w:spacing w:line="276" w:lineRule="auto" w:after="80"/>
      </w:pPr>
      <w:r>
        <w:t>-   Appian. Introducción a la IA generativa en seguros: Beneficios y casos de uso. Publicado el 12 de diciembre de 2023.</w:t>
      </w:r>
    </w:p>
    <w:p>
      <w:pPr>
        <w:spacing w:line="276" w:lineRule="auto" w:after="80"/>
      </w:pPr>
      <w:r>
        <w:t>-   Servinform. IA Generativa en Seguros: Casos de Uso y Soluciones Servinform. Publicado el 3 de diciembre de 2025.</w:t>
      </w:r>
    </w:p>
    <w:p>
      <w:pPr>
        <w:spacing w:line="276" w:lineRule="auto" w:after="80"/>
      </w:pPr>
      <w:r>
        <w:t>-   McKinsey. Cómo la IA generativa puede ayudar a los bancos a gestionar el riesgo y el cumplimiento normativo. Publicado el 1 de marzo de 2024.</w:t>
      </w:r>
    </w:p>
    <w:p>
      <w:pPr>
        <w:spacing w:line="276" w:lineRule="auto" w:after="80"/>
      </w:pPr>
      <w:r>
        <w:t>-   ASBA. Las Implicaciones de la Inteligencia Artificial en la Estabilidad Financiera.</w:t>
      </w:r>
    </w:p>
    <w:p>
      <w:pPr>
        <w:spacing w:line="276" w:lineRule="auto" w:after="80"/>
      </w:pPr>
      <w:r>
        <w:t>-   IESE Insight. Cómo la IA está transformando las finanzas. Publicado el 11 de junio de 2025.</w:t>
      </w:r>
    </w:p>
    <w:p>
      <w:pPr>
        <w:spacing w:line="276" w:lineRule="auto" w:after="80"/>
      </w:pPr>
      <w:r>
        <w:t>-   Moonflow. Riesgos de la IA en finanzas: lo que todo CFO debe anticipar en 2026. Publicado el 28 de agosto de 2025.</w:t>
      </w:r>
    </w:p>
    <w:p>
      <w:pPr>
        <w:spacing w:line="276" w:lineRule="auto" w:after="80"/>
      </w:pPr>
      <w:r>
        <w:t>-   Equisoft. IA en seguros: de los LLMs a los flujos de trabajo agénticos. Publicado el 27 de mayo de 2026.</w:t>
      </w:r>
    </w:p>
    <w:p>
      <w:pPr>
        <w:spacing w:line="276" w:lineRule="auto" w:after="80"/>
      </w:pPr>
      <w:r>
        <w:t>-   Gen Re. Inteligencia actuarial con IA generativa - un marco ilustrado a través de los siniestros de Enfermedades Graves. Publicado el 24 de junio de 2026.</w:t>
      </w:r>
    </w:p>
    <w:p>
      <w:pPr>
        <w:spacing w:line="276" w:lineRule="auto" w:after="80"/>
      </w:pPr>
      <w:r>
        <w:t>-   100% SEGURO. El impacto de la Inteligencia Artificial en seguros: qué son los LLM y cómo se aplican al sector. Publicado el 24 de julio de 2023.</w:t>
      </w:r>
    </w:p>
    <w:p>
      <w:pPr>
        <w:spacing w:line="276" w:lineRule="auto" w:after="80"/>
      </w:pPr>
      <w:r>
        <w:t>-   Milliman. The potential of large language models in the insurance sector. Publicado el 6 de febrero de 2024.</w:t>
      </w:r>
    </w:p>
    <w:p>
      <w:pPr>
        <w:spacing w:line="276" w:lineRule="auto" w:after="80"/>
      </w:pPr>
      <w:r>
        <w:t>-   Datos Insights. Large Language Models: The Next Big Disruptor in Insurance. Publicado el 19 de septiembre de 2024.</w:t>
      </w:r>
    </w:p>
    <w:p>
      <w:pPr>
        <w:spacing w:line="276" w:lineRule="auto" w:after="80"/>
      </w:pPr>
      <w:r>
        <w:t>-   ScienceSoft. Large Language Models (LLMs) in Insurance. Publicado el 26 de octubre de 2026.</w:t>
      </w:r>
    </w:p>
    <w:p>
      <w:pPr>
        <w:spacing w:line="276" w:lineRule="auto" w:after="80"/>
      </w:pPr>
      <w:r>
        <w:t>-   Zurich. El poder de la Inteligencia Artificial (IA) en los seguros. Publicado el 13 de junio de 2025.</w:t>
      </w:r>
    </w:p>
    <w:p>
      <w:pPr>
        <w:spacing w:line="276" w:lineRule="auto" w:after="80"/>
      </w:pPr>
      <w:r>
        <w:t>-   DANAconnect. Los Mejores Ejemplos de Inteligencia Artificial en Seguros. Publicado el 29 de noviembre de 2023.</w:t>
      </w:r>
    </w:p>
    <w:p>
      <w:pPr>
        <w:spacing w:line="276" w:lineRule="auto" w:after="80"/>
      </w:pPr>
      <w:r>
        <w:t>-   Softseguros. 5 Aplicaciones de Inteligencia Artificial Gratuitas para Agentes de Seguros. Publicado el 5 de octubre de 2023.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