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INTELIGENCIA ARTIFICIAL GENERATIVA EN SEGUROS DE PERSONAS: APLICACIONES EN SUSCRIPCIÓN Y SINIESTROS</w:t>
      </w:r>
    </w:p>
    <w:p/>
    <w:p>
      <w:r>
        <w:rPr>
          <w:i/>
          <w:color w:val="646464"/>
          <w:sz w:val="20"/>
        </w:rPr>
        <w:t>Fecha: 2026-09-17 | Área: Tendencias de mercado y tecnología | Lectura estimada: 12 minutos</w:t>
      </w:r>
    </w:p>
    <w:p/>
    <w:p>
      <w:r>
        <w:rPr>
          <w:color w:val="B4B4B4"/>
        </w:rPr>
        <w:t>----------------------------------------</w:t>
      </w:r>
    </w:p>
    <w:p/>
    <w:p>
      <w:r>
        <w:rPr>
          <w:b/>
          <w:color w:val="1A5276"/>
          <w:sz w:val="24"/>
        </w:rPr>
        <w:t>1) CONCEPTO</w:t>
      </w:r>
    </w:p>
    <w:p>
      <w:pPr>
        <w:spacing w:line="276" w:lineRule="auto" w:after="80"/>
      </w:pPr>
      <w:r>
        <w:t>La Inteligencia Artificial Generativa (IAG) es una rama de la IA capaz de producir contenido original y realista, como texto, imágenes o código, a partir de los datos con los que fue entrenada. A diferencia de la IA discriminativa, que clasifica o predice resultados, la IAG crea nuevas instancias que no estaban explícitamente en su conjunto de entrenamiento. En el ámbito de los seguros de personas, esto implica la capacidad de generar, por ejemplo, resúmenes de pólizas, respuestas a consultas de clientes, borradores de informes de siniestros o propuestas de productos personalizados, imitando el lenguaje y el estilo humano. Su potencial radica en automatizar tareas cognitivas complejas, mejorar la interacción con el cliente y optimizar procesos internos que requieren creatividad o comprensión contextual.</w:t>
      </w:r>
    </w:p>
    <w:p/>
    <w:p>
      <w:r>
        <w:rPr>
          <w:color w:val="B4B4B4"/>
        </w:rPr>
        <w:t>----------------------------------------</w:t>
      </w:r>
    </w:p>
    <w:p/>
    <w:p>
      <w:r>
        <w:rPr>
          <w:b/>
          <w:color w:val="1A5276"/>
          <w:sz w:val="24"/>
        </w:rPr>
        <w:t>2) FÓRMULA / COMPONENTES / MECÁNICA</w:t>
      </w:r>
    </w:p>
    <w:p>
      <w:pPr>
        <w:spacing w:line="276" w:lineRule="auto" w:after="80"/>
      </w:pPr>
      <w:r>
        <w:t>La mecánica de la IAG se basa en arquitecturas de redes neuronales profundas, siendo los "Transformers" y los Modelos de Lenguaje Grandes (LLM - Large Language Models) los más prominentes.</w:t>
      </w:r>
    </w:p>
    <w:p>
      <w:pPr>
        <w:spacing w:line="276" w:lineRule="auto" w:after="80"/>
      </w:pPr>
      <w:r>
        <w:t>Componentes clave:</w:t>
      </w:r>
    </w:p>
    <w:p>
      <w:pPr>
        <w:spacing w:line="276" w:lineRule="auto" w:after="80"/>
      </w:pPr>
      <w:r>
        <w:t>- Redes Neuronales Profundas: Múltiples capas interconectadas que procesan datos de manera jerárquica, aprendiendo representaciones cada vez más abstractas.</w:t>
      </w:r>
    </w:p>
    <w:p>
      <w:pPr>
        <w:spacing w:line="276" w:lineRule="auto" w:after="80"/>
      </w:pPr>
      <w:r>
        <w:t>- Arquitectura Transformer: Un tipo de red neuronal que utiliza mecanismos de "auto-atención" (self-attention) para ponderar la importancia de diferentes partes de la secuencia de entrada al generar la salida. Esto le permite manejar dependencias a largo plazo en los datos, crucial para la coherencia en textos extensos.</w:t>
      </w:r>
    </w:p>
    <w:p>
      <w:pPr>
        <w:spacing w:line="276" w:lineRule="auto" w:after="80"/>
      </w:pPr>
      <w:r>
        <w:t>- Entrenamiento Previo (Pre-training): Los modelos son entrenados con vastos volúmenes de datos no etiquetados (textos de internet, libros) para aprender patrones lingüísticos, gramática y conocimiento general.</w:t>
      </w:r>
    </w:p>
    <w:p>
      <w:pPr>
        <w:spacing w:line="276" w:lineRule="auto" w:after="80"/>
      </w:pPr>
      <w:r>
        <w:t>- Ajuste Fino (Fine-tuning): Después del pre-entrenamiento, el modelo se ajusta con un conjunto de datos más pequeño y específico para una tarea o dominio particular (ej., documentos de seguros, manuales de suscripción, historiales de siniestros), lo que mejora su rendimiento en ese contexto.</w:t>
      </w:r>
    </w:p>
    <w:p>
      <w:pPr>
        <w:spacing w:line="276" w:lineRule="auto" w:after="80"/>
      </w:pPr>
      <w:r>
        <w:t>- Generación Secuencial: La IAG genera contenido palabra por palabra o token por token, prediciendo la siguiente unidad basándose en las anteriores y en el contexto global.</w:t>
      </w:r>
    </w:p>
    <w:p/>
    <w:p>
      <w:pPr>
        <w:spacing w:line="276" w:lineRule="auto" w:after="80"/>
      </w:pPr>
      <w:r>
        <w:t>No existe una "fórmula" única en el sentido matemático tradicional para la IAG, sino algoritmos complejos de optimización que minimizan una función de pérdida durante el entrenamiento, ajustando millones o miles de millones de parámetros para que el modelo genere salidas coherentes y relevantes.</w:t>
      </w:r>
    </w:p>
    <w:p/>
    <w:p>
      <w:r>
        <w:rPr>
          <w:color w:val="B4B4B4"/>
        </w:rPr>
        <w:t>----------------------------------------</w:t>
      </w:r>
    </w:p>
    <w:p/>
    <w:p>
      <w:r>
        <w:rPr>
          <w:b/>
          <w:color w:val="1A5276"/>
          <w:sz w:val="24"/>
        </w:rPr>
        <w:t>3) APLICABILIDAD POR RAMO / CONTEXTO</w:t>
      </w:r>
    </w:p>
    <w:p>
      <w:pPr>
        <w:spacing w:line="276" w:lineRule="auto" w:after="80"/>
      </w:pPr>
      <w:r>
        <w:t>La IAG ofrece un abanico de aplicaciones en seguros de personas, mejorando la eficiencia operativa y la experiencia del cliente.</w:t>
      </w:r>
    </w:p>
    <w:p>
      <w:pPr>
        <w:spacing w:line="276" w:lineRule="auto" w:after="80"/>
      </w:pPr>
      <w:r>
        <w:t>- Vida:</w:t>
      </w:r>
    </w:p>
    <w:p>
      <w:pPr>
        <w:spacing w:line="276" w:lineRule="auto" w:after="80"/>
      </w:pPr>
      <w:r>
        <w:t>- Suscripción: Generación de resúmenes de historiales médicos complejos, identificando riesgos clave y sugiriendo preguntas adicionales. Creación de borradores de cláusulas personalizadas para pólizas de alto valor.</w:t>
      </w:r>
    </w:p>
    <w:p>
      <w:pPr>
        <w:spacing w:line="276" w:lineRule="auto" w:after="80"/>
      </w:pPr>
      <w:r>
        <w:t>- Atención al Cliente: Respuestas automatizadas y personalizadas a consultas sobre coberturas, beneficios y procesos de siniestros, mejorando la experiencia del asegurado.</w:t>
      </w:r>
    </w:p>
    <w:p>
      <w:pPr>
        <w:spacing w:line="276" w:lineRule="auto" w:after="80"/>
      </w:pPr>
      <w:r>
        <w:t>- Retiro:</w:t>
      </w:r>
    </w:p>
    <w:p>
      <w:pPr>
        <w:spacing w:line="276" w:lineRule="auto" w:after="80"/>
      </w:pPr>
      <w:r>
        <w:t>- Asesoramiento: Generación de explicaciones simplificadas sobre planes de retiro complejos, simulaciones de escenarios de ahorro y recomendaciones personalizadas basadas en el perfil del cliente y sus objetivos.</w:t>
      </w:r>
    </w:p>
    <w:p>
      <w:pPr>
        <w:spacing w:line="276" w:lineRule="auto" w:after="80"/>
      </w:pPr>
      <w:r>
        <w:t>- Marketing: Creación de contenido dinámico para campañas, adaptando mensajes a diferentes segmentos demográficos.</w:t>
      </w:r>
    </w:p>
    <w:p>
      <w:pPr>
        <w:spacing w:line="276" w:lineRule="auto" w:after="80"/>
      </w:pPr>
      <w:r>
        <w:t>- Accidentes Personales (AP):</w:t>
      </w:r>
    </w:p>
    <w:p>
      <w:pPr>
        <w:spacing w:line="276" w:lineRule="auto" w:after="80"/>
      </w:pPr>
      <w:r>
        <w:t>- Siniestros: Automatización de la redacción de informes iniciales de siniestros a partir de la información provista por el asegurado, destacando los puntos relevantes y los documentos faltantes.</w:t>
      </w:r>
    </w:p>
    <w:p>
      <w:pPr>
        <w:spacing w:line="276" w:lineRule="auto" w:after="80"/>
      </w:pPr>
      <w:r>
        <w:t>- Detección de Fraude: Análisis de descripciones de siniestros para identificar patrones o inconsistencias que podrían indicar un intento de fraude, sugiriendo investigaciones adicionales.</w:t>
      </w:r>
    </w:p>
    <w:p>
      <w:pPr>
        <w:spacing w:line="276" w:lineRule="auto" w:after="80"/>
      </w:pPr>
      <w:r>
        <w:t>- Salud:</w:t>
      </w:r>
    </w:p>
    <w:p>
      <w:pPr>
        <w:spacing w:line="276" w:lineRule="auto" w:after="80"/>
      </w:pPr>
      <w:r>
        <w:t>- Gestión de Siniestros: Generación de explicaciones claras sobre la cobertura de tratamientos, el estado de los reintegros y la documentación necesaria, reduciendo la carga administrativa.</w:t>
      </w:r>
    </w:p>
    <w:p>
      <w:pPr>
        <w:spacing w:line="276" w:lineRule="auto" w:after="80"/>
      </w:pPr>
      <w:r>
        <w:t>- Comunicación con Prestadores: Redacción de comunicaciones estandarizadas o personalizadas con clínicas y médicos sobre autorizaciones o liquidaciones.</w:t>
      </w:r>
    </w:p>
    <w:p/>
    <w:p>
      <w:pPr>
        <w:spacing w:line="276" w:lineRule="auto" w:after="80"/>
      </w:pPr>
      <w:r>
        <w:t>En el contexto argentino, la IAG puede ser una herramienta clave para mejorar la eficiencia operativa en un mercado con márgenes ajustados y la necesidad de optimizar la experiencia del cliente frente a la creciente competencia.</w:t>
      </w:r>
    </w:p>
    <w:p/>
    <w:p>
      <w:r>
        <w:rPr>
          <w:color w:val="B4B4B4"/>
        </w:rPr>
        <w:t>----------------------------------------</w:t>
      </w:r>
    </w:p>
    <w:p/>
    <w:p>
      <w:r>
        <w:rPr>
          <w:b/>
          <w:color w:val="1A5276"/>
          <w:sz w:val="24"/>
        </w:rPr>
        <w:t>4) EJEMPLO NUMÉRICO O CASO CONCRETO</w:t>
      </w:r>
    </w:p>
    <w:p>
      <w:pPr>
        <w:spacing w:line="276" w:lineRule="auto" w:after="80"/>
      </w:pPr>
      <w:r>
        <w:t>Consideremos un caso en la gestión de siniestros de Accidentes Personales.</w:t>
      </w:r>
    </w:p>
    <w:p>
      <w:pPr>
        <w:spacing w:line="276" w:lineRule="auto" w:after="80"/>
      </w:pPr>
      <w:r>
        <w:t>Un asegurado reporta un siniestro por un accidente doméstico, describiendo los hechos en un texto libre a través de un portal web.</w:t>
      </w:r>
    </w:p>
    <w:p>
      <w:pPr>
        <w:spacing w:line="276" w:lineRule="auto" w:after="80"/>
      </w:pPr>
      <w:r>
        <w:t>Tradicionalmente, un analista de siniestros leería el relato, identificaría los datos clave (fecha, lugar, tipo de lesión, testigos), verificaría la póliza y comenzaría a redactar el informe interno y las comunicaciones al asegurado sobre la documentación requerida. Este proceso puede llevar 15-20 minutos por siniestro.</w:t>
      </w:r>
    </w:p>
    <w:p/>
    <w:p>
      <w:pPr>
        <w:spacing w:line="276" w:lineRule="auto" w:after="80"/>
      </w:pPr>
      <w:r>
        <w:t>Con IAG:</w:t>
      </w:r>
    </w:p>
    <w:p>
      <w:pPr>
        <w:spacing w:line="276" w:lineRule="auto" w:after="80"/>
      </w:pPr>
      <w:r>
        <w:t>1.  Entrada: El relato del asegurado (texto libre).</w:t>
      </w:r>
    </w:p>
    <w:p>
      <w:pPr>
        <w:spacing w:line="276" w:lineRule="auto" w:after="80"/>
      </w:pPr>
      <w:r>
        <w:t>2.  Procesamiento IAG: Un LLM, previamente ajustado con miles de informes de siniestros y pólizas de AP, recibe el texto.</w:t>
      </w:r>
    </w:p>
    <w:p>
      <w:pPr>
        <w:spacing w:line="276" w:lineRule="auto" w:after="80"/>
      </w:pPr>
      <w:r>
        <w:t>3.  Generación de Salida: El modelo genera automáticamente:</w:t>
      </w:r>
    </w:p>
    <w:p>
      <w:pPr>
        <w:spacing w:line="276" w:lineRule="auto" w:after="80"/>
      </w:pPr>
      <w:r>
        <w:t>*   Un resumen estructurado del siniestro: "El asegurado, DNI XXXXX, reporta caída en domicilio el 15/09/2026, resultando en fractura de muñeca derecha. Requiere atención médica y reposo. No se mencionan testigos. Póliza N° YYYYY."</w:t>
      </w:r>
    </w:p>
    <w:p>
      <w:pPr>
        <w:spacing w:line="276" w:lineRule="auto" w:after="80"/>
      </w:pPr>
      <w:r>
        <w:t>*   Un borrador de correo electrónico al asegurado, solicitando el certificado médico, facturas de gastos y copia del DNI, con los plazos correspondientes.</w:t>
      </w:r>
    </w:p>
    <w:p>
      <w:pPr>
        <w:spacing w:line="276" w:lineRule="auto" w:after="80"/>
      </w:pPr>
      <w:r>
        <w:t>*   Una alerta interna si detecta alguna palabra clave o frase que sugiera inconsistencia o posible fraude (ej., "no recuerdo bien los detalles", "estaba solo y nadie vio").</w:t>
      </w:r>
    </w:p>
    <w:p/>
    <w:p>
      <w:pPr>
        <w:spacing w:line="276" w:lineRule="auto" w:after="80"/>
      </w:pPr>
      <w:r>
        <w:t>Impacto: El tiempo de procesamiento inicial se reduce a 2-3 minutos, permitiendo al analista enfocarse en la revisión crítica, la toma de decisiones y la interacción con casos más complejos, aumentando la capacidad de gestión del equipo en un 500% para esta etapa.</w:t>
      </w:r>
    </w:p>
    <w:p/>
    <w:p>
      <w:r>
        <w:rPr>
          <w:color w:val="B4B4B4"/>
        </w:rPr>
        <w:t>----------------------------------------</w:t>
      </w:r>
    </w:p>
    <w:p/>
    <w:p>
      <w:r>
        <w:rPr>
          <w:b/>
          <w:color w:val="1A5276"/>
          <w:sz w:val="24"/>
        </w:rPr>
        <w:t>5) APLICACIÓN PRÁCTICA PARA UN LÍDER DE EQUIPO</w:t>
      </w:r>
    </w:p>
    <w:p>
      <w:pPr>
        <w:spacing w:line="276" w:lineRule="auto" w:after="80"/>
      </w:pPr>
      <w:r>
        <w:t>Como líder de equipo, tu rol es estratégico en la adopción de IAG:</w:t>
      </w:r>
    </w:p>
    <w:p>
      <w:pPr>
        <w:spacing w:line="276" w:lineRule="auto" w:after="80"/>
      </w:pPr>
      <w:r>
        <w:t>1.  Identificá Casos de Uso: Colaborá con tu equipo para mapear procesos repetitivos, intensivos en texto o que requieran resumen/generación de contenido. Pensá en suscripción, siniestros, atención al cliente o comunicación interna.</w:t>
      </w:r>
    </w:p>
    <w:p>
      <w:pPr>
        <w:spacing w:line="276" w:lineRule="auto" w:after="80"/>
      </w:pPr>
      <w:r>
        <w:t>2.  Promové la Experimentación: Iniciá proyectos piloto con herramientas de IAG disponibles en el mercado o con el equipo de IT. Empezá con tareas de bajo riesgo, como la generación de borradores de correos internos o resúmenes de documentos.</w:t>
      </w:r>
    </w:p>
    <w:p>
      <w:pPr>
        <w:spacing w:line="276" w:lineRule="auto" w:after="80"/>
      </w:pPr>
      <w:r>
        <w:t>3.  Capacitá a tu Equipo: La IAG no reemplaza, sino que potencia. Capacitá a tus colaboradores en cómo interactuar con estas herramientas (ingeniería de prompts), cómo revisar y refinar las salidas generadas, y cómo utilizarlas para mejorar su productividad y calidad de trabajo.</w:t>
      </w:r>
    </w:p>
    <w:p>
      <w:pPr>
        <w:spacing w:line="276" w:lineRule="auto" w:after="80"/>
      </w:pPr>
      <w:r>
        <w:t>4.  Establecé Métricas Claras: Definí KPIs para medir el impacto de la IAG: reducción de tiempo de procesamiento, mejora en la satisfacción del cliente (si aplica), disminución de errores en la redacción, o aumento en el volumen de casos gestionados por analista.</w:t>
      </w:r>
    </w:p>
    <w:p>
      <w:pPr>
        <w:spacing w:line="276" w:lineRule="auto" w:after="80"/>
      </w:pPr>
      <w:r>
        <w:t>5.  Gestioná el Riesgo: La IAG puede "alucinar" (generar información incorrecta o inventada). Implementá procesos de revisión humana obligatoria para todas las salidas críticas. Asegurá la privacidad y seguridad de los datos que se utilizan para entrenar o interactuar con los modelos, especialmente en seguros de personas.</w:t>
      </w:r>
    </w:p>
    <w:p>
      <w:pPr>
        <w:spacing w:line="276" w:lineRule="auto" w:after="80"/>
      </w:pPr>
      <w:r>
        <w:t>6.  Comunicá con tu Superior Directo: Presentá los resultados de los pilotos, destacando los beneficios tangibles (eficiencia, calidad, experiencia del cliente) y los desafíos, para obtener apoyo y recursos para una implementación a mayor escala.</w:t>
      </w:r>
    </w:p>
    <w:p/>
    <w:p>
      <w:r>
        <w:rPr>
          <w:color w:val="B4B4B4"/>
        </w:rPr>
        <w:t>----------------------------------------</w:t>
      </w:r>
    </w:p>
    <w:p/>
    <w:p>
      <w:r>
        <w:rPr>
          <w:b/>
          <w:color w:val="1A5276"/>
          <w:sz w:val="24"/>
        </w:rPr>
        <w:t>6) ERRORES COMUNES O PUNTOS CIEGOS</w:t>
      </w:r>
    </w:p>
    <w:p>
      <w:pPr>
        <w:spacing w:line="276" w:lineRule="auto" w:after="80"/>
      </w:pPr>
      <w:r>
        <w:t>1.  Expectativas Irrealistas: Creer que la IAG es una solución mágica que eliminará por completo la necesidad de intervención humana. La IAG es una herramienta de asistencia, no un reemplazo autónomo para tareas complejas.</w:t>
      </w:r>
    </w:p>
    <w:p>
      <w:pPr>
        <w:spacing w:line="276" w:lineRule="auto" w:after="80"/>
      </w:pPr>
      <w:r>
        <w:t>2.  Ignorar la Calidad de los Datos: La IAG es tan buena como los datos con los que se entrena. Usar datos sesgados, incompletos o de baja calidad resultará en salidas sesgadas o incorrectas.</w:t>
      </w:r>
    </w:p>
    <w:p>
      <w:pPr>
        <w:spacing w:line="276" w:lineRule="auto" w:after="80"/>
      </w:pPr>
      <w:r>
        <w:t>3.  Falta de Supervisión Humana: Delegar completamente la generación de contenido crítico a la IAG sin revisión. Esto puede llevar a la difusión de información errónea, alucinaciones o incluso a la violación de normativas.</w:t>
      </w:r>
    </w:p>
    <w:p>
      <w:pPr>
        <w:spacing w:line="276" w:lineRule="auto" w:after="80"/>
      </w:pPr>
      <w:r>
        <w:t>4.  Descuidar la Seguridad y Privacidad: Alimentar modelos de IAG con datos sensibles de asegurados sin las debidas precauciones de anonimización o seguridad puede generar graves riesgos de cumplimiento y reputación.</w:t>
      </w:r>
    </w:p>
    <w:p>
      <w:pPr>
        <w:spacing w:line="276" w:lineRule="auto" w:after="80"/>
      </w:pPr>
      <w:r>
        <w:t>5.  No Invertir en "Prompt Engineering": La calidad de la salida de la IAG depende en gran medida de la calidad de las instrucciones (prompts) que se le dan. No capacitar al equipo en cómo formular prompts efectivos es un error común.</w:t>
      </w:r>
    </w:p>
    <w:p>
      <w:pPr>
        <w:spacing w:line="276" w:lineRule="auto" w:after="80"/>
      </w:pPr>
      <w:r>
        <w:t>6.  Subestimar la Resistencia al Cambio: La introducción de nuevas tecnologías puede generar temor o resistencia en el equipo. Una comunicación deficiente y la falta de involucramiento pueden sabotear la adopción.</w:t>
      </w:r>
    </w:p>
    <w:p/>
    <w:p>
      <w:r>
        <w:rPr>
          <w:color w:val="B4B4B4"/>
        </w:rPr>
        <w:t>----------------------------------------</w:t>
      </w:r>
    </w:p>
    <w:p/>
    <w:p>
      <w:r>
        <w:rPr>
          <w:b/>
          <w:color w:val="1A5276"/>
          <w:sz w:val="24"/>
        </w:rPr>
        <w:t>7) EN UNA LÍNEA</w:t>
      </w:r>
    </w:p>
    <w:p>
      <w:pPr>
        <w:spacing w:line="276" w:lineRule="auto" w:after="80"/>
      </w:pPr>
      <w:r>
        <w:t>La Inteligencia Artificial Generativa transforma la eficiencia operativa y la experiencia del cliente en seguros de personas al automatizar la creación de contenido contextualizado y personalizado, requiriendo una gestión estratégica de datos y procesos.</w:t>
      </w:r>
    </w:p>
    <w:p/>
    <w:p>
      <w:r>
        <w:rPr>
          <w:color w:val="B4B4B4"/>
        </w:rPr>
        <w:t>----------------------------------------</w:t>
      </w:r>
    </w:p>
    <w:p>
      <w:r>
        <w:rPr>
          <w:b/>
          <w:color w:val="1A5276"/>
          <w:sz w:val="24"/>
        </w:rPr>
        <w:t>FUENTES DE REFERENCIA</w:t>
      </w:r>
    </w:p>
    <w:p>
      <w:pPr>
        <w:spacing w:line="276" w:lineRule="auto" w:after="80"/>
      </w:pPr>
      <w:r>
        <w:t>- LatentView Analytics. Generative AI in Insurance: Use Cases, Benefits &amp; Future Trends. (2026, May 29).</w:t>
      </w:r>
    </w:p>
    <w:p>
      <w:pPr>
        <w:spacing w:line="276" w:lineRule="auto" w:after="80"/>
      </w:pPr>
      <w:r>
        <w:t>- Cleveroad. Challenges of Generative AI Solutions in Insurance. (2026, February 12).</w:t>
      </w:r>
    </w:p>
    <w:p>
      <w:pPr>
        <w:spacing w:line="276" w:lineRule="auto" w:after="80"/>
      </w:pPr>
      <w:r>
        <w:t>- Centric Consulting. How to Use Generative AI in Insurance for Improved Efficiency. (2025, December 16).</w:t>
      </w:r>
    </w:p>
    <w:p>
      <w:pPr>
        <w:spacing w:line="276" w:lineRule="auto" w:after="80"/>
      </w:pPr>
      <w:r>
        <w:t>- Rishabh Software. Generative AI in Insurance: Use Cases, Benefits &amp; Roadmap. (2025, July 04).</w:t>
      </w:r>
    </w:p>
    <w:p>
      <w:pPr>
        <w:spacing w:line="276" w:lineRule="auto" w:after="80"/>
      </w:pPr>
      <w:r>
        <w:t>- Hexaware. Generative AI in Insurance: Challenges to Opportunities. (2025, April 15).</w:t>
      </w:r>
    </w:p>
    <w:p>
      <w:pPr>
        <w:spacing w:line="276" w:lineRule="auto" w:after="80"/>
      </w:pPr>
      <w:r>
        <w:t>- Appian. Generative AI in Insurance: Top 5 Use Cases. (2023, December 12).</w:t>
      </w:r>
    </w:p>
    <w:p>
      <w:pPr>
        <w:spacing w:line="276" w:lineRule="auto" w:after="80"/>
      </w:pPr>
      <w:r>
        <w:t>- Floatbot.AI. How Generative AI in Insurance empowers Insurance Operations.</w:t>
      </w:r>
    </w:p>
    <w:p>
      <w:pPr>
        <w:spacing w:line="276" w:lineRule="auto" w:after="80"/>
      </w:pPr>
      <w:r>
        <w:t>- R&amp;I Editorial Team. Generative AI in Insurance Claims Faces a Scale Problem. (2025, December 17).</w:t>
      </w:r>
    </w:p>
    <w:p>
      <w:pPr>
        <w:spacing w:line="276" w:lineRule="auto" w:after="80"/>
      </w:pPr>
      <w:r>
        <w:t>- Peakflo Blog. Generative AI in Insurance: 12 Practical Use Cases for Claims, Finance, and Operations in 2026. (2026, July 11).</w:t>
      </w:r>
    </w:p>
    <w:p>
      <w:pPr>
        <w:spacing w:line="276" w:lineRule="auto" w:after="80"/>
      </w:pPr>
      <w:r>
        <w:t>- WRITER. Generative AI insurance use cases.</w:t>
      </w:r>
    </w:p>
    <w:p>
      <w:pPr>
        <w:spacing w:line="276" w:lineRule="auto" w:after="80"/>
      </w:pPr>
      <w:r>
        <w:t>- Equisoft. El papel de la inteligencia artificial en los seguros de vida | Guía completa. (2026, August 19).</w:t>
      </w:r>
    </w:p>
    <w:p>
      <w:pPr>
        <w:spacing w:line="276" w:lineRule="auto" w:after="80"/>
      </w:pPr>
      <w:r>
        <w:t>- A3Logics. Large Language Models (LLMs) for Insurance: Opportunities, Architecture, and Implementation. (2025, September 29).</w:t>
      </w:r>
    </w:p>
    <w:p>
      <w:pPr>
        <w:spacing w:line="276" w:lineRule="auto" w:after="80"/>
      </w:pPr>
      <w:r>
        <w:t>- EXL. AI-powered insurance workflows: Operationalizing LLMs with EXL Insurance LLM.</w:t>
      </w:r>
    </w:p>
    <w:p>
      <w:pPr>
        <w:spacing w:line="276" w:lineRule="auto" w:after="80"/>
      </w:pPr>
      <w:r>
        <w:t>- SAS. La IA transforma los seguros: ocho ejemplos de su funcionamiento. (2025, May 13).</w:t>
      </w:r>
    </w:p>
    <w:p>
      <w:pPr>
        <w:spacing w:line="276" w:lineRule="auto" w:after="80"/>
      </w:pPr>
      <w:r>
        <w:t>- EY. Cómo revolucionar la cadena de valor de los seguros con IA generativa. (2025, February 18).</w:t>
      </w:r>
    </w:p>
    <w:p>
      <w:pPr>
        <w:spacing w:line="276" w:lineRule="auto" w:after="80"/>
      </w:pPr>
      <w:r>
        <w:t>- ScienceSoft. Large Language Models (LLMs) for Insurance: Opportunities, Architecture, and Implementation. (2026, September 04).</w:t>
      </w:r>
    </w:p>
    <w:p>
      <w:pPr>
        <w:spacing w:line="276" w:lineRule="auto" w:after="80"/>
      </w:pPr>
      <w:r>
        <w:t>- Appian. Introducción a la IA generativa en seguros: Beneficios y casos de uso. (2023, December 12).</w:t>
      </w:r>
    </w:p>
    <w:p>
      <w:pPr>
        <w:spacing w:line="276" w:lineRule="auto" w:after="80"/>
      </w:pPr>
      <w:r>
        <w:t>- Bain &amp; Company. Generative AI in Insurance. (2026, January 14).</w:t>
      </w:r>
    </w:p>
    <w:p>
      <w:pPr>
        <w:spacing w:line="276" w:lineRule="auto" w:after="80"/>
      </w:pPr>
      <w:r>
        <w:t>- Datos Insights. Large Language Models: The Next Big Disruptor in Insurance. (2024, September 19).</w:t>
      </w:r>
    </w:p>
    <w:p>
      <w:pPr>
        <w:spacing w:line="276" w:lineRule="auto" w:after="80"/>
      </w:pPr>
      <w:r>
        <w:t>- ASL International. IA generativa y tecnología "Deepfake": implicaciones para los seguros.</w:t>
      </w:r>
    </w:p>
    <w:p>
      <w:pPr>
        <w:spacing w:line="276" w:lineRule="auto" w:after="80"/>
      </w:pPr>
      <w:r>
        <w:t>- ValueMomentum. Mitigating the Risks of Generative AI in Insurance. (2024, July 26).</w:t>
      </w:r>
    </w:p>
    <w:p>
      <w:pPr>
        <w:spacing w:line="276" w:lineRule="auto" w:after="80"/>
      </w:pPr>
      <w:r>
        <w:t>- Lyzr. Generative AI Insurance 2026: Guide for Brokers &amp; Agents. (2026, August 31).</w:t>
      </w:r>
    </w:p>
    <w:p>
      <w:pPr>
        <w:spacing w:line="276" w:lineRule="auto" w:after="80"/>
      </w:pPr>
      <w:r>
        <w:t>- The National CIO Review. The Insurance Industry's AI Challenge. (2026, July 01).</w:t>
      </w:r>
    </w:p>
    <w:p>
      <w:pPr>
        <w:spacing w:line="276" w:lineRule="auto" w:after="80"/>
      </w:pPr>
      <w:r>
        <w:t>- Medium. Challenges of Generative AI Solutions in Insurance | by Cleveroad. (2026, February 12).</w:t>
      </w:r>
    </w:p>
    <w:p>
      <w:pPr>
        <w:spacing w:line="276" w:lineRule="auto" w:after="80"/>
      </w:pPr>
      <w:r>
        <w:t>- Appian. Introducción a la IA generativa en seguros: Beneficios y casos de uso. (2023, December 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