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after="80"/>
      </w:pPr>
      <w:r>
        <w:t>COSTO PROMEDIO PONDERADO DE CAPITAL (WACC) EN ASEGURADORAS DE PERSONAS</w:t>
      </w:r>
    </w:p>
    <w:p/>
    <w:p>
      <w:r>
        <w:rPr>
          <w:i/>
          <w:color w:val="646464"/>
          <w:sz w:val="20"/>
        </w:rPr>
        <w:t>Fecha: 2026-09-25 | Área: Administración de empresas | Lectura estimada: 12 minutos</w:t>
      </w:r>
    </w:p>
    <w:p/>
    <w:p>
      <w:r>
        <w:rPr>
          <w:color w:val="B4B4B4"/>
        </w:rPr>
        <w:t>----------------------------------------</w:t>
      </w:r>
    </w:p>
    <w:p>
      <w:r>
        <w:rPr>
          <w:b/>
          <w:color w:val="1A5276"/>
          <w:sz w:val="24"/>
        </w:rPr>
        <w:t>1) CONCEPTO</w:t>
      </w:r>
    </w:p>
    <w:p>
      <w:pPr>
        <w:spacing w:line="276" w:lineRule="auto" w:after="80"/>
      </w:pPr>
      <w:r>
        <w:t>El Costo Promedio Ponderado de Capital (WACC, por sus siglas en inglés, Weighted Average Cost of Capital) es una métrica financiera fundamental que representa la tasa mínima de retorno que una empresa debe generar sobre sus activos para satisfacer a sus proveedores de capital, tanto acreedores como accionistas. En el contexto de una aseguradora de personas, el WACC no es solo un indicador contable, sino una herramienta estratégica crucial para la toma de decisiones de inversión, la valoración de proyectos, la fijación de precios de productos y la gestión del valor. Refleja el costo de financiar las operaciones y el crecimiento de la compañía, ponderando el costo de la deuda y el costo del capital propio según su proporción en la estructura de capital de la aseguradora. Es, en esencia, la tasa de descuento adecuada para evaluar la rentabilidad de las inversiones de la compañía, asegurando que cada proyecto genere un valor superior al costo de su financiamiento.</w:t>
      </w:r>
    </w:p>
    <w:p/>
    <w:p>
      <w:r>
        <w:rPr>
          <w:color w:val="B4B4B4"/>
        </w:rPr>
        <w:t>----------------------------------------</w:t>
      </w:r>
    </w:p>
    <w:p>
      <w:r>
        <w:rPr>
          <w:b/>
          <w:color w:val="1A5276"/>
          <w:sz w:val="24"/>
        </w:rPr>
        <w:t>2) FÓRMULA / COMPONENTES / MECÁNICA</w:t>
      </w:r>
    </w:p>
    <w:p>
      <w:pPr>
        <w:spacing w:line="276" w:lineRule="auto" w:after="80"/>
      </w:pPr>
      <w:r>
        <w:t>La fórmula general del WACC es la siguiente:</w:t>
      </w:r>
    </w:p>
    <w:p/>
    <w:p>
      <w:pPr>
        <w:spacing w:line="276" w:lineRule="auto" w:after="80"/>
      </w:pPr>
      <w:r>
        <w:t>WACC = (E/V) * Ke + (D/V) * Kd * (1 - T)</w:t>
      </w:r>
    </w:p>
    <w:p/>
    <w:p>
      <w:pPr>
        <w:spacing w:line="276" w:lineRule="auto" w:after="80"/>
      </w:pPr>
      <w:r>
        <w:t>Donde:</w:t>
      </w:r>
    </w:p>
    <w:p>
      <w:pPr>
        <w:spacing w:line="276" w:lineRule="auto" w:after="80"/>
      </w:pPr>
      <w:r>
        <w:t>- E: Valor de mercado del capital propio (Equity).</w:t>
      </w:r>
    </w:p>
    <w:p>
      <w:pPr>
        <w:spacing w:line="276" w:lineRule="auto" w:after="80"/>
      </w:pPr>
      <w:r>
        <w:t>- D: Valor de mercado de la deuda (Debt).</w:t>
      </w:r>
    </w:p>
    <w:p>
      <w:pPr>
        <w:spacing w:line="276" w:lineRule="auto" w:after="80"/>
      </w:pPr>
      <w:r>
        <w:t>- V: Valor total de mercado del financiamiento de la empresa (E + D).</w:t>
      </w:r>
    </w:p>
    <w:p>
      <w:pPr>
        <w:spacing w:line="276" w:lineRule="auto" w:after="80"/>
      </w:pPr>
      <w:r>
        <w:t>- Ke: Costo del capital propio (Cost of Equity). Se suele estimar utilizando el Modelo de Valoración de Activos Financieros (CAPM, Capital Asset Pricing Model): Ke = Rf + Beta * (Rm - Rf).</w:t>
      </w:r>
    </w:p>
    <w:p>
      <w:pPr>
        <w:spacing w:line="276" w:lineRule="auto" w:after="80"/>
      </w:pPr>
      <w:r>
        <w:t>- Rf: Tasa libre de riesgo (ej. rendimiento de bonos del tesoro de un país estable).</w:t>
      </w:r>
    </w:p>
    <w:p>
      <w:pPr>
        <w:spacing w:line="276" w:lineRule="auto" w:after="80"/>
      </w:pPr>
      <w:r>
        <w:t>- Beta: Medida de la volatilidad del retorno de la acción de la aseguradora en relación con el mercado.</w:t>
      </w:r>
    </w:p>
    <w:p>
      <w:pPr>
        <w:spacing w:line="276" w:lineRule="auto" w:after="80"/>
      </w:pPr>
      <w:r>
        <w:t>- (Rm - Rf): Prima de riesgo de mercado.</w:t>
      </w:r>
    </w:p>
    <w:p>
      <w:pPr>
        <w:spacing w:line="276" w:lineRule="auto" w:after="80"/>
      </w:pPr>
      <w:r>
        <w:t>- Kd: Costo de la deuda antes de impuestos (Cost of Debt). Representa la tasa de interés que la aseguradora paga por su deuda (préstamos bancarios, bonos emitidos).</w:t>
      </w:r>
    </w:p>
    <w:p>
      <w:pPr>
        <w:spacing w:line="276" w:lineRule="auto" w:after="80"/>
      </w:pPr>
      <w:r>
        <w:t>- T: Tasa impositiva corporativa. El costo de la deuda se ajusta por el escudo fiscal, ya que los intereses de la deuda son deducibles de impuestos.</w:t>
      </w:r>
    </w:p>
    <w:p/>
    <w:p>
      <w:pPr>
        <w:spacing w:line="276" w:lineRule="auto" w:after="80"/>
      </w:pPr>
      <w:r>
        <w:t>La mecánica implica calcular el costo de cada fuente de financiamiento por separado (capital propio y deuda), y luego ponderarlos por su participación en la estructura de capital de la aseguradora. Es fundamental usar valores de mercado para E y D, no valores contables, ya que el WACC busca reflejar el costo de oportunidad actual del capital.</w:t>
      </w:r>
    </w:p>
    <w:p/>
    <w:p>
      <w:r>
        <w:rPr>
          <w:color w:val="B4B4B4"/>
        </w:rPr>
        <w:t>----------------------------------------</w:t>
      </w:r>
    </w:p>
    <w:p>
      <w:r>
        <w:rPr>
          <w:b/>
          <w:color w:val="1A5276"/>
          <w:sz w:val="24"/>
        </w:rPr>
        <w:t>3) APLICABILIDAD POR RAMO / CONTEXTO</w:t>
      </w:r>
    </w:p>
    <w:p>
      <w:pPr>
        <w:spacing w:line="276" w:lineRule="auto" w:after="80"/>
      </w:pPr>
      <w:r>
        <w:t>En seguros de personas, el WACC tiene múltiples aplicaciones:</w:t>
      </w:r>
    </w:p>
    <w:p>
      <w:pPr>
        <w:spacing w:line="276" w:lineRule="auto" w:after="80"/>
      </w:pPr>
      <w:r>
        <w:t>- Valoración de la aseguradora: Es la tasa de descuento clave para valuar la empresa o sus unidades de negocio mediante el flujo de fondos descontados (DCF).</w:t>
      </w:r>
    </w:p>
    <w:p>
      <w:pPr>
        <w:spacing w:line="276" w:lineRule="auto" w:after="80"/>
      </w:pPr>
      <w:r>
        <w:t>- Evaluación de proyectos de inversión: Tu equipo puede usar el WACC como la tasa de corte para proyectos de tecnología, expansión de canales de venta, o desarrollo de nuevos productos. Si el Valor Actual Neto (VAN) de un proyecto es positivo al descontar sus flujos con el WACC, el proyecto crea valor.</w:t>
      </w:r>
    </w:p>
    <w:p>
      <w:pPr>
        <w:spacing w:line="276" w:lineRule="auto" w:after="80"/>
      </w:pPr>
      <w:r>
        <w:t>- Diseño y tarificación de productos: Indirectamente, el WACC influye en la rentabilidad mínima esperada de los productos. Un producto de Vida con flujos de caja a muy largo plazo y menor volatilidad podría tener un perfil de riesgo diferente al de un seguro de Accidentes Personales o Salud, que son de corto plazo y más volátiles. Aunque no se usa directamente para la prima técnica, sí es relevante para la prima comercial y la rentabilidad esperada por el accionista.</w:t>
      </w:r>
    </w:p>
    <w:p>
      <w:pPr>
        <w:spacing w:line="276" w:lineRule="auto" w:after="80"/>
      </w:pPr>
      <w:r>
        <w:t>- Asignación de capital: Permite a la gerencia evaluar qué ramos o líneas de negocio están generando retornos por encima de su costo de capital, guiando decisiones estratégicas sobre dónde invertir o desinvertir.</w:t>
      </w:r>
    </w:p>
    <w:p>
      <w:pPr>
        <w:spacing w:line="276" w:lineRule="auto" w:after="80"/>
      </w:pPr>
      <w:r>
        <w:t>- Fusiones y adquisiciones: Es fundamental para determinar el valor de una compañía objetivo o para evaluar la rentabilidad de una adquisición.</w:t>
      </w:r>
    </w:p>
    <w:p/>
    <w:p>
      <w:r>
        <w:rPr>
          <w:color w:val="B4B4B4"/>
        </w:rPr>
        <w:t>----------------------------------------</w:t>
      </w:r>
    </w:p>
    <w:p>
      <w:r>
        <w:rPr>
          <w:b/>
          <w:color w:val="1A5276"/>
          <w:sz w:val="24"/>
        </w:rPr>
        <w:t>4) EJEMPLO NUMÉRICO O CASO CONCRETO</w:t>
      </w:r>
    </w:p>
    <w:p>
      <w:pPr>
        <w:spacing w:line="276" w:lineRule="auto" w:after="80"/>
      </w:pPr>
      <w:r>
        <w:t>Consideremos una aseguradora de personas hipotética en un mercado estable, con la siguiente estructura y costos:</w:t>
      </w:r>
    </w:p>
    <w:p>
      <w:pPr>
        <w:spacing w:line="276" w:lineRule="auto" w:after="80"/>
      </w:pPr>
      <w:r>
        <w:t>- Valor de mercado del capital propio (E): $700 millones</w:t>
      </w:r>
    </w:p>
    <w:p>
      <w:pPr>
        <w:spacing w:line="276" w:lineRule="auto" w:after="80"/>
      </w:pPr>
      <w:r>
        <w:t>- Valor de mercado de la deuda (D): $300 millones</w:t>
      </w:r>
    </w:p>
    <w:p>
      <w:pPr>
        <w:spacing w:line="276" w:lineRule="auto" w:after="80"/>
      </w:pPr>
      <w:r>
        <w:t>- Valor total de mercado (V = E + D): $1.000 millones</w:t>
      </w:r>
    </w:p>
    <w:p>
      <w:pPr>
        <w:spacing w:line="276" w:lineRule="auto" w:after="80"/>
      </w:pPr>
      <w:r>
        <w:t>- Proporción de capital propio (E/V): 70%</w:t>
      </w:r>
    </w:p>
    <w:p>
      <w:pPr>
        <w:spacing w:line="276" w:lineRule="auto" w:after="80"/>
      </w:pPr>
      <w:r>
        <w:t>- Proporción de deuda (D/V): 30%</w:t>
      </w:r>
    </w:p>
    <w:p>
      <w:pPr>
        <w:spacing w:line="276" w:lineRule="auto" w:after="80"/>
      </w:pPr>
      <w:r>
        <w:t>- Costo del capital propio (Ke): 12% (calculado vía CAPM, asumiendo una tasa libre de riesgo, beta y prima de riesgo de mercado).</w:t>
      </w:r>
    </w:p>
    <w:p>
      <w:pPr>
        <w:spacing w:line="276" w:lineRule="auto" w:after="80"/>
      </w:pPr>
      <w:r>
        <w:t>- Costo de la deuda antes de impuestos (Kd): 8% (tasa promedio de sus bonos y préstamos).</w:t>
      </w:r>
    </w:p>
    <w:p>
      <w:pPr>
        <w:spacing w:line="276" w:lineRule="auto" w:after="80"/>
      </w:pPr>
      <w:r>
        <w:t>- Tasa impositiva corporativa (T): 30%.</w:t>
      </w:r>
    </w:p>
    <w:p/>
    <w:p>
      <w:pPr>
        <w:spacing w:line="276" w:lineRule="auto" w:after="80"/>
      </w:pPr>
      <w:r>
        <w:t>Cálculo del WACC:</w:t>
      </w:r>
    </w:p>
    <w:p>
      <w:pPr>
        <w:spacing w:line="276" w:lineRule="auto" w:after="80"/>
      </w:pPr>
      <w:r>
        <w:t>WACC = (0.70 * 12%) + (0.30 * 8% * (1 - 0.30))</w:t>
      </w:r>
    </w:p>
    <w:p>
      <w:pPr>
        <w:spacing w:line="276" w:lineRule="auto" w:after="80"/>
      </w:pPr>
      <w:r>
        <w:t>WACC = 0.084 + (0.30 * 0.08 * 0.70)</w:t>
      </w:r>
    </w:p>
    <w:p>
      <w:pPr>
        <w:spacing w:line="276" w:lineRule="auto" w:after="80"/>
      </w:pPr>
      <w:r>
        <w:t>WACC = 0.084 + (0.024 * 0.70)</w:t>
      </w:r>
    </w:p>
    <w:p>
      <w:pPr>
        <w:spacing w:line="276" w:lineRule="auto" w:after="80"/>
      </w:pPr>
      <w:r>
        <w:t>WACC = 0.084 + 0.0168</w:t>
      </w:r>
    </w:p>
    <w:p>
      <w:pPr>
        <w:spacing w:line="276" w:lineRule="auto" w:after="80"/>
      </w:pPr>
      <w:r>
        <w:t>WACC = 0.1008 o 10.08%</w:t>
      </w:r>
    </w:p>
    <w:p/>
    <w:p>
      <w:pPr>
        <w:spacing w:line="276" w:lineRule="auto" w:after="80"/>
      </w:pPr>
      <w:r>
        <w:t>En este caso, el WACC de la aseguradora es del 10.08%. Esto significa que, en promedio, cada peso de capital utilizado por la empresa tiene un costo del 10.08%. Cualquier proyecto o inversión que tu equipo proponga deberá generar un retorno superior a este 10.08% para crear valor para los accionistas.</w:t>
      </w:r>
    </w:p>
    <w:p/>
    <w:p>
      <w:r>
        <w:rPr>
          <w:color w:val="B4B4B4"/>
        </w:rPr>
        <w:t>----------------------------------------</w:t>
      </w:r>
    </w:p>
    <w:p>
      <w:r>
        <w:rPr>
          <w:b/>
          <w:color w:val="1A5276"/>
          <w:sz w:val="24"/>
        </w:rPr>
        <w:t>5) APLICACIÓN PRÁCTICA PARA UN LÍDER DE EQUIPO</w:t>
      </w:r>
    </w:p>
    <w:p>
      <w:pPr>
        <w:spacing w:line="276" w:lineRule="auto" w:after="80"/>
      </w:pPr>
      <w:r>
        <w:t>Como líder de equipo, comprender el WACC te permite:</w:t>
      </w:r>
    </w:p>
    <w:p>
      <w:pPr>
        <w:spacing w:line="276" w:lineRule="auto" w:after="80"/>
      </w:pPr>
      <w:r>
        <w:t>- Evaluar la viabilidad de iniciativas: Cuando tu equipo propone un nuevo sistema, una campaña de marketing o el desarrollo de un producto, preguntate: ¿Cuál es el retorno esperado de esta inversión? ¿Supera el WACC de la compañía? Esto te ayuda a justificar la asignación de recursos y a priorizar proyectos que realmente generen valor.</w:t>
      </w:r>
    </w:p>
    <w:p>
      <w:pPr>
        <w:spacing w:line="276" w:lineRule="auto" w:after="80"/>
      </w:pPr>
      <w:r>
        <w:t>- Dialogar con tu superior directo y el área de Finanzas: Entender el WACC te da un lenguaje común para discutir la rentabilidad y el riesgo de las propuestas de tu gerencia. Podés argumentar por qué un proyecto es estratégico, incluso si su retorno inicial es ajustado, si entendés cómo se alinea con la creación de valor a largo plazo y el costo de capital de la empresa.</w:t>
      </w:r>
    </w:p>
    <w:p>
      <w:pPr>
        <w:spacing w:line="276" w:lineRule="auto" w:after="80"/>
      </w:pPr>
      <w:r>
        <w:t>- Mejorar la gestión de tu presupuesto: Al conocer el costo del capital, podés tomar decisiones más informadas sobre cómo utilizar los fondos asignados a tu área, buscando siempre maximizar el retorno por encima de ese costo.</w:t>
      </w:r>
    </w:p>
    <w:p>
      <w:pPr>
        <w:spacing w:line="276" w:lineRule="auto" w:after="80"/>
      </w:pPr>
      <w:r>
        <w:t>- Fomentar una cultura de creación de valor: Al comunicar a tu equipo la importancia de generar retornos superiores al WACC, los incentivás a pensar de manera más estratégica sobre la eficiencia y la rentabilidad de sus acciones. Considerá el WACC como tu "tasa de corte" interna para la rentabilidad de las inversiones.</w:t>
      </w:r>
    </w:p>
    <w:p/>
    <w:p>
      <w:r>
        <w:rPr>
          <w:color w:val="B4B4B4"/>
        </w:rPr>
        <w:t>----------------------------------------</w:t>
      </w:r>
    </w:p>
    <w:p>
      <w:r>
        <w:rPr>
          <w:b/>
          <w:color w:val="1A5276"/>
          <w:sz w:val="24"/>
        </w:rPr>
        <w:t>6) ERRORES COMUNES O PUNTOS CIEGOS</w:t>
      </w:r>
    </w:p>
    <w:p>
      <w:pPr>
        <w:spacing w:line="276" w:lineRule="auto" w:after="80"/>
      </w:pPr>
      <w:r>
        <w:t>- Usar valores contables en lugar de mercado: El error más frecuente es utilizar los valores de libros para el capital propio y la deuda en lugar de sus valores de mercado, lo que distorsiona las ponderaciones.</w:t>
      </w:r>
    </w:p>
    <w:p>
      <w:pPr>
        <w:spacing w:line="276" w:lineRule="auto" w:after="80"/>
      </w:pPr>
      <w:r>
        <w:t>- Estimación incorrecta de los componentes: Calcular el Ke (especialmente la Beta) y el Kd puede ser complejo, sobre todo en mercados emergentes como el argentino, donde la volatilidad y la disponibilidad de datos pueden dificultar una estimación precisa. La elección de la tasa libre de riesgo y la prima de riesgo de mercado es crítica.</w:t>
      </w:r>
    </w:p>
    <w:p>
      <w:pPr>
        <w:spacing w:line="276" w:lineRule="auto" w:after="80"/>
      </w:pPr>
      <w:r>
        <w:t>- No ajustar por el riesgo del proyecto: El WACC es el costo promedio de capital de la empresa. Proyectos con un riesgo significativamente diferente al promedio de la compañía deberían ser evaluados con una tasa de descuento ajustada por su riesgo específico, no necesariamente con el WACC general.</w:t>
      </w:r>
    </w:p>
    <w:p>
      <w:pPr>
        <w:spacing w:line="276" w:lineRule="auto" w:after="80"/>
      </w:pPr>
      <w:r>
        <w:t>- Ignorar el impacto de la estructura de capital: Cambios en la proporción de deuda y capital propio (ej. emisión de nuevas acciones o toma de más deuda) alteran el WACC y, por ende, la tasa de descuento para futuras inversiones.</w:t>
      </w:r>
    </w:p>
    <w:p>
      <w:pPr>
        <w:spacing w:line="276" w:lineRule="auto" w:after="80"/>
      </w:pPr>
      <w:r>
        <w:t>- Confundir WACC con el costo de oportunidad del capital para el accionista: El WACC es el costo para la empresa en su conjunto, no solo para los accionistas. El Ke es el costo para los accionistas.</w:t>
      </w:r>
    </w:p>
    <w:p/>
    <w:p>
      <w:r>
        <w:rPr>
          <w:color w:val="B4B4B4"/>
        </w:rPr>
        <w:t>----------------------------------------</w:t>
      </w:r>
    </w:p>
    <w:p>
      <w:r>
        <w:rPr>
          <w:b/>
          <w:color w:val="1A5276"/>
          <w:sz w:val="24"/>
        </w:rPr>
        <w:t>7) EN UNA LÍNEA</w:t>
      </w:r>
    </w:p>
    <w:p>
      <w:pPr>
        <w:spacing w:line="276" w:lineRule="auto" w:after="80"/>
      </w:pPr>
      <w:r>
        <w:t>El WACC es la tasa mínima de retorno que tu aseguradora debe generar para satisfacer a sus inversores, siendo una brújula esencial para la valoración y la toma de decisiones estratégicas de inversión.</w:t>
      </w:r>
    </w:p>
    <w:p/>
    <w:p>
      <w:r>
        <w:rPr>
          <w:color w:val="B4B4B4"/>
        </w:rPr>
        <w:t>----------------------------------------</w:t>
      </w:r>
    </w:p>
    <w:p>
      <w:r>
        <w:rPr>
          <w:b/>
          <w:color w:val="1A5276"/>
          <w:sz w:val="24"/>
        </w:rPr>
        <w:t>FUENTES DE REFERENCIA</w:t>
      </w:r>
    </w:p>
    <w:p>
      <w:pPr>
        <w:spacing w:line="276" w:lineRule="auto" w:after="80"/>
      </w:pPr>
      <w:r>
        <w:t>- Brealey, R. A., Myers, S. C., &amp; Allen, F. (2020). Principles of Corporate Finance (13th ed.). McGraw-Hill Education.</w:t>
      </w:r>
    </w:p>
    <w:p>
      <w:pPr>
        <w:spacing w:line="276" w:lineRule="auto" w:after="80"/>
      </w:pPr>
      <w:r>
        <w:t>- Damodaran, A. (2012). Investment Valuation: Tools and Techniques for Determining the Value of Any Asset (3rd ed.). Wiley.</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