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GESTIÓN DE ACTIVOS Y PASIVOS (ALM) EN SEGUROS DE VIDA Y RETIRO: ESTRATEGIAS DE INMUNIZACIÓN Y RIESGO DE TASA</w:t>
      </w:r>
    </w:p>
    <w:p/>
    <w:p>
      <w:r>
        <w:rPr>
          <w:i/>
          <w:color w:val="646464"/>
          <w:sz w:val="20"/>
        </w:rPr>
        <w:t>Fecha: 2026-10-03 | Área: Profundización técnica avanzada | Lectura estimada: 12 minutos</w:t>
      </w:r>
    </w:p>
    <w:p/>
    <w:p>
      <w:r>
        <w:rPr>
          <w:color w:val="B4B4B4"/>
        </w:rPr>
        <w:t>----------------------------------------</w:t>
      </w:r>
    </w:p>
    <w:p>
      <w:r>
        <w:rPr>
          <w:b/>
          <w:color w:val="1A5276"/>
          <w:sz w:val="24"/>
        </w:rPr>
        <w:t>1) CONCEPTO</w:t>
      </w:r>
    </w:p>
    <w:p>
      <w:pPr>
        <w:spacing w:line="276" w:lineRule="auto" w:after="80"/>
      </w:pPr>
      <w:r>
        <w:t>La Gestión de Activos y Pasivos (Asset-Liability Management, ALM) es un proceso estratégico fundamental para las aseguradoras, especialmente aquellas con productos de Vida y Retiro. Su objetivo primordial es optimizar el balance de la compañía, gestionando de forma integrada los activos que respaldan las obligaciones y los pasivos generados por las pólizas, con el fin de asegurar la solvencia, la rentabilidad y la liquidez a largo plazo. En el contexto de seguros de Vida y Retiro, el ALM se centra en mitigar el riesgo de tasa de interés, que surge de la potencial descalce entre la sensibilidad de los valores de activos y pasivos ante fluctuaciones en las tasas de mercado. Un ALM inadecuado, que ignore la naturaleza de las obligaciones a largo plazo, puede exponer a la compañía a un riesgo significativo de tasa de interés.</w:t>
      </w:r>
    </w:p>
    <w:p/>
    <w:p>
      <w:r>
        <w:rPr>
          <w:color w:val="B4B4B4"/>
        </w:rPr>
        <w:t>----------------------------------------</w:t>
      </w:r>
    </w:p>
    <w:p>
      <w:r>
        <w:rPr>
          <w:b/>
          <w:color w:val="1A5276"/>
          <w:sz w:val="24"/>
        </w:rPr>
        <w:t>2) FÓRMULA / COMPONENTES / MECÁNICA</w:t>
      </w:r>
    </w:p>
    <w:p>
      <w:pPr>
        <w:spacing w:line="276" w:lineRule="auto" w:after="80"/>
      </w:pPr>
      <w:r>
        <w:t>La inmunización es una estrategia clave dentro del ALM que busca proteger el valor de una cartera de activos y pasivos de los cambios en las tasas de interés. Se basa en el concepto de duración, que mide la sensibilidad del precio de un bono o de un flujo de pasivos a las variaciones en las tasas de interés.</w:t>
      </w:r>
    </w:p>
    <w:p/>
    <w:p>
      <w:pPr>
        <w:spacing w:line="276" w:lineRule="auto" w:after="80"/>
      </w:pPr>
      <w:r>
        <w:t>Existen dos tipos principales de duración:</w:t>
      </w:r>
    </w:p>
    <w:p>
      <w:pPr>
        <w:spacing w:line="276" w:lineRule="auto" w:after="80"/>
      </w:pPr>
      <w:r>
        <w:t>- Duración de Macaulay: Es el plazo medio ponderado de los flujos de caja, expresado en años.</w:t>
      </w:r>
    </w:p>
    <w:p>
      <w:pPr>
        <w:spacing w:line="276" w:lineRule="auto" w:after="80"/>
      </w:pPr>
      <w:r>
        <w:t>- Duración Modificada: Mide directamente la sensibilidad porcentual del precio de un activo o pasivo ante un cambio de un punto porcentual en su rendimiento. Se calcula como:</w:t>
      </w:r>
    </w:p>
    <w:p>
      <w:pPr>
        <w:spacing w:line="276" w:lineRule="auto" w:after="80"/>
      </w:pPr>
      <w:r>
        <w:t>D_m = D_Mac / (1 + r)</w:t>
      </w:r>
    </w:p>
    <w:p>
      <w:pPr>
        <w:spacing w:line="276" w:lineRule="auto" w:after="80"/>
      </w:pPr>
      <w:r>
        <w:t>Donde D_m es la duración modificada, D_Mac es la duración de Macaulay y r es la tasa interna de rendimiento (TIR) del bono o la tasa de descuento de los pasivos.</w:t>
      </w:r>
    </w:p>
    <w:p/>
    <w:p>
      <w:pPr>
        <w:spacing w:line="276" w:lineRule="auto" w:after="80"/>
      </w:pPr>
      <w:r>
        <w:t>La condición básica de inmunización de primer orden implica igualar la duración de la cartera de activos con la duración de la cartera de pasivos. Sin embargo, la duración es una aproximación lineal y solo es precisa para pequeños cambios en las tasas. Para cambios más grandes, es necesario considerar la convexidad.</w:t>
      </w:r>
    </w:p>
    <w:p/>
    <w:p>
      <w:pPr>
        <w:spacing w:line="276" w:lineRule="auto" w:after="80"/>
      </w:pPr>
      <w:r>
        <w:t>La Convexidad es una medida de segundo orden que describe cómo la duración de un activo o pasivo cambia a medida que varían las tasas de interés. Una convexidad positiva, generalmente presente en bonos normales, es favorable, ya que significa que la duración disminuye cuando las tasas suben y aumenta cuando bajan, lo que mitiga el impacto negativo de grandes movimientos de tasas. Una cartera inmunizada idealmente debería tener duraciones de activos y pasivos igualadas, y la convexidad de los activos mayor que la de los pasivos.</w:t>
      </w:r>
    </w:p>
    <w:p/>
    <w:p>
      <w:r>
        <w:rPr>
          <w:color w:val="B4B4B4"/>
        </w:rPr>
        <w:t>----------------------------------------</w:t>
      </w:r>
    </w:p>
    <w:p>
      <w:r>
        <w:rPr>
          <w:b/>
          <w:color w:val="1A5276"/>
          <w:sz w:val="24"/>
        </w:rPr>
        <w:t>3) APLICABILIDAD POR RAMO / CONTEXTO</w:t>
      </w:r>
    </w:p>
    <w:p>
      <w:pPr>
        <w:spacing w:line="276" w:lineRule="auto" w:after="80"/>
      </w:pPr>
      <w:r>
        <w:t>El ALM es de vital importancia para los ramos de Vida y Retiro debido a la naturaleza de sus pasivos. Los seguros de Vida con ahorro, las rentas vitalicias y los seguros de Retiro implican obligaciones a muy largo plazo, con flujos de caja futuros que son altamente sensibles a las tasas de interés. Una caída de las tasas de interés, por ejemplo, puede aumentar significativamente el valor presente de las reservas técnicas, requiriendo mayores provisiones y, potencialmente, más capital.</w:t>
      </w:r>
    </w:p>
    <w:p/>
    <w:p>
      <w:pPr>
        <w:spacing w:line="276" w:lineRule="auto" w:after="80"/>
      </w:pPr>
      <w:r>
        <w:t>En contraste, para los seguros de Accidentes Personales y Salud, que suelen tener pasivos de menor duración, la gestión del riesgo de tasa de interés es menos crítica, aunque sigue siendo relevante para las inversiones que respaldan las reservas de siniestros pendientes o las reservas de contingencia.</w:t>
      </w:r>
    </w:p>
    <w:p/>
    <w:p>
      <w:pPr>
        <w:spacing w:line="276" w:lineRule="auto" w:after="80"/>
      </w:pPr>
      <w:r>
        <w:t>En el contexto regulatorio argentino, la Superintendencia de Seguros de la Nación (SSN) establece un régimen de inversiones (como la Resolución SSN 40/2024 y la Resolución SSN 29.211/2003, entre otras) que, si bien no prescribe directamente estrategias de ALM, impone límites y requisitos de elegibilidad para los activos que respaldan las reservas técnicas. Estas regulaciones buscan asegurar la solvencia y la adecuada cobertura de los compromisos, lo que indirectamente impulsa a las aseguradoras a adoptar prácticas de ALM robustas. La Resolución SSN 388/2025, que actualiza el régimen informativo, también busca optimizar la trazabilidad y el control sobre las inversiones del sector.</w:t>
      </w:r>
    </w:p>
    <w:p/>
    <w:p>
      <w:r>
        <w:rPr>
          <w:color w:val="B4B4B4"/>
        </w:rPr>
        <w:t>----------------------------------------</w:t>
      </w:r>
    </w:p>
    <w:p>
      <w:r>
        <w:rPr>
          <w:b/>
          <w:color w:val="1A5276"/>
          <w:sz w:val="24"/>
        </w:rPr>
        <w:t>4) EJEMPLO NUMÉRICO O CASO CONCRETO</w:t>
      </w:r>
    </w:p>
    <w:p>
      <w:pPr>
        <w:spacing w:line="276" w:lineRule="auto" w:after="80"/>
      </w:pPr>
      <w:r>
        <w:t>Imaginemos una aseguradora de Retiro que tiene una obligación de pagar una renta vitalicia con una duración de Macaulay de 15 años. Para inmunizar esta obligación, la aseguradora busca invertir en una cartera de bonos que tenga una duración de Macaulay similar.</w:t>
      </w:r>
    </w:p>
    <w:p/>
    <w:p>
      <w:pPr>
        <w:spacing w:line="276" w:lineRule="auto" w:after="80"/>
      </w:pPr>
      <w:r>
        <w:t>Supongamos que la aseguradora tiene un pasivo (la renta vitalicia) con un valor presente de $10.000.000 y una duración de Macaulay de 15 años.</w:t>
      </w:r>
    </w:p>
    <w:p>
      <w:pPr>
        <w:spacing w:line="276" w:lineRule="auto" w:after="80"/>
      </w:pPr>
      <w:r>
        <w:t>Para inmunizar este pasivo, la aseguradora decide invertir en dos bonos:</w:t>
      </w:r>
    </w:p>
    <w:p>
      <w:pPr>
        <w:spacing w:line="276" w:lineRule="auto" w:after="80"/>
      </w:pPr>
      <w:r>
        <w:t>- Bono A: Valor nominal $5.000.000, Duración de Macaulay 10 años.</w:t>
      </w:r>
    </w:p>
    <w:p>
      <w:pPr>
        <w:spacing w:line="276" w:lineRule="auto" w:after="80"/>
      </w:pPr>
      <w:r>
        <w:t>- Bono B: Valor nominal $5.000.000, Duración de Macaulay 20 años.</w:t>
      </w:r>
    </w:p>
    <w:p/>
    <w:p>
      <w:pPr>
        <w:spacing w:line="276" w:lineRule="auto" w:after="80"/>
      </w:pPr>
      <w:r>
        <w:t>La duración de Macaulay de la cartera de activos sería el promedio ponderado de las duraciones de los bonos:</w:t>
      </w:r>
    </w:p>
    <w:p>
      <w:pPr>
        <w:spacing w:line="276" w:lineRule="auto" w:after="80"/>
      </w:pPr>
      <w:r>
        <w:t>D_Mac_Activos = ( ($5.000.000 / $10.000.000) * 10 años ) + ( ($5.000.000 / $10.000.000) * 20 años )</w:t>
      </w:r>
    </w:p>
    <w:p>
      <w:pPr>
        <w:spacing w:line="276" w:lineRule="auto" w:after="80"/>
      </w:pPr>
      <w:r>
        <w:t>D_Mac_Activos = (0.5 * 10) + (0.5 * 20) = 5 + 10 = 15 años.</w:t>
      </w:r>
    </w:p>
    <w:p/>
    <w:p>
      <w:pPr>
        <w:spacing w:line="276" w:lineRule="auto" w:after="80"/>
      </w:pPr>
      <w:r>
        <w:t>En este caso simplificado, la duración de Macaulay de la cartera de activos (15 años) coincide con la duración del pasivo (15 años), logrando una inmunización de primer orden. Esto significa que, ante pequeños cambios paralelos en la curva de tasas de interés, el valor de los activos y pasivos se moverá en la misma dirección y magnitud, manteniendo el balance de la compañía.</w:t>
      </w:r>
    </w:p>
    <w:p/>
    <w:p>
      <w:r>
        <w:rPr>
          <w:color w:val="B4B4B4"/>
        </w:rPr>
        <w:t>----------------------------------------</w:t>
      </w:r>
    </w:p>
    <w:p>
      <w:r>
        <w:rPr>
          <w:b/>
          <w:color w:val="1A5276"/>
          <w:sz w:val="24"/>
        </w:rPr>
        <w:t>5) APLICACIÓN PRÁCTICA PARA UN LÍDER DE EQUIPO</w:t>
      </w:r>
    </w:p>
    <w:p>
      <w:pPr>
        <w:spacing w:line="276" w:lineRule="auto" w:after="80"/>
      </w:pPr>
      <w:r>
        <w:t>Como líder de equipo en una gerencia de seguros de personas, tu rol en el ALM es crucial para la estabilidad y el éxito a largo plazo de tu área. Debés:</w:t>
      </w:r>
    </w:p>
    <w:p>
      <w:pPr>
        <w:spacing w:line="276" w:lineRule="auto" w:after="80"/>
      </w:pPr>
      <w:r>
        <w:t>- Entender los reportes de ALM: No solo los números finales, sino las sensibilidades, los supuestos de mercado y los escenarios de estrés utilizados. Preguntá a tu equipo actuarial sobre el "gap de duración" y el "gap de convexidad" entre activos y pasivos.</w:t>
      </w:r>
    </w:p>
    <w:p>
      <w:pPr>
        <w:spacing w:line="276" w:lineRule="auto" w:after="80"/>
      </w:pPr>
      <w:r>
        <w:t>- Fomentar la colaboración: Asegurá una comunicación fluida entre tu equipo (suscripción, siniestros, técnico) y las áreas de inversiones y finanzas. Las decisiones de producto (garantías, plazos) tienen un impacto directo en la duración de los pasivos.</w:t>
      </w:r>
    </w:p>
    <w:p>
      <w:pPr>
        <w:spacing w:line="276" w:lineRule="auto" w:after="80"/>
      </w:pPr>
      <w:r>
        <w:t>- Desafiar los supuestos: Revisá periódicamente los supuestos de tasas de interés, mortalidad y persistencia utilizados en los modelos de ALM. ¿Son realistas para el entorno económico argentino actual y futuro?</w:t>
      </w:r>
    </w:p>
    <w:p>
      <w:pPr>
        <w:spacing w:line="276" w:lineRule="auto" w:after="80"/>
      </w:pPr>
      <w:r>
        <w:t>- Monitorear KPIs relevantes: Más allá de la rentabilidad contable, seguí indicadores como la duración modificada de la cartera de activos y pasivos, el valor económico del capital bajo diferentes escenarios de tasas, y la liquidez disponible.</w:t>
      </w:r>
    </w:p>
    <w:p>
      <w:pPr>
        <w:spacing w:line="276" w:lineRule="auto" w:after="80"/>
      </w:pPr>
      <w:r>
        <w:t>- Comunicar el riesgo a tu superior directo: Traducí la complejidad del ALM en términos de impacto en la solvencia, la rentabilidad y la capacidad de la compañía para cumplir sus promesas a los asegurados. Proponé planes de acción para mitigar riesgos identificados.</w:t>
      </w:r>
    </w:p>
    <w:p/>
    <w:p>
      <w:r>
        <w:rPr>
          <w:color w:val="B4B4B4"/>
        </w:rPr>
        <w:t>----------------------------------------</w:t>
      </w:r>
    </w:p>
    <w:p>
      <w:r>
        <w:rPr>
          <w:b/>
          <w:color w:val="1A5276"/>
          <w:sz w:val="24"/>
        </w:rPr>
        <w:t>6) ERRORES COMUNES O PUNTOS CIEGOS</w:t>
      </w:r>
    </w:p>
    <w:p>
      <w:pPr>
        <w:spacing w:line="276" w:lineRule="auto" w:after="80"/>
      </w:pPr>
      <w:r>
        <w:t>- Ignorar la convexidad: Confiar únicamente en la duración puede llevar a errores significativos en la gestión del riesgo de tasa, especialmente ante grandes movimientos de tasas. La duración es una aproximación lineal, mientras que la convexidad captura la curvatura de la relación precio-rendimiento.</w:t>
      </w:r>
    </w:p>
    <w:p>
      <w:pPr>
        <w:spacing w:line="276" w:lineRule="auto" w:after="80"/>
      </w:pPr>
      <w:r>
        <w:t>- Asumir movimientos paralelos de la curva de tasas: En la realidad, la curva de rendimientos rara vez se mueve de forma paralela. Los cambios en la pendiente o la curvatura de la curva pueden descalzar carteras inmunizadas solo por duración.</w:t>
      </w:r>
    </w:p>
    <w:p>
      <w:pPr>
        <w:spacing w:line="276" w:lineRule="auto" w:after="80"/>
      </w:pPr>
      <w:r>
        <w:t>- Descuidar el riesgo de liquidez: Aunque el ALM se enfoca en el riesgo de tasa, la liquidez es igualmente vital. Una cartera puede estar inmunizada en términos de duración, pero si los activos no pueden liquidarse a tiempo para cumplir con las obligaciones, la compañía enfrentará problemas.</w:t>
      </w:r>
    </w:p>
    <w:p>
      <w:pPr>
        <w:spacing w:line="276" w:lineRule="auto" w:after="80"/>
      </w:pPr>
      <w:r>
        <w:t>- Falta de datos precisos o modelos inadecuados: La calidad de los resultados del ALM depende directamente de la precisión de los datos de activos y pasivos, así como de la sofisticación de los modelos utilizados para proyectar flujos y sensibilidades.</w:t>
      </w:r>
    </w:p>
    <w:p>
      <w:pPr>
        <w:spacing w:line="276" w:lineRule="auto" w:after="80"/>
      </w:pPr>
      <w:r>
        <w:t>- No considerar el impacto regulatorio: Los cambios en las normativas de reservas técnicas o de inversiones pueden alterar drásticamente la posición de ALM de una compañía, requiriendo ajustes proactivos.</w:t>
      </w:r>
    </w:p>
    <w:p/>
    <w:p>
      <w:r>
        <w:rPr>
          <w:color w:val="B4B4B4"/>
        </w:rPr>
        <w:t>----------------------------------------</w:t>
      </w:r>
    </w:p>
    <w:p>
      <w:r>
        <w:rPr>
          <w:b/>
          <w:color w:val="1A5276"/>
          <w:sz w:val="24"/>
        </w:rPr>
        <w:t>7) EN UNA LÍNEA</w:t>
      </w:r>
    </w:p>
    <w:p>
      <w:pPr>
        <w:spacing w:line="276" w:lineRule="auto" w:after="80"/>
      </w:pPr>
      <w:r>
        <w:t>El ALM es la brújula estratégica que alinea activos y pasivos para navegar el riesgo de tasa en seguros de Vida y Retiro, asegurando la promesa de valor a largo plazo.</w:t>
      </w:r>
    </w:p>
    <w:p/>
    <w:p>
      <w:r>
        <w:rPr>
          <w:color w:val="B4B4B4"/>
        </w:rPr>
        <w:t>----------------------------------------</w:t>
      </w:r>
    </w:p>
    <w:p>
      <w:r>
        <w:rPr>
          <w:b/>
          <w:color w:val="1A5276"/>
          <w:sz w:val="24"/>
        </w:rPr>
        <w:t>FUENTES DE REFERENCIA</w:t>
      </w:r>
    </w:p>
    <w:p>
      <w:pPr>
        <w:spacing w:line="276" w:lineRule="auto" w:after="80"/>
      </w:pPr>
      <w:r>
        <w:t>- Resolución SSN 40/2024 - Modificaciones al régimen de inversiones.</w:t>
      </w:r>
    </w:p>
    <w:p>
      <w:pPr>
        <w:spacing w:line="276" w:lineRule="auto" w:after="80"/>
      </w:pPr>
      <w:r>
        <w:t>- Resolución SSN 29.211/2003 - Régimen de Inversiones.</w:t>
      </w:r>
    </w:p>
    <w:p>
      <w:pPr>
        <w:spacing w:line="276" w:lineRule="auto" w:after="80"/>
      </w:pPr>
      <w:r>
        <w:t>- Resolución SSN 388/2025 - Actualización del régimen informativo para aseguradoras y reaseguradoras.</w:t>
      </w:r>
    </w:p>
    <w:p>
      <w:pPr>
        <w:spacing w:line="276" w:lineRule="auto" w:after="80"/>
      </w:pPr>
      <w:r>
        <w:t>- International Actuarial Association (IAA) Risk Book: Asset Liability Management Techniques and Practices for Insurance Companies.</w:t>
      </w:r>
    </w:p>
    <w:p>
      <w:pPr>
        <w:spacing w:line="276" w:lineRule="auto" w:after="80"/>
      </w:pPr>
      <w:r>
        <w:t>- Wikipedia: Duración modificada, Convexidad, Inmunización (finanzas).</w:t>
      </w:r>
    </w:p>
    <w:p>
      <w:pPr>
        <w:spacing w:line="276" w:lineRule="auto" w:after="80"/>
      </w:pPr>
      <w:r>
        <w:t>- Fundación Mapfre: Convexidad de un bono.</w:t>
      </w:r>
    </w:p>
    <w:p>
      <w:pPr>
        <w:spacing w:line="276" w:lineRule="auto" w:after="80"/>
      </w:pPr>
      <w:r>
        <w:t>- PwC: ¿Cómo pueden responder las aseguradoras a tasas de interés más altas?</w:t>
      </w:r>
    </w:p>
    <w:p>
      <w:pPr>
        <w:spacing w:line="276" w:lineRule="auto" w:after="80"/>
      </w:pPr>
      <w:r>
        <w:t>- Redalyc: Modelos de Inmunización de Carteras de Renta Fija.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