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ANÁLISIS DE SENSIBILIDAD Y ESCENARIOS DE ESTRÉS EN LA VALUACIÓN DE PASIVOS DE SEGUROS DE PERSONAS</w:t>
      </w:r>
    </w:p>
    <w:p/>
    <w:p>
      <w:r>
        <w:rPr>
          <w:i/>
          <w:color w:val="646464"/>
          <w:sz w:val="20"/>
        </w:rPr>
        <w:t>Fecha: 2026-10-12 | Área: Técnico actuarial / seguros de personas | Lectura estimada: 12 minutos</w:t>
      </w:r>
    </w:p>
    <w:p/>
    <w:p>
      <w:r>
        <w:rPr>
          <w:color w:val="B4B4B4"/>
        </w:rPr>
        <w:t>----------------------------------------</w:t>
      </w:r>
    </w:p>
    <w:p>
      <w:r>
        <w:rPr>
          <w:b/>
          <w:color w:val="1A5276"/>
          <w:sz w:val="24"/>
        </w:rPr>
        <w:t>1) CONCEPTO</w:t>
      </w:r>
    </w:p>
    <w:p>
      <w:pPr>
        <w:spacing w:line="276" w:lineRule="auto" w:after="80"/>
      </w:pPr>
      <w:r>
        <w:t>El análisis de sensibilidad y los escenarios de estrés son herramientas fundamentales en la gestión de riesgos actuariales, especialmente en la valuación de pasivos de seguros de personas. El análisis de sensibilidad evalúa cómo un cambio en un único parámetro de entrada (por ejemplo, la tasa de interés o la mortalidad) afecta el valor de los pasivos, manteniendo los demás parámetros constantes. Su objetivo es identificar los drivers más significativos de la volatilidad de las reservas y cuantificar su impacto individual. Los escenarios de estrés, por otro lado, examinan el impacto combinado de movimientos adversos y plausibles en múltiples parámetros simultáneamente, simulando situaciones extremas pero posibles (como una crisis económica severa, una pandemia o un cambio demográfico drástico). Ambos análisis son cruciales para entender la robustez de la posición financiera de la aseguradora, informar la toma de decisiones estratégicas y cumplir con las expectativas regulatorias de una gestión de riesgos prudente.</w:t>
      </w:r>
    </w:p>
    <w:p/>
    <w:p>
      <w:r>
        <w:rPr>
          <w:color w:val="B4B4B4"/>
        </w:rPr>
        <w:t>----------------------------------------</w:t>
      </w:r>
    </w:p>
    <w:p>
      <w:r>
        <w:rPr>
          <w:b/>
          <w:color w:val="1A5276"/>
          <w:sz w:val="24"/>
        </w:rPr>
        <w:t>2) FÓRMULA / COMPONENTES / MECÁNICA</w:t>
      </w:r>
    </w:p>
    <w:p>
      <w:pPr>
        <w:spacing w:line="276" w:lineRule="auto" w:after="80"/>
      </w:pPr>
      <w:r>
        <w:t>La mecánica implica la re-valuación de los pasivos técnicos bajo diferentes supuestos. Para un pasivo dado (por ejemplo, una reserva matemática de un seguro de vida), su valor (V) es una función de múltiples parámetros (P1, P2, ..., Pn): V = f(P1, P2, ..., Pn).</w:t>
      </w:r>
    </w:p>
    <w:p>
      <w:pPr>
        <w:spacing w:line="276" w:lineRule="auto" w:after="80"/>
      </w:pPr>
      <w:r>
        <w:t>En el análisis de sensibilidad, se varía un único parámetro Pi en un rango predefinido (ej. +/- 10% o +/- 50 puntos básicos), manteniendo los demás fijos, y se calcula el nuevo valor V'. La diferencia V' - V cuantifica la sensibilidad a ese parámetro.</w:t>
      </w:r>
    </w:p>
    <w:p>
      <w:pPr>
        <w:spacing w:line="276" w:lineRule="auto" w:after="80"/>
      </w:pPr>
      <w:r>
        <w:t>Los parámetros clave incluyen:</w:t>
      </w:r>
    </w:p>
    <w:p>
      <w:pPr>
        <w:spacing w:line="276" w:lineRule="auto" w:after="80"/>
      </w:pPr>
      <w:r>
        <w:t>- Tasa de interés técnica o de descuento: Impacta directamente el valor presente de los flujos de caja futuros.</w:t>
      </w:r>
    </w:p>
    <w:p>
      <w:pPr>
        <w:spacing w:line="276" w:lineRule="auto" w:after="80"/>
      </w:pPr>
      <w:r>
        <w:t>- Tablas de mortalidad/morbilidad: Afectan la probabilidad de ocurrencia de siniestros y la duración de los beneficios.</w:t>
      </w:r>
    </w:p>
    <w:p>
      <w:pPr>
        <w:spacing w:line="276" w:lineRule="auto" w:after="80"/>
      </w:pPr>
      <w:r>
        <w:t>- Tasas de caducidad (lapse): Influyen en la persistencia de las pólizas y, por ende, en los flujos de primas y siniestros futuros.</w:t>
      </w:r>
    </w:p>
    <w:p>
      <w:pPr>
        <w:spacing w:line="276" w:lineRule="auto" w:after="80"/>
      </w:pPr>
      <w:r>
        <w:t>- Gastos de administración y adquisición: Alteran los flujos de egresos.</w:t>
      </w:r>
    </w:p>
    <w:p>
      <w:pPr>
        <w:spacing w:line="276" w:lineRule="auto" w:after="80"/>
      </w:pPr>
      <w:r>
        <w:t>- Tasa de inflación: Relevante para productos con beneficios indexados o gastos futuros.</w:t>
      </w:r>
    </w:p>
    <w:p>
      <w:pPr>
        <w:spacing w:line="276" w:lineRule="auto" w:after="80"/>
      </w:pPr>
      <w:r>
        <w:t>En los escenarios de estrés, se definen conjuntos coherentes de cambios adversos para varios parámetros a la vez. Por ejemplo, un escenario de "crisis económica" podría implicar una caída de las tasas de interés, un aumento de la caducidad y un incremento de la morbilidad. La valuación se realiza bajo este nuevo conjunto de supuestos combinados para obtener el impacto total.</w:t>
      </w:r>
    </w:p>
    <w:p/>
    <w:p>
      <w:r>
        <w:rPr>
          <w:color w:val="B4B4B4"/>
        </w:rPr>
        <w:t>----------------------------------------</w:t>
      </w:r>
    </w:p>
    <w:p>
      <w:r>
        <w:rPr>
          <w:b/>
          <w:color w:val="1A5276"/>
          <w:sz w:val="24"/>
        </w:rPr>
        <w:t>3) APLICABILIDAD POR RAMO / CONTEXTO</w:t>
      </w:r>
    </w:p>
    <w:p>
      <w:pPr>
        <w:spacing w:line="276" w:lineRule="auto" w:after="80"/>
      </w:pPr>
      <w:r>
        <w:t>- Seguros de Vida: La sensibilidad a la tasa de interés es crítica para productos con componentes de ahorro o rentas vitalicias. La mortalidad es clave para seguros de fallecimiento y rentas vitalicias (riesgo de longevidad). La caducidad afecta la rentabilidad y las reservas.</w:t>
      </w:r>
    </w:p>
    <w:p>
      <w:pPr>
        <w:spacing w:line="276" w:lineRule="auto" w:after="80"/>
      </w:pPr>
      <w:r>
        <w:t>- Seguros de Retiro: Fuertemente expuestos al riesgo de longevidad (si son rentas vitalicias) y al riesgo de tasa de interés. Un descenso prolongado de las tasas puede aumentar significativamente las reservas.</w:t>
      </w:r>
    </w:p>
    <w:p>
      <w:pPr>
        <w:spacing w:line="276" w:lineRule="auto" w:after="80"/>
      </w:pPr>
      <w:r>
        <w:t>- Seguros de Accidentes Personales (AP): La sensibilidad se centra en la frecuencia y severidad de los siniestros (morbilidad/invalidez), así como en la tasa de interés para siniestros de larga duración.</w:t>
      </w:r>
    </w:p>
    <w:p>
      <w:pPr>
        <w:spacing w:line="276" w:lineRule="auto" w:after="80"/>
      </w:pPr>
      <w:r>
        <w:t>- Seguros de Salud: Muy sensibles a la morbilidad (frecuencia y severidad de las enfermedades), la inflación médica y los gastos operativos. Los escenarios de estrés pueden incluir pandemias o el surgimiento de nuevas enfermedades costosas.</w:t>
      </w:r>
    </w:p>
    <w:p>
      <w:pPr>
        <w:spacing w:line="276" w:lineRule="auto" w:after="80"/>
      </w:pPr>
      <w:r>
        <w:t>En todos los ramos, estos análisis son esenciales para la gestión del capital, la fijación de primas y la planificación estratégica.</w:t>
      </w:r>
    </w:p>
    <w:p/>
    <w:p>
      <w:r>
        <w:rPr>
          <w:color w:val="B4B4B4"/>
        </w:rPr>
        <w:t>----------------------------------------</w:t>
      </w:r>
    </w:p>
    <w:p>
      <w:r>
        <w:rPr>
          <w:b/>
          <w:color w:val="1A5276"/>
          <w:sz w:val="24"/>
        </w:rPr>
        <w:t>4) EJEMPLO NUMÉRICO O CASO CONCRETO</w:t>
      </w:r>
    </w:p>
    <w:p>
      <w:pPr>
        <w:spacing w:line="276" w:lineRule="auto" w:after="80"/>
      </w:pPr>
      <w:r>
        <w:t>Consideremos una póliza de seguro de Vida Entera con una suma asegurada de $1.000.000, pagadera al fallecimiento, emitida a una persona de 40 años. La reserva matemática inicial se calcula utilizando una tabla de mortalidad y una tasa de interés técnica del 4% anual.</w:t>
      </w:r>
    </w:p>
    <w:p>
      <w:pPr>
        <w:spacing w:line="276" w:lineRule="auto" w:after="80"/>
      </w:pPr>
      <w:r>
        <w:t>Supongamos que la reserva matemática calculada es de $150.000.</w:t>
      </w:r>
    </w:p>
    <w:p>
      <w:pPr>
        <w:spacing w:line="276" w:lineRule="auto" w:after="80"/>
      </w:pPr>
      <w:r>
        <w:t>Análisis de Sensibilidad:</w:t>
      </w:r>
    </w:p>
    <w:p>
      <w:pPr>
        <w:spacing w:line="276" w:lineRule="auto" w:after="80"/>
      </w:pPr>
      <w:r>
        <w:t>- Escenario A (Tasa de Interés): Si la tasa de interés técnica disminuye en 50 puntos básicos (a 3.5%), la reserva podría aumentar a $165.000. Esto representa un incremento del 10% en la reserva debido a la menor capacidad de descuento de los flujos futuros.</w:t>
      </w:r>
    </w:p>
    <w:p>
      <w:pPr>
        <w:spacing w:line="276" w:lineRule="auto" w:after="80"/>
      </w:pPr>
      <w:r>
        <w:t>- Escenario B (Mortalidad): Si la tabla de mortalidad se ajusta para reflejar una mejora del 5% en la esperanza de vida (menor mortalidad), la reserva podría disminuir a $148.000 (para este tipo de seguro, menor mortalidad implica que el pago de la suma asegurada se posterga, reduciendo el valor presente del pasivo).</w:t>
      </w:r>
    </w:p>
    <w:p>
      <w:pPr>
        <w:spacing w:line="276" w:lineRule="auto" w:after="80"/>
      </w:pPr>
      <w:r>
        <w:t>Escenario de Estrés (Combinado):</w:t>
      </w:r>
    </w:p>
    <w:p>
      <w:pPr>
        <w:spacing w:line="276" w:lineRule="auto" w:after="80"/>
      </w:pPr>
      <w:r>
        <w:t>- Escenario C (Crisis Económica): Una combinación de caída de la tasa de interés a 3.0% y un aumento del 10% en las tasas de caducidad (lo que podría reducir la prima futura pero también el pasivo por siniestros futuros, dependiendo de la estructura del producto). Si la reserva bajo este escenario combinado asciende a $180.000, la aseguradora enfrenta un impacto significativo que requiere capital adicional o ajustes en la gestión.</w:t>
      </w:r>
    </w:p>
    <w:p/>
    <w:p>
      <w:r>
        <w:rPr>
          <w:color w:val="B4B4B4"/>
        </w:rPr>
        <w:t>----------------------------------------</w:t>
      </w:r>
    </w:p>
    <w:p>
      <w:r>
        <w:rPr>
          <w:b/>
          <w:color w:val="1A5276"/>
          <w:sz w:val="24"/>
        </w:rPr>
        <w:t>5) APLICACIÓN PRÁCTICA PARA UN LÍDER DE EQUIPO</w:t>
      </w:r>
    </w:p>
    <w:p>
      <w:pPr>
        <w:spacing w:line="276" w:lineRule="auto" w:after="80"/>
      </w:pPr>
      <w:r>
        <w:t>Como líder de equipo, tenés que asegurarte de que tu equipo técnico realice estos análisis de forma regular y robusta. Utilizá los resultados para:</w:t>
      </w:r>
    </w:p>
    <w:p>
      <w:pPr>
        <w:spacing w:line="276" w:lineRule="auto" w:after="80"/>
      </w:pPr>
      <w:r>
        <w:t>- Identificar los principales riesgos: Comprendé qué parámetros tienen el mayor impacto en la valuación de pasivos y, por ende, en la solvencia de tu gerencia.</w:t>
      </w:r>
    </w:p>
    <w:p>
      <w:pPr>
        <w:spacing w:line="276" w:lineRule="auto" w:after="80"/>
      </w:pPr>
      <w:r>
        <w:t>- Informar la estrategia de producto: Si un producto es excesivamente sensible a un riesgo particular, considerá ajustes en el diseño o en la estrategia de reaseguro.</w:t>
      </w:r>
    </w:p>
    <w:p>
      <w:pPr>
        <w:spacing w:line="276" w:lineRule="auto" w:after="80"/>
      </w:pPr>
      <w:r>
        <w:t>- Comunicar el riesgo a la dirección: Presentá los resultados de forma clara y concisa a tu superior directo y a la alta gerencia, destacando las implicaciones para el capital y la rentabilidad. Esto facilita la toma de decisiones a nivel estratégico.</w:t>
      </w:r>
    </w:p>
    <w:p>
      <w:pPr>
        <w:spacing w:line="276" w:lineRule="auto" w:after="80"/>
      </w:pPr>
      <w:r>
        <w:t>- Monitorear KPIs: Desarrollá indicadores clave de riesgo basados en los resultados de sensibilidad y estrés, como el "impacto en la reserva por cada 100 pb de cambio en la tasa de interés".</w:t>
      </w:r>
    </w:p>
    <w:p>
      <w:pPr>
        <w:spacing w:line="276" w:lineRule="auto" w:after="80"/>
      </w:pPr>
      <w:r>
        <w:t>- Planificación de capital: Los escenarios de estrés son insumos directos para la evaluación de la suficiencia de capital y la planificación de contingencias.</w:t>
      </w:r>
    </w:p>
    <w:p>
      <w:pPr>
        <w:spacing w:line="276" w:lineRule="auto" w:after="80"/>
      </w:pPr>
      <w:r>
        <w:t>- Mejorar la calidad de los datos: La precisión de estos análisis depende de la calidad de los datos y los supuestos. Impulsá la mejora continua en la recolección y validación de la información.</w:t>
      </w:r>
    </w:p>
    <w:p/>
    <w:p>
      <w:r>
        <w:rPr>
          <w:color w:val="B4B4B4"/>
        </w:rPr>
        <w:t>----------------------------------------</w:t>
      </w:r>
    </w:p>
    <w:p>
      <w:r>
        <w:rPr>
          <w:b/>
          <w:color w:val="1A5276"/>
          <w:sz w:val="24"/>
        </w:rPr>
        <w:t>6) ERRORES COMUNES O PUNTOS CIEGOS</w:t>
      </w:r>
    </w:p>
    <w:p>
      <w:pPr>
        <w:spacing w:line="276" w:lineRule="auto" w:after="80"/>
      </w:pPr>
      <w:r>
        <w:t>- Ignorar correlaciones: Asumir que los parámetros se mueven de forma independiente en los escenarios de estrés puede subestimar el riesgo real. En una crisis, las tasas de interés, la caducidad y la morbilidad pueden moverse de forma correlacionada.</w:t>
      </w:r>
    </w:p>
    <w:p>
      <w:pPr>
        <w:spacing w:line="276" w:lineRule="auto" w:after="80"/>
      </w:pPr>
      <w:r>
        <w:t>- Escenarios poco realistas: Utilizar escenarios de estrés que son demasiado leves o, por el contrario, tan extremos que carecen de credibilidad, puede llevar a conclusiones erróneas. Los escenarios deben ser plausibles y relevantes para el negocio.</w:t>
      </w:r>
    </w:p>
    <w:p>
      <w:pPr>
        <w:spacing w:line="276" w:lineRule="auto" w:after="80"/>
      </w:pPr>
      <w:r>
        <w:t>- Falta de comunicación: No traducir los resultados técnicos en un lenguaje comprensible para los tomadores de decisiones no técnicos es un error común que limita la utilidad del análisis.</w:t>
      </w:r>
    </w:p>
    <w:p>
      <w:pPr>
        <w:spacing w:line="276" w:lineRule="auto" w:after="80"/>
      </w:pPr>
      <w:r>
        <w:t>- Dependencia excesiva de un solo tipo de análisis: Los análisis de sensibilidad y estrés son complementarios. Usar solo uno de ellos puede dar una visión incompleta del riesgo.</w:t>
      </w:r>
    </w:p>
    <w:p>
      <w:pPr>
        <w:spacing w:line="276" w:lineRule="auto" w:after="80"/>
      </w:pPr>
      <w:r>
        <w:t>- No actualizar los supuestos: Los parámetros y las correlaciones pueden cambiar con el tiempo. Es vital revisar y actualizar periódicamente los supuestos subyacentes a los análisis.</w:t>
      </w:r>
    </w:p>
    <w:p/>
    <w:p>
      <w:r>
        <w:rPr>
          <w:color w:val="B4B4B4"/>
        </w:rPr>
        <w:t>----------------------------------------</w:t>
      </w:r>
    </w:p>
    <w:p>
      <w:r>
        <w:rPr>
          <w:b/>
          <w:color w:val="1A5276"/>
          <w:sz w:val="24"/>
        </w:rPr>
        <w:t>7) EN UNA LÍNEA</w:t>
      </w:r>
    </w:p>
    <w:p>
      <w:pPr>
        <w:spacing w:line="276" w:lineRule="auto" w:after="80"/>
      </w:pPr>
      <w:r>
        <w:t>El análisis de sensibilidad y los escenarios de estrés son herramientas actuariales indispensables para cuantificar el impacto de cambios en los supuestos clave sobre los pasivos, fortaleciendo la gestión de riesgos y la toma de decisiones estratégicas.</w:t>
      </w:r>
    </w:p>
    <w:p/>
    <w:p>
      <w:r>
        <w:rPr>
          <w:color w:val="B4B4B4"/>
        </w:rPr>
        <w:t>----------------------------------------</w:t>
      </w:r>
    </w:p>
    <w:p>
      <w:r>
        <w:rPr>
          <w:b/>
          <w:color w:val="1A5276"/>
          <w:sz w:val="24"/>
        </w:rPr>
        <w:t>FUENTES DE REFERENCIA</w:t>
      </w:r>
    </w:p>
    <w:p>
      <w:pPr>
        <w:spacing w:line="276" w:lineRule="auto" w:after="80"/>
      </w:pPr>
      <w:r>
        <w:t>- Bowers, N. L., Gerber, H. U., Hickman, J. C., Jones, D. A., &amp; Nesbitt, C. J. (1997). Actuarial Mathematics (2nd ed.). Society of Actuaries.</w:t>
      </w:r>
    </w:p>
    <w:p>
      <w:pPr>
        <w:spacing w:line="276" w:lineRule="auto" w:after="80"/>
      </w:pPr>
      <w:r>
        <w:t>- Resolución SSN 40.672/2017 - Sistema de Gestión de Riesgos. Superintendencia de Seguros de la Nación.</w:t>
      </w:r>
    </w:p>
    <w:p>
      <w:pPr>
        <w:spacing w:line="276" w:lineRule="auto" w:after="80"/>
      </w:pPr>
      <w:r>
        <w:t>- International Actuarial Association. (2004). A Global Actuarial Standard of Practice for Enterprise Risk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