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CAPITAL ECONÓMICO EN SEGUROS DE PERSONAS: MEDICIÓN, GESTIÓN Y SU ROL EN LA SOLVENCIA INTERNA</w:t>
      </w:r>
    </w:p>
    <w:p/>
    <w:p>
      <w:r>
        <w:rPr>
          <w:i/>
          <w:color w:val="646464"/>
          <w:sz w:val="20"/>
        </w:rPr>
        <w:t>Fecha: 2026-09-18 | Área: Administración de empresas | Lectura estimada: 12 minutos</w:t>
      </w:r>
    </w:p>
    <w:p/>
    <w:p>
      <w:r>
        <w:rPr>
          <w:color w:val="B4B4B4"/>
        </w:rPr>
        <w:t>----------------------------------------</w:t>
      </w:r>
    </w:p>
    <w:p>
      <w:r>
        <w:rPr>
          <w:b/>
          <w:color w:val="1A5276"/>
          <w:sz w:val="24"/>
        </w:rPr>
        <w:t>1) CONCEPTO</w:t>
      </w:r>
    </w:p>
    <w:p>
      <w:pPr>
        <w:spacing w:line="276" w:lineRule="auto" w:after="80"/>
      </w:pPr>
      <w:r>
        <w:t>El Capital Económico (CE) es la cantidad de capital que una aseguradora necesita para cubrir pérdidas inesperadas derivadas de los riesgos a los que está expuesta, con un nivel de confianza determinado, generalmente muy alto (por ejemplo, 99.5% o 99.9%), durante un horizonte temporal específico (usualmente un año). A diferencia del capital regulatorio, que es un requisito mínimo establecido por la Superintendencia de Seguros de la Nación (SSN) para proteger a los asegurados y garantizar la estabilidad del sistema, el Capital Económico es una métrica interna de gestión de riesgos. Su propósito es reflejar la verdadera exposición al riesgo de la compañía, permitiendo una visión más granular y prospectiva de la solvencia. Es una herramienta clave para la toma de decisiones estratégicas, la asignación de capital, la tarificación de productos y la evaluación de la rentabilidad ajustada al riesgo. Se calcula considerando todos los riesgos significativos que enfrenta la entidad, incluyendo los de suscripción, mercado, crédito, operacionales y estratégicos.</w:t>
      </w:r>
    </w:p>
    <w:p/>
    <w:p>
      <w:r>
        <w:rPr>
          <w:color w:val="B4B4B4"/>
        </w:rPr>
        <w:t>----------------------------------------</w:t>
      </w:r>
    </w:p>
    <w:p>
      <w:r>
        <w:rPr>
          <w:b/>
          <w:color w:val="1A5276"/>
          <w:sz w:val="24"/>
        </w:rPr>
        <w:t>2) FÓRMULA / COMPONENTES / MECÁNICA</w:t>
      </w:r>
    </w:p>
    <w:p>
      <w:pPr>
        <w:spacing w:line="276" w:lineRule="auto" w:after="80"/>
      </w:pPr>
      <w:r>
        <w:t>La mecánica del cálculo del Capital Económico implica varios pasos. Primero, se identifican y cuantifican los riesgos individuales a los que está expuesta la aseguradora. Para cada riesgo, se modela la distribución de pérdidas potenciales. Por ejemplo, para el riesgo de mortalidad en seguros de Vida, se proyectan las desviaciones de la mortalidad esperada. Para el riesgo de mercado, se simulan movimientos adversos en tasas de interés o precios de activos.</w:t>
      </w:r>
    </w:p>
    <w:p>
      <w:pPr>
        <w:spacing w:line="276" w:lineRule="auto" w:after="80"/>
      </w:pPr>
      <w:r>
        <w:t>Luego, se determina el Capital Económico para cada riesgo individual, que suele ser el VaR (Valor en Riesgo) o TVaR (Tail Value at Risk) de la distribución de pérdidas a un nivel de confianza elevado.</w:t>
      </w:r>
    </w:p>
    <w:p>
      <w:pPr>
        <w:spacing w:line="276" w:lineRule="auto" w:after="80"/>
      </w:pPr>
      <w:r>
        <w:t>La fórmula general para el Capital Económico agregado (CE_total) se basa en la suma de los capitales de riesgo individuales, ajustada por la diversificación:</w:t>
      </w:r>
    </w:p>
    <w:p/>
    <w:p>
      <w:pPr>
        <w:spacing w:line="276" w:lineRule="auto" w:after="80"/>
      </w:pPr>
      <w:r>
        <w:t>CE_total = f(CE_riesgo1, CE_riesgo2, ..., CE_riesgon, Correlaciones)</w:t>
      </w:r>
    </w:p>
    <w:p/>
    <w:p>
      <w:pPr>
        <w:spacing w:line="276" w:lineRule="auto" w:after="80"/>
      </w:pPr>
      <w:r>
        <w:t>Donde 'f' es una función que agrega los capitales de riesgo individuales (CE_riesgo_i) considerando las correlaciones entre ellos. Métodos comunes para la agregación incluyen el uso de matrices de correlación o técnicas más sofisticadas como las cópulas. La diversificación es un componente crucial, ya que los eventos adversos en diferentes riesgos no suelen ocurrir simultáneamente o con la misma intensidad, lo que reduce el capital total necesario en comparación con la simple suma de los capitales individuales. El proceso requiere modelos estocásticos robustos y una gran cantidad de datos históricos y proyectados.</w:t>
      </w:r>
    </w:p>
    <w:p/>
    <w:p>
      <w:r>
        <w:rPr>
          <w:color w:val="B4B4B4"/>
        </w:rPr>
        <w:t>----------------------------------------</w:t>
      </w:r>
    </w:p>
    <w:p>
      <w:r>
        <w:rPr>
          <w:b/>
          <w:color w:val="1A5276"/>
          <w:sz w:val="24"/>
        </w:rPr>
        <w:t>3) APLICABILIDAD POR RAMO / CONTEXTO</w:t>
      </w:r>
    </w:p>
    <w:p>
      <w:pPr>
        <w:spacing w:line="276" w:lineRule="auto" w:after="80"/>
      </w:pPr>
      <w:r>
        <w:t>El Capital Económico es fundamental en todos los ramos de seguros de personas, aunque su composición varía.</w:t>
      </w:r>
    </w:p>
    <w:p>
      <w:pPr>
        <w:spacing w:line="276" w:lineRule="auto" w:after="80"/>
      </w:pPr>
      <w:r>
        <w:t>- Seguros de Vida: Predominan los riesgos de suscripción (mortalidad, longevidad, caducidad) y de mercado (tasas de interés, volatilidad de inversiones). El CE para Vida debe reflejar la sensibilidad de los pasivos a cambios en las hipótesis demográficas y financieras.</w:t>
      </w:r>
    </w:p>
    <w:p>
      <w:pPr>
        <w:spacing w:line="276" w:lineRule="auto" w:after="80"/>
      </w:pPr>
      <w:r>
        <w:t>- Seguros de Retiro: El riesgo de longevidad es central, ya que un aumento en la esperanza de vida implica mayores pagos de rentas. También son relevantes los riesgos de mercado por la gestión de los activos que respaldan las rentas.</w:t>
      </w:r>
    </w:p>
    <w:p>
      <w:pPr>
        <w:spacing w:line="276" w:lineRule="auto" w:after="80"/>
      </w:pPr>
      <w:r>
        <w:t>- Seguros de Accidentes Personales (AP): Los riesgos de suscripción (frecuencia y severidad de siniestros) son clave, junto con el riesgo operacional. El horizonte de los pasivos es más corto, lo que puede reducir la exposición a riesgos de mercado a largo plazo.</w:t>
      </w:r>
    </w:p>
    <w:p>
      <w:pPr>
        <w:spacing w:line="276" w:lineRule="auto" w:after="80"/>
      </w:pPr>
      <w:r>
        <w:t>- Seguros de Salud: Los riesgos de suscripción (morbilidad, frecuencia y costo de prestaciones) son los más significativos. La volatilidad de los gastos médicos y la inflación médica son factores críticos.</w:t>
      </w:r>
    </w:p>
    <w:p>
      <w:pPr>
        <w:spacing w:line="276" w:lineRule="auto" w:after="80"/>
      </w:pPr>
      <w:r>
        <w:t>En todos los casos, el CE permite a la gerencia comprender la verdadera exposición de cada ramo y asignar capital de manera eficiente, optimizando la relación riesgo-retorno y asegurando la solvencia interna más allá de los mínimos regulatorios establecidos por la SSN.</w:t>
      </w:r>
    </w:p>
    <w:p/>
    <w:p>
      <w:r>
        <w:rPr>
          <w:color w:val="B4B4B4"/>
        </w:rPr>
        <w:t>----------------------------------------</w:t>
      </w:r>
    </w:p>
    <w:p>
      <w:r>
        <w:rPr>
          <w:b/>
          <w:color w:val="1A5276"/>
          <w:sz w:val="24"/>
        </w:rPr>
        <w:t>4) EJEMPLO NUMÉRICO O CASO CONCRETO</w:t>
      </w:r>
    </w:p>
    <w:p>
      <w:pPr>
        <w:spacing w:line="276" w:lineRule="auto" w:after="80"/>
      </w:pPr>
      <w:r>
        <w:t>Consideremos una aseguradora de Vida en Argentina que evalúa su Capital Económico para el riesgo de mortalidad. Supongamos que, tras un análisis actuarial detallado y simulaciones estocásticas, se determina que, con un nivel de confianza del 99.5% a un año, la pérdida máxima inesperada por desviaciones adversas en la mortalidad de su cartera de seguros de Vida es de ARS 500 millones. Este valor representa el Capital Económico requerido para el riesgo de mortalidad.</w:t>
      </w:r>
    </w:p>
    <w:p>
      <w:pPr>
        <w:spacing w:line="276" w:lineRule="auto" w:after="80"/>
      </w:pPr>
      <w:r>
        <w:t>Paralelamente, la compañía también enfrenta riesgo de mercado en su cartera de inversiones. Si las simulaciones indican que la pérdida máxima inesperada por movimientos adversos en el mercado (tasas de interés, precios de acciones) es de ARS 300 millones, este sería el Capital Económico para el riesgo de mercado.</w:t>
      </w:r>
    </w:p>
    <w:p>
      <w:pPr>
        <w:spacing w:line="276" w:lineRule="auto" w:after="80"/>
      </w:pPr>
      <w:r>
        <w:t>Si asumimos una correlación del 30% entre el riesgo de mortalidad y el riesgo de mercado (por ejemplo, en un escenario de crisis económica, la mortalidad podría aumentar y los mercados caer), el Capital Económico total agregado no sería la simple suma (500 + 300 = 800 millones). Utilizando una fórmula de agregación simplificada (por ejemplo, la raíz cuadrada de la suma de los cuadrados de los capitales individuales más dos veces el producto de los capitales por la correlación), el CE total podría ser, por ejemplo, ARS 720 millones.</w:t>
      </w:r>
    </w:p>
    <w:p>
      <w:pPr>
        <w:spacing w:line="276" w:lineRule="auto" w:after="80"/>
      </w:pPr>
      <w:r>
        <w:t>Este monto de ARS 720 millones es el capital que la aseguradora debería mantener internamente para absorber estas pérdidas inesperadas con una probabilidad del 99.5%. Este valor se compara con el Capital Mínimo Regulatorio exigido por la SSN para los ramos de Vida, que podría ser, por ejemplo, ARS 600 millones. La diferencia (ARS 120 millones) representa el capital adicional que la empresa decide mantener por encima del mínimo regulatorio, basado en su propio perfil de riesgo y apetito de riesgo.</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comprender el Capital Económico te permite participar activamente en discusiones estratégicas y mejorar la gestión de tu área.</w:t>
      </w:r>
    </w:p>
    <w:p>
      <w:pPr>
        <w:spacing w:line="276" w:lineRule="auto" w:after="80"/>
      </w:pPr>
      <w:r>
        <w:t>Primero, te habilita para entender cómo las decisiones de tu equipo impactan la solvencia de la compañía. Por ejemplo, si tu equipo de suscripción aprueba riesgos con perfiles de mortalidad o morbilidad más altos de lo esperado, esto incrementa el Capital Económico necesario para el riesgo de suscripción. Podés usar esta métrica para justificar la necesidad de mejores herramientas de tarificación, modelos de selección de riesgo más sofisticados o programas de prevención.</w:t>
      </w:r>
    </w:p>
    <w:p>
      <w:pPr>
        <w:spacing w:line="276" w:lineRule="auto" w:after="80"/>
      </w:pPr>
      <w:r>
        <w:t>Segundo, te da un marco para dialogar con tu superior directo sobre la rentabilidad ajustada al riesgo de los productos. Si un producto genera mucha prima pero también requiere una cantidad desproporcionada de Capital Económico, su rentabilidad real podría ser menor de lo que parece. Podés proponer ajustes en el diseño del producto o en la estrategia de mercado.</w:t>
      </w:r>
    </w:p>
    <w:p>
      <w:pPr>
        <w:spacing w:line="276" w:lineRule="auto" w:after="80"/>
      </w:pPr>
      <w:r>
        <w:t>Finalmente, te permite evaluar la eficiencia de tus operaciones. Los errores operativos o la falta de controles internos pueden aumentar el Capital Económico por riesgo operacional. Identificar y mitigar estos puntos ciegos no solo mejora la eficiencia, sino que también libera capital que puede ser utilizado para otras iniciativas estratégicas. Considerá el Capital Económico como un lenguaje común para alinear las decisiones tácticas con la estrategia global de solvencia de la compañía.</w:t>
      </w:r>
    </w:p>
    <w:p/>
    <w:p>
      <w:r>
        <w:rPr>
          <w:color w:val="B4B4B4"/>
        </w:rPr>
        <w:t>----------------------------------------</w:t>
      </w:r>
    </w:p>
    <w:p>
      <w:r>
        <w:rPr>
          <w:b/>
          <w:color w:val="1A5276"/>
          <w:sz w:val="24"/>
        </w:rPr>
        <w:t>6) ERRORES COMUNES O PUNTOS CIEGOS</w:t>
      </w:r>
    </w:p>
    <w:p>
      <w:pPr>
        <w:spacing w:line="276" w:lineRule="auto" w:after="80"/>
      </w:pPr>
      <w:r>
        <w:t>Uno de los errores más comunes es confundir el Capital Económico con el Capital Regulatorio. Mientras el primero es una medida interna basada en el perfil de riesgo real de la empresa, el segundo es un mínimo legal. Ignorar esta distinción puede llevar a una falsa sensación de seguridad o, por el contrario, a una asignación ineficiente de capital. Otro punto ciego es la calidad de los datos y la robustez de los modelos. Un Capital Económico calculado con datos incompletos o modelos simplistas puede subestimar o sobreestimar significativamente el riesgo real, llevando a decisiones erróneas. La subestimación de las correlaciones entre riesgos también es un error frecuente; asumir una diversificación excesiva puede llevar a un Capital Económico insuficiente. Por último, la falta de una cultura de riesgo que integre el CE en la toma de decisiones diarias puede convertirlo en un ejercicio puramente teórico, sin impacto real en la gestión de la compañía. Es crucial que el CE sea una métrica viva, revisada y comunicada regularmente.</w:t>
      </w:r>
    </w:p>
    <w:p/>
    <w:p>
      <w:r>
        <w:rPr>
          <w:color w:val="B4B4B4"/>
        </w:rPr>
        <w:t>----------------------------------------</w:t>
      </w:r>
    </w:p>
    <w:p>
      <w:r>
        <w:rPr>
          <w:b/>
          <w:color w:val="1A5276"/>
          <w:sz w:val="24"/>
        </w:rPr>
        <w:t>7) EN UNA LÍNEA</w:t>
      </w:r>
    </w:p>
    <w:p>
      <w:pPr>
        <w:spacing w:line="276" w:lineRule="auto" w:after="80"/>
      </w:pPr>
      <w:r>
        <w:t>El Capital Económico es la medida interna de solvencia que cuantifica el capital necesario para cubrir pérdidas inesperadas, reflejando el verdadero perfil de riesgo de la aseguradora para una gestión estratégica y eficiente.</w:t>
      </w:r>
    </w:p>
    <w:p/>
    <w:p>
      <w:r>
        <w:rPr>
          <w:color w:val="B4B4B4"/>
        </w:rPr>
        <w:t>----------------------------------------</w:t>
      </w:r>
    </w:p>
    <w:p>
      <w:r>
        <w:rPr>
          <w:b/>
          <w:color w:val="1A5276"/>
          <w:sz w:val="24"/>
        </w:rPr>
        <w:t>FUENTES DE REFERENCIA</w:t>
      </w:r>
    </w:p>
    <w:p>
      <w:pPr>
        <w:spacing w:line="276" w:lineRule="auto" w:after="80"/>
      </w:pPr>
      <w:r>
        <w:t>- Actuarial Standards Board. (2018). Actuarial Standard of Practice No. 46: Risk Classification.</w:t>
      </w:r>
    </w:p>
    <w:p>
      <w:pPr>
        <w:spacing w:line="276" w:lineRule="auto" w:after="80"/>
      </w:pPr>
      <w:r>
        <w:t>- International Actuarial Association. (2004). A Global Actuarial Perspective on Economic Capital.</w:t>
      </w:r>
    </w:p>
    <w:p>
      <w:pPr>
        <w:spacing w:line="276" w:lineRule="auto" w:after="80"/>
      </w:pPr>
      <w:r>
        <w:t>- Crouhy, M., Galai, D., &amp; Mark, R. (2014). The Essentials of Risk Management (2nd ed.). McGraw-Hill Education.</w:t>
      </w:r>
    </w:p>
    <w:p>
      <w:pPr>
        <w:spacing w:line="276" w:lineRule="auto" w:after="80"/>
      </w:pPr>
      <w:r>
        <w:t>- Resolución SSN 38.708/2014 y modificatorias (Marco de Solvencia para Entidades Aseguradoras y Reaseguradoras en Argentina, para contextualizar el Capital Regulatorio).</w:t>
      </w:r>
    </w:p>
    <w:p>
      <w:pPr>
        <w:spacing w:line="276" w:lineRule="auto" w:after="80"/>
      </w:pPr>
      <w:r>
        <w:t>- Merton, R. C. (1998). Applications of Option-Pricing Theory: Twenty-Five Years Later. American Economic Review, 88(3), 323-349.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