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ANÁLISIS DE SENSIBILIDAD Y ESCENARIOS DE ESTRÉS PARA LA SOLVENCIA EN SEGUROS DE PERSONAS</w:t>
      </w:r>
    </w:p>
    <w:p/>
    <w:p>
      <w:r>
        <w:rPr>
          <w:i/>
          <w:color w:val="646464"/>
          <w:sz w:val="20"/>
        </w:rPr>
        <w:t>Fecha: 2026-10-23 | Área: Administración de empresas | Lectura estimada: 12 minutos</w:t>
      </w:r>
    </w:p>
    <w:p/>
    <w:p>
      <w:r>
        <w:rPr>
          <w:color w:val="B4B4B4"/>
        </w:rPr>
        <w:t>----------------------------------------</w:t>
      </w:r>
    </w:p>
    <w:p>
      <w:r>
        <w:rPr>
          <w:b/>
          <w:color w:val="1A5276"/>
          <w:sz w:val="24"/>
        </w:rPr>
        <w:t>1) CONCEPTO</w:t>
      </w:r>
    </w:p>
    <w:p>
      <w:pPr>
        <w:spacing w:line="276" w:lineRule="auto" w:after="80"/>
      </w:pPr>
      <w:r>
        <w:t>El análisis de sensibilidad y las pruebas de estrés (stress testing) son herramientas fundamentales en la gestión de riesgos financieros y la administración de capital de una aseguradora. No son métodos predictivos, sino técnicas de gestión que evalúan la resiliencia financiera de una compañía ante la ocurrencia de eventos adversos, improbables pero no imposibles. El análisis de sensibilidad examina el impacto en la solvencia de cambios en una única variable de riesgo, manteniendo las demás constantes. Por ejemplo, cómo afecta una variación específica en las tasas de interés o en la mortalidad a la posición de capital. Las pruebas de estrés, por su parte, simulan escenarios más complejos y severos, que pueden involucrar múltiples factores de riesgo actuando de forma simultánea. Su objetivo es identificar y cuantificar el impacto de estas situaciones extremas sobre los activos, pasivos y, en última instancia, el superávit y los requisitos de capital de la entidad, permitiendo comprender mejor las exposiciones y desarrollar estrategias de mitigación.</w:t>
      </w:r>
    </w:p>
    <w:p/>
    <w:p>
      <w:r>
        <w:rPr>
          <w:color w:val="B4B4B4"/>
        </w:rPr>
        <w:t>----------------------------------------</w:t>
      </w:r>
    </w:p>
    <w:p>
      <w:r>
        <w:rPr>
          <w:b/>
          <w:color w:val="1A5276"/>
          <w:sz w:val="24"/>
        </w:rPr>
        <w:t>2) FÓRMULA / COMPONENTES / MECÁNICA</w:t>
      </w:r>
    </w:p>
    <w:p>
      <w:pPr>
        <w:spacing w:line="276" w:lineRule="auto" w:after="80"/>
      </w:pPr>
      <w:r>
        <w:t>La mecánica de las pruebas de estrés y el análisis de sensibilidad implica varios pasos:</w:t>
      </w:r>
    </w:p>
    <w:p>
      <w:pPr>
        <w:spacing w:line="276" w:lineRule="auto" w:after="80"/>
      </w:pPr>
      <w:r>
        <w:t>a) Identificación de riesgos clave: Se definen los riesgos más relevantes para la aseguradora (mercado, crédito, suscripción, operacional, liquidez, etc.).</w:t>
      </w:r>
    </w:p>
    <w:p>
      <w:pPr>
        <w:spacing w:line="276" w:lineRule="auto" w:after="80"/>
      </w:pPr>
      <w:r>
        <w:t>b) Diseño de escenarios: Se construyen escenarios adversos. Estos pueden ser:</w:t>
      </w:r>
    </w:p>
    <w:p>
      <w:pPr>
        <w:spacing w:line="276" w:lineRule="auto" w:after="80"/>
      </w:pPr>
      <w:r>
        <w:t>- Históricos: Basados en eventos pasados (ej., crisis de 2001, crisis financiera global de 2008).</w:t>
      </w:r>
    </w:p>
    <w:p>
      <w:pPr>
        <w:spacing w:line="276" w:lineRule="auto" w:after="80"/>
      </w:pPr>
      <w:r>
        <w:t>- Hipotéticos: Escenarios plausibles pero que no han ocurrido (ej., aumento abrupto de la inflación, caída de mercados, pandemia severa).</w:t>
      </w:r>
    </w:p>
    <w:p>
      <w:pPr>
        <w:spacing w:line="276" w:lineRule="auto" w:after="80"/>
      </w:pPr>
      <w:r>
        <w:t>- Inversos: Se parte de un resultado de insolvencia y se identifican los eventos que llevarían a esa situación.</w:t>
      </w:r>
    </w:p>
    <w:p>
      <w:pPr>
        <w:spacing w:line="276" w:lineRule="auto" w:after="80"/>
      </w:pPr>
      <w:r>
        <w:t>c) Modelado del impacto: Se cuantifica el efecto de cada escenario sobre los componentes del balance de la aseguradora. Esto incluye:</w:t>
      </w:r>
    </w:p>
    <w:p>
      <w:pPr>
        <w:spacing w:line="276" w:lineRule="auto" w:after="80"/>
      </w:pPr>
      <w:r>
        <w:t>- Activos: Valoración de inversiones (renta fija, variable, inmuebles) bajo las nuevas condiciones de mercado (tasas de interés, precios, spreads de crédito).</w:t>
      </w:r>
    </w:p>
    <w:p>
      <w:pPr>
        <w:spacing w:line="276" w:lineRule="auto" w:after="80"/>
      </w:pPr>
      <w:r>
        <w:t>- Pasivos: Recálculo de las reservas técnicas (matemáticas, siniestros pendientes) considerando cambios en tasas de descuento, tablas de mortalidad/morbilidad, tasas de rescate.</w:t>
      </w:r>
    </w:p>
    <w:p>
      <w:pPr>
        <w:spacing w:line="276" w:lineRule="auto" w:after="80"/>
      </w:pPr>
      <w:r>
        <w:t>- Capital: El impacto final se refleja en el patrimonio neto y la suficiencia de capital regulatorio (ej., capital mínimo unificado según Resolución SSN 24/2025) o capital económico.</w:t>
      </w:r>
    </w:p>
    <w:p>
      <w:pPr>
        <w:spacing w:line="276" w:lineRule="auto" w:after="80"/>
      </w:pPr>
      <w:r>
        <w:t>La evaluación se realiza comparando la posición de solvencia "bajo estrés" con los requisitos de capital y los niveles de tolerancia al riesgo definidos por la compañía. Un indicador clave es el ratio de solvencia o la variación del capital disponible.</w:t>
      </w:r>
    </w:p>
    <w:p/>
    <w:p>
      <w:r>
        <w:rPr>
          <w:color w:val="B4B4B4"/>
        </w:rPr>
        <w:t>----------------------------------------</w:t>
      </w:r>
    </w:p>
    <w:p>
      <w:r>
        <w:rPr>
          <w:b/>
          <w:color w:val="1A5276"/>
          <w:sz w:val="24"/>
        </w:rPr>
        <w:t>3) APLICABILIDAD POR RAMO / CONTEXTO</w:t>
      </w:r>
    </w:p>
    <w:p>
      <w:pPr>
        <w:spacing w:line="276" w:lineRule="auto" w:after="80"/>
      </w:pPr>
      <w:r>
        <w:t>La aplicación varía significativamente entre los ramos de seguros de personas:</w:t>
      </w:r>
    </w:p>
    <w:p>
      <w:pPr>
        <w:spacing w:line="276" w:lineRule="auto" w:after="80"/>
      </w:pPr>
      <w:r>
        <w:t>- Seguros de Vida y Retiro: Son altamente sensibles a los riesgos de mercado y longevidad. Un aumento inesperado en las tasas de interés puede reducir el valor de los activos de renta fija y, a la vez, el valor presente de los pasivos, pero el descalce de duraciones puede generar un impacto neto negativo en el capital. Una caída de las tasas puede tener el efecto contrario, aumentando el valor de los pasivos más que el de los activos. Los escenarios de aumento de la longevidad impactan directamente en las reservas de rentas vitalicias.</w:t>
      </w:r>
    </w:p>
    <w:p>
      <w:pPr>
        <w:spacing w:line="276" w:lineRule="auto" w:after="80"/>
      </w:pPr>
      <w:r>
        <w:t>- Accidentes Personales (AP): Si bien tienen un componente de riesgo de mercado por las inversiones, son más sensibles a escenarios de siniestralidad catastrófica (ej., accidentes masivos) o cambios en la frecuencia/severidad de los siniestros individuales.</w:t>
      </w:r>
    </w:p>
    <w:p>
      <w:pPr>
        <w:spacing w:line="276" w:lineRule="auto" w:after="80"/>
      </w:pPr>
      <w:r>
        <w:t>- Salud: Los escenarios de estrés se centran en el riesgo de morbilidad (aumento de la frecuencia o severidad de enfermedades), cambios en los costos médicos, o eventos epidemiológicos que generen un incremento masivo de prestaciones.</w:t>
      </w:r>
    </w:p>
    <w:p>
      <w:pPr>
        <w:spacing w:line="276" w:lineRule="auto" w:after="80"/>
      </w:pPr>
      <w:r>
        <w:t>En el contexto argentino, con alta inflación y volatilidad económica, los escenarios de estrés deben considerar también el riesgo de tipo de cambio, la desvalorización de activos y el impacto en los costos operativos y de siniestros. La Superintendencia de Seguros de la Nación (SSN), a través de normativas como la Resolución SSN 40.835/2017 sobre el Sistema de Gestión Integral de Riesgos (SGIR), promueve un enfoque basado en riesgos que incluye la identificación, medición y monitoreo de los mismos, haciendo implícita la necesidad de estas herramientas.</w:t>
      </w:r>
    </w:p>
    <w:p/>
    <w:p>
      <w:r>
        <w:rPr>
          <w:color w:val="B4B4B4"/>
        </w:rPr>
        <w:t>----------------------------------------</w:t>
      </w:r>
    </w:p>
    <w:p>
      <w:r>
        <w:rPr>
          <w:b/>
          <w:color w:val="1A5276"/>
          <w:sz w:val="24"/>
        </w:rPr>
        <w:t>4) EJEMPLO NUMÉRICO O CASO CONCRETO</w:t>
      </w:r>
    </w:p>
    <w:p>
      <w:pPr>
        <w:spacing w:line="276" w:lineRule="auto" w:after="80"/>
      </w:pPr>
      <w:r>
        <w:t>Consideremos una aseguradora de Vida con el siguiente balance simplificado:</w:t>
      </w:r>
    </w:p>
    <w:p>
      <w:pPr>
        <w:spacing w:line="276" w:lineRule="auto" w:after="80"/>
      </w:pPr>
      <w:r>
        <w:t>Activos: $1.000.000.000 (principalmente bonos de renta fija con duración de 7 años).</w:t>
      </w:r>
    </w:p>
    <w:p>
      <w:pPr>
        <w:spacing w:line="276" w:lineRule="auto" w:after="80"/>
      </w:pPr>
      <w:r>
        <w:t>Pasivos (Reservas Técnicas): $900.000.000 (con duración de 9 años).</w:t>
      </w:r>
    </w:p>
    <w:p>
      <w:pPr>
        <w:spacing w:line="276" w:lineRule="auto" w:after="80"/>
      </w:pPr>
      <w:r>
        <w:t>Patrimonio Neto (Capital): $100.000.000.</w:t>
      </w:r>
    </w:p>
    <w:p/>
    <w:p>
      <w:pPr>
        <w:spacing w:line="276" w:lineRule="auto" w:after="80"/>
      </w:pPr>
      <w:r>
        <w:t>Escenario de estrés: Aumento inesperado de las tasas de interés en 100 puntos básicos (1%).</w:t>
      </w:r>
    </w:p>
    <w:p>
      <w:pPr>
        <w:spacing w:line="276" w:lineRule="auto" w:after="80"/>
      </w:pPr>
      <w:r>
        <w:t>El impacto en el valor de activos y pasivos se calcula aproximadamente como:</w:t>
      </w:r>
    </w:p>
    <w:p>
      <w:pPr>
        <w:spacing w:line="276" w:lineRule="auto" w:after="80"/>
      </w:pPr>
      <w:r>
        <w:t>Cambio en Valor = - Duración * Valor * Cambio en Tasa de Interés.</w:t>
      </w:r>
    </w:p>
    <w:p/>
    <w:p>
      <w:pPr>
        <w:spacing w:line="276" w:lineRule="auto" w:after="80"/>
      </w:pPr>
      <w:r>
        <w:t>Impacto en Activos:</w:t>
      </w:r>
    </w:p>
    <w:p>
      <w:pPr>
        <w:spacing w:line="276" w:lineRule="auto" w:after="80"/>
      </w:pPr>
      <w:r>
        <w:t>Cambio en Activos = - 7 años * $1.000.000.000 * 0.01 = -$70.000.000.</w:t>
      </w:r>
    </w:p>
    <w:p>
      <w:pPr>
        <w:spacing w:line="276" w:lineRule="auto" w:after="80"/>
      </w:pPr>
      <w:r>
        <w:t>Nuevo valor de Activos = $1.000.000.000 - $70.000.000 = $930.000.000.</w:t>
      </w:r>
    </w:p>
    <w:p/>
    <w:p>
      <w:pPr>
        <w:spacing w:line="276" w:lineRule="auto" w:after="80"/>
      </w:pPr>
      <w:r>
        <w:t>Impacto en Pasivos:</w:t>
      </w:r>
    </w:p>
    <w:p>
      <w:pPr>
        <w:spacing w:line="276" w:lineRule="auto" w:after="80"/>
      </w:pPr>
      <w:r>
        <w:t>Cambio en Pasivos = - 9 años * $900.000.000 * 0.01 = -$81.000.000.</w:t>
      </w:r>
    </w:p>
    <w:p>
      <w:pPr>
        <w:spacing w:line="276" w:lineRule="auto" w:after="80"/>
      </w:pPr>
      <w:r>
        <w:t>Nuevo valor de Pasivos = $900.000.000 - $81.000.000 = $819.000.000.</w:t>
      </w:r>
    </w:p>
    <w:p/>
    <w:p>
      <w:pPr>
        <w:spacing w:line="276" w:lineRule="auto" w:after="80"/>
      </w:pPr>
      <w:r>
        <w:t>Nuevo Patrimonio Neto (Capital) = Nuevo Activos - Nuevo Pasivos</w:t>
      </w:r>
    </w:p>
    <w:p>
      <w:pPr>
        <w:spacing w:line="276" w:lineRule="auto" w:after="80"/>
      </w:pPr>
      <w:r>
        <w:t>Nuevo Patrimonio Neto = $930.000.000 - $819.000.000 = $111.000.000.</w:t>
      </w:r>
    </w:p>
    <w:p/>
    <w:p>
      <w:pPr>
        <w:spacing w:line="276" w:lineRule="auto" w:after="80"/>
      </w:pPr>
      <w:r>
        <w:t>En este escenario, a pesar del aumento de tasas, el patrimonio neto de la compañía *aumentó* de $100M a $111M. Esto se debe a que la duración de los pasivos es mayor que la de los activos, lo que significa que el valor de los pasivos disminuyó proporcionalmente más que el valor de los activos ante un aumento de tasas. Este es un ejemplo simplificado de cómo un descalce de duraciones puede afectar la solvencia. Un escenario de caída de tasas, por el contrario, podría generar una reducción del capital si el descalce se mantiene.</w:t>
      </w:r>
    </w:p>
    <w:p/>
    <w:p>
      <w:r>
        <w:rPr>
          <w:color w:val="B4B4B4"/>
        </w:rPr>
        <w:t>----------------------------------------</w:t>
      </w:r>
    </w:p>
    <w:p>
      <w:r>
        <w:rPr>
          <w:b/>
          <w:color w:val="1A5276"/>
          <w:sz w:val="24"/>
        </w:rPr>
        <w:t>5) APLICACIÓN PRÁCTICA PARA UN LÍDER DE EQUIPO</w:t>
      </w:r>
    </w:p>
    <w:p>
      <w:pPr>
        <w:spacing w:line="276" w:lineRule="auto" w:after="80"/>
      </w:pPr>
      <w:r>
        <w:t>Como líder de equipo, tenés que integrar los resultados de estos análisis en tu toma de decisiones estratégicas y operativas.</w:t>
      </w:r>
    </w:p>
    <w:p>
      <w:pPr>
        <w:spacing w:line="276" w:lineRule="auto" w:after="80"/>
      </w:pPr>
      <w:r>
        <w:t>- Diálogo con tu superior directo: Utilizá los resultados para comunicar la exposición al riesgo de tu gerencia y proponer planes de acción. Por ejemplo, si el stress test revela una vulnerabilidad a shocks de mortalidad, podés argumentar la necesidad de revisar las políticas de suscripción o los límites de retención.</w:t>
      </w:r>
    </w:p>
    <w:p>
      <w:pPr>
        <w:spacing w:line="276" w:lineRule="auto" w:after="80"/>
      </w:pPr>
      <w:r>
        <w:t>- Diseño de productos: Los escenarios de estrés pueden informar sobre la robustez de nuevos productos o la necesidad de ajustar precios y coberturas en los existentes para mantener la rentabilidad bajo condiciones adversas.</w:t>
      </w:r>
    </w:p>
    <w:p>
      <w:pPr>
        <w:spacing w:line="276" w:lineRule="auto" w:after="80"/>
      </w:pPr>
      <w:r>
        <w:t>- Gestión de inversiones: Colaborá con el área de inversiones para alinear la estrategia de asset allocation con el perfil de riesgo de los pasivos, buscando mitigar descalces de duración o riesgo de liquidez.</w:t>
      </w:r>
    </w:p>
    <w:p>
      <w:pPr>
        <w:spacing w:line="276" w:lineRule="auto" w:after="80"/>
      </w:pPr>
      <w:r>
        <w:t>- Planificación de capital: Contribuí a la planificación de capital de la compañía, identificando la necesidad de capital adicional o la posibilidad de liberar capital si los resultados de los stress tests son consistentemente favorables.</w:t>
      </w:r>
    </w:p>
    <w:p>
      <w:pPr>
        <w:spacing w:line="276" w:lineRule="auto" w:after="80"/>
      </w:pPr>
      <w:r>
        <w:t>- KPIs: Desarrollá indicadores clave de riesgo (KRIs) basados en los factores de estrés para monitorear continuamente la exposición de tu equipo y la compañía.</w:t>
      </w:r>
    </w:p>
    <w:p>
      <w:pPr>
        <w:spacing w:line="276" w:lineRule="auto" w:after="80"/>
      </w:pPr>
      <w:r>
        <w:t>- Cultura de riesgo: Fomentá una cultura donde el análisis de escenarios sea una práctica habitual, no solo un ejercicio regulatorio, involucrando a tu equipo en la identificación de riesgos y la propuesta de soluciones.</w:t>
      </w:r>
    </w:p>
    <w:p/>
    <w:p>
      <w:r>
        <w:rPr>
          <w:color w:val="B4B4B4"/>
        </w:rPr>
        <w:t>----------------------------------------</w:t>
      </w:r>
    </w:p>
    <w:p>
      <w:r>
        <w:rPr>
          <w:b/>
          <w:color w:val="1A5276"/>
          <w:sz w:val="24"/>
        </w:rPr>
        <w:t>6) ERRORES COMUNES O PUNTOS CIEGOS</w:t>
      </w:r>
    </w:p>
    <w:p>
      <w:pPr>
        <w:spacing w:line="276" w:lineRule="auto" w:after="80"/>
      </w:pPr>
      <w:r>
        <w:t>- Excesiva dependencia de datos históricos: Los escenarios históricos son útiles, pero no siempre capturan la totalidad de los riesgos futuros o "cisnes negros".</w:t>
      </w:r>
    </w:p>
    <w:p>
      <w:pPr>
        <w:spacing w:line="276" w:lineRule="auto" w:after="80"/>
      </w:pPr>
      <w:r>
        <w:t>- No considerar interdependencias: Los riesgos no actúan de forma aislada. Un error común es no modelar cómo un shock en un factor (ej., tasas de interés) puede desencadenar otros (ej., riesgo de crédito o liquidez).</w:t>
      </w:r>
    </w:p>
    <w:p>
      <w:pPr>
        <w:spacing w:line="276" w:lineRule="auto" w:after="80"/>
      </w:pPr>
      <w:r>
        <w:t>- Falta de dinamismo: Asumir que la gestión no reaccionará ante un escenario de estrés, cuando en la realidad se tomarían medidas de mitigación. Los modelos deben incorporar respuestas dinámicas de la gerencia.</w:t>
      </w:r>
    </w:p>
    <w:p>
      <w:pPr>
        <w:spacing w:line="276" w:lineRule="auto" w:after="80"/>
      </w:pPr>
      <w:r>
        <w:t>- Sesgo de confirmación: Diseñar escenarios que confirmen las hipótesis preexistentes, en lugar de desafiarlas.</w:t>
      </w:r>
    </w:p>
    <w:p>
      <w:pPr>
        <w:spacing w:line="276" w:lineRule="auto" w:after="80"/>
      </w:pPr>
      <w:r>
        <w:t>- Complejidad excesiva sin claridad: Modelos demasiado complejos que son difíciles de entender, interpretar o comunicar, perdiendo su valor como herramienta de gestión.</w:t>
      </w:r>
    </w:p>
    <w:p>
      <w:pPr>
        <w:spacing w:line="276" w:lineRule="auto" w:after="80"/>
      </w:pPr>
      <w:r>
        <w:t>- No involucrar a todas las áreas: El stress testing es un esfuerzo multidisciplinario que requiere la colaboración de actuarios, financieros, suscriptores y gerentes de negocio.</w:t>
      </w:r>
    </w:p>
    <w:p/>
    <w:p>
      <w:r>
        <w:rPr>
          <w:color w:val="B4B4B4"/>
        </w:rPr>
        <w:t>----------------------------------------</w:t>
      </w:r>
    </w:p>
    <w:p>
      <w:r>
        <w:rPr>
          <w:b/>
          <w:color w:val="1A5276"/>
          <w:sz w:val="24"/>
        </w:rPr>
        <w:t>7) EN UNA LÍNEA</w:t>
      </w:r>
    </w:p>
    <w:p>
      <w:pPr>
        <w:spacing w:line="276" w:lineRule="auto" w:after="80"/>
      </w:pPr>
      <w:r>
        <w:t>El análisis de sensibilidad y las pruebas de estrés son herramientas esenciales para evaluar la resiliencia financiera de tu aseguradora ante escenarios adversos, informando decisiones estratégicas y operativas para una solvencia robusta.</w:t>
      </w:r>
    </w:p>
    <w:p/>
    <w:p>
      <w:r>
        <w:rPr>
          <w:color w:val="B4B4B4"/>
        </w:rPr>
        <w:t>----------------------------------------</w:t>
      </w:r>
    </w:p>
    <w:p>
      <w:r>
        <w:rPr>
          <w:b/>
          <w:color w:val="1A5276"/>
          <w:sz w:val="24"/>
        </w:rPr>
        <w:t>FUENTES DE REFERENCIA</w:t>
      </w:r>
    </w:p>
    <w:p>
      <w:pPr>
        <w:spacing w:line="276" w:lineRule="auto" w:after="80"/>
      </w:pPr>
      <w:r>
        <w:t>- MetricGate. Pruebas de estrés actuariales.</w:t>
      </w:r>
    </w:p>
    <w:p>
      <w:pPr>
        <w:spacing w:line="276" w:lineRule="auto" w:after="80"/>
      </w:pPr>
      <w:r>
        <w:t>- EALDE Business School. Stress testing y análisis de escenarios en la Gestión de Riesgos.</w:t>
      </w:r>
    </w:p>
    <w:p>
      <w:pPr>
        <w:spacing w:line="276" w:lineRule="auto" w:after="80"/>
      </w:pPr>
      <w:r>
        <w:t>- Management Solutions. Prueba de resistencia para las aseguradoras de 2024.</w:t>
      </w:r>
    </w:p>
    <w:p>
      <w:pPr>
        <w:spacing w:line="276" w:lineRule="auto" w:after="80"/>
      </w:pPr>
      <w:r>
        <w:t>- Económicas UBA. MODELO DE RIESGO INTEGRAL Y STRESS TESTING.</w:t>
      </w:r>
    </w:p>
    <w:p>
      <w:pPr>
        <w:spacing w:line="276" w:lineRule="auto" w:after="80"/>
      </w:pPr>
      <w:r>
        <w:t>- Superintendencia de Seguros de la Nación. Resolución SSN 40.835/2017 (Sistema de Gestión Integral de Riesgos).</w:t>
      </w:r>
    </w:p>
    <w:p>
      <w:pPr>
        <w:spacing w:line="276" w:lineRule="auto" w:after="80"/>
      </w:pPr>
      <w:r>
        <w:t>- Superintendencia de Seguros de la Nación. Resolución SSN 24/2025 (Régimen de Capital Mínimo Unificado en UVA).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