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APRENDIZAJE DE DOBLE BUCLE: LA REFLEXIÓN PROFUNDA EN EL LIDERAZGO</w:t>
      </w:r>
    </w:p>
    <w:p/>
    <w:p>
      <w:r>
        <w:rPr>
          <w:i/>
          <w:color w:val="646464"/>
          <w:sz w:val="20"/>
        </w:rPr>
        <w:t>Fecha: 2026-09-13 | Área: Liderazgo con enfoque reflexivo | Lectura estimada: 12 minutos</w:t>
      </w:r>
    </w:p>
    <w:p/>
    <w:p>
      <w:r>
        <w:rPr>
          <w:color w:val="B4B4B4"/>
        </w:rPr>
        <w:t>----------------------------------------</w:t>
      </w:r>
    </w:p>
    <w:p>
      <w:r>
        <w:rPr>
          <w:b/>
          <w:color w:val="1A5276"/>
          <w:sz w:val="24"/>
        </w:rPr>
        <w:t>1) CONCEPTO</w:t>
      </w:r>
    </w:p>
    <w:p>
      <w:pPr>
        <w:spacing w:line="276" w:lineRule="auto" w:after="80"/>
      </w:pPr>
      <w:r>
        <w:t>En el complejo ecosistema de una Gerencia de Seguros de Personas y Retiro, la capacidad de un líder para aprender y adaptarse es crucial. Sin embargo, no todo aprendizaje es igual. El liderazgo con enfoque reflexivo, en su nivel más profundo, se apoya en el concepto de "aprendizaje de doble bucle" (Double-Loop Learning), desarrollado por Chris Argyris y Donald Schön. Este modelo distingue entre la corrección de errores superficiales y la revisión fundamental de los supuestos, valores y normas subyacentes que guían nuestras acciones y decisiones. Mientras el aprendizaje de bucle simple se enfoca en "hacer las cosas bien", el aprendizaje de doble bucle se pregunta si "estamos haciendo las cosas correctas" y si los marcos mentales con los que operamos son los adecuados para los desafíos actuales y futuros. Es una herramienta esencial para la mejora continua y la innovación estratégica en entornos dinámicos.</w:t>
      </w:r>
    </w:p>
    <w:p/>
    <w:p>
      <w:r>
        <w:rPr>
          <w:color w:val="B4B4B4"/>
        </w:rPr>
        <w:t>----------------------------------------</w:t>
      </w:r>
    </w:p>
    <w:p>
      <w:r>
        <w:rPr>
          <w:b/>
          <w:color w:val="1A5276"/>
          <w:sz w:val="24"/>
        </w:rPr>
        <w:t>2) FÓRMULA / COMPONENTES / MECÁNICA</w:t>
      </w:r>
    </w:p>
    <w:p>
      <w:pPr>
        <w:spacing w:line="276" w:lineRule="auto" w:after="80"/>
      </w:pPr>
      <w:r>
        <w:t>La mecánica del aprendizaje de doble bucle se entiende mejor en contraste con el aprendizaje de bucle simple:</w:t>
      </w:r>
    </w:p>
    <w:p/>
    <w:p>
      <w:pPr>
        <w:spacing w:line="276" w:lineRule="auto" w:after="80"/>
      </w:pPr>
      <w:r>
        <w:t>- Aprendizaje de Bucle Simple (Single-Loop Learning): Este tipo de aprendizaje ocurre cuando detectamos un error o una desviación de un resultado deseado y lo corregimos sin cuestionar las políticas, objetivos o supuestos que llevaron a esa acción. Es un proceso de "prueba y error" dentro de un marco de referencia existente. Por ejemplo, si una máquina produce piezas defectuosas, el bucle simple implicaría ajustar la máquina para que produzca piezas correctas, sin preguntarse si el diseño de la pieza o el propósito de la máquina son los adecuados. Se centra en la eficiencia y la resolución de problemas operativos.</w:t>
      </w:r>
    </w:p>
    <w:p/>
    <w:p>
      <w:pPr>
        <w:spacing w:line="276" w:lineRule="auto" w:after="80"/>
      </w:pPr>
      <w:r>
        <w:t>- Aprendizaje de Doble Bucle (Double-Loop Learning): Este nivel superior de aprendizaje se activa cuando, ante un error o un problema persistente, no solo corregimos la acción, sino que también cuestionamos y modificamos las normas, supuestos, valores y estrategias subyacentes que informaron esa acción. Implica una reflexión crítica sobre el "por qué" de nuestras prácticas y la validez de nuestros modelos mentales. Los componentes clave incluyen:</w:t>
      </w:r>
    </w:p>
    <w:p>
      <w:pPr>
        <w:spacing w:line="276" w:lineRule="auto" w:after="80"/>
      </w:pPr>
      <w:r>
        <w:t>a) Detección de errores o inconsistencias.</w:t>
      </w:r>
    </w:p>
    <w:p>
      <w:pPr>
        <w:spacing w:line="276" w:lineRule="auto" w:after="80"/>
      </w:pPr>
      <w:r>
        <w:t>b) Reflexión profunda sobre las causas raíz, yendo más allá de los síntomas.</w:t>
      </w:r>
    </w:p>
    <w:p>
      <w:pPr>
        <w:spacing w:line="276" w:lineRule="auto" w:after="80"/>
      </w:pPr>
      <w:r>
        <w:t>c) Cuestionamiento de los supuestos, creencias y valores organizacionales o personales que influyeron en la situación.</w:t>
      </w:r>
    </w:p>
    <w:p>
      <w:pPr>
        <w:spacing w:line="276" w:lineRule="auto" w:after="80"/>
      </w:pPr>
      <w:r>
        <w:t>d) Experimentación con nuevas formas de pensar y actuar.</w:t>
      </w:r>
    </w:p>
    <w:p>
      <w:pPr>
        <w:spacing w:line="276" w:lineRule="auto" w:after="80"/>
      </w:pPr>
      <w:r>
        <w:t>e) Modificación de las teorías en uso (es decir, los marcos mentales que guían el comportamiento).</w:t>
      </w:r>
    </w:p>
    <w:p/>
    <w:p>
      <w:pPr>
        <w:spacing w:line="276" w:lineRule="auto" w:after="80"/>
      </w:pPr>
      <w:r>
        <w:t>Este proceso requiere una mentalidad abierta, la capacidad de tolerar la ambigüedad y la voluntad de desafiar el status quo.</w:t>
      </w:r>
    </w:p>
    <w:p/>
    <w:p>
      <w:r>
        <w:rPr>
          <w:color w:val="B4B4B4"/>
        </w:rPr>
        <w:t>----------------------------------------</w:t>
      </w:r>
    </w:p>
    <w:p>
      <w:r>
        <w:rPr>
          <w:b/>
          <w:color w:val="1A5276"/>
          <w:sz w:val="24"/>
        </w:rPr>
        <w:t>3) APLICABILIDAD POR RAMO / CONTEXTO</w:t>
      </w:r>
    </w:p>
    <w:p>
      <w:pPr>
        <w:spacing w:line="276" w:lineRule="auto" w:after="80"/>
      </w:pPr>
      <w:r>
        <w:t>El aprendizaje de doble bucle es fundamental en todos los ramos de Seguros de Personas y Retiro, ya que fomenta la adaptabilidad y la innovación frente a un mercado en constante evolución:</w:t>
      </w:r>
    </w:p>
    <w:p/>
    <w:p>
      <w:pPr>
        <w:spacing w:line="276" w:lineRule="auto" w:after="80"/>
      </w:pPr>
      <w:r>
        <w:t>- Vida: Permite cuestionar los supuestos de tarificación tradicionales ante nuevas tendencias de mortalidad o longevidad, o revisar los modelos de distribución de productos de vida entera o con ahorro.</w:t>
      </w:r>
    </w:p>
    <w:p>
      <w:pPr>
        <w:spacing w:line="276" w:lineRule="auto" w:after="80"/>
      </w:pPr>
      <w:r>
        <w:t>- Retiro: Es crucial para reevaluar las hipótesis actuariales sobre tasas de interés, inflación y comportamiento de los asegurados en rentas vitalicias, o para rediseñar productos de retiro ante cambios regulatorios o demográficos.</w:t>
      </w:r>
    </w:p>
    <w:p>
      <w:pPr>
        <w:spacing w:line="276" w:lineRule="auto" w:after="80"/>
      </w:pPr>
      <w:r>
        <w:t>- Accidentes Personales: Facilita la revisión de los criterios de suscripción o la cobertura de riesgos emergentes, como los asociados a nuevas profesiones o tecnologías, en lugar de solo ajustar primas.</w:t>
      </w:r>
    </w:p>
    <w:p>
      <w:pPr>
        <w:spacing w:line="276" w:lineRule="auto" w:after="80"/>
      </w:pPr>
      <w:r>
        <w:t>- Salud: Permite cuestionar los modelos de gestión de siniestros o los diseños de planes de salud ante el aumento de costos médicos, la aparición de nuevas enfermedades o la demanda de servicios de telemedicina, en lugar de solo incrementar copagos.</w:t>
      </w:r>
    </w:p>
    <w:p/>
    <w:p>
      <w:pPr>
        <w:spacing w:line="276" w:lineRule="auto" w:after="80"/>
      </w:pPr>
      <w:r>
        <w:t>En todos los casos, el doble bucle impulsa a los equipos técnicos y de gestión a ir más allá de la corrección superficial, buscando mejoras estructurales y estratégicas.</w:t>
      </w:r>
    </w:p>
    <w:p/>
    <w:p>
      <w:r>
        <w:rPr>
          <w:color w:val="B4B4B4"/>
        </w:rPr>
        <w:t>----------------------------------------</w:t>
      </w:r>
    </w:p>
    <w:p>
      <w:r>
        <w:rPr>
          <w:b/>
          <w:color w:val="1A5276"/>
          <w:sz w:val="24"/>
        </w:rPr>
        <w:t>4) EJEMPLO NUMÉRICO O CASO CONCRETO</w:t>
      </w:r>
    </w:p>
    <w:p>
      <w:pPr>
        <w:spacing w:line="276" w:lineRule="auto" w:after="80"/>
      </w:pPr>
      <w:r>
        <w:t>Considerá el caso de una Gerencia de Suscripción de Seguros de Salud que observa un incremento constante en la tasa de siniestralidad de un producto específico para pymes, superando las proyecciones iniciales.</w:t>
      </w:r>
    </w:p>
    <w:p/>
    <w:p>
      <w:pPr>
        <w:spacing w:line="276" w:lineRule="auto" w:after="80"/>
      </w:pPr>
      <w:r>
        <w:t>- Aprendizaje de Bucle Simple: El equipo de suscripción decide, como primera medida, aumentar la prima del producto para el próximo período y endurecer los requisitos de elegibilidad para nuevas pólizas, esperando así compensar el desvío y reducir la siniestralidad futura. Se actúa sobre los síntomas.</w:t>
      </w:r>
    </w:p>
    <w:p/>
    <w:p>
      <w:pPr>
        <w:spacing w:line="276" w:lineRule="auto" w:after="80"/>
      </w:pPr>
      <w:r>
        <w:t>- Aprendizaje de Doble Bucle: Un líder que aplica este enfoque iría más allá. Preguntaría: "¿Por qué nuestros supuestos iniciales sobre este segmento de pymes fallaron? ¿Es el diseño del producto el adecuado para este tipo de empresas? ¿Nuestros canales de venta están atrayendo el riesgo correcto? ¿La información que solicitamos en la declaración de salud es suficiente o estamos omitiendo factores clave? ¿Nuestra definición de 'pyme' o 'riesgo aceptable' para este producto sigue siendo válida en el mercado actual?". Esta reflexión podría llevar a descubrir que el producto, diseñado originalmente para un perfil de pyme con bajo riesgo, está siendo adquirido por empresas de sectores con alta rotación de personal o actividades de mayor riesgo, o que la comunicación del producto generó expectativas de cobertura que no se alinean con la prima. La solución no sería solo ajustar la prima, sino rediseñar el producto, segmentar el mercado de pymes de otra manera, capacitar a los productores en la venta dirigida o incluso desarrollar un nuevo modelo de evaluación de riesgos para pymes.</w:t>
      </w:r>
    </w:p>
    <w:p/>
    <w:p>
      <w:r>
        <w:rPr>
          <w:color w:val="B4B4B4"/>
        </w:rPr>
        <w:t>----------------------------------------</w:t>
      </w:r>
    </w:p>
    <w:p>
      <w:r>
        <w:rPr>
          <w:b/>
          <w:color w:val="1A5276"/>
          <w:sz w:val="24"/>
        </w:rPr>
        <w:t>5) APLICACIÓN PRÁCTICA PARA UN LÍDER DE EQUIPO</w:t>
      </w:r>
    </w:p>
    <w:p>
      <w:pPr>
        <w:spacing w:line="276" w:lineRule="auto" w:after="80"/>
      </w:pPr>
      <w:r>
        <w:t>Como líder, tenés la oportunidad de fomentar el aprendizaje de doble bucle en tu equipo:</w:t>
      </w:r>
    </w:p>
    <w:p/>
    <w:p>
      <w:pPr>
        <w:spacing w:line="276" w:lineRule="auto" w:after="80"/>
      </w:pPr>
      <w:r>
        <w:t>- Creá un espacio seguro: Promové una cultura donde los errores se vean como oportunidades de aprendizaje, no como fallos a castigar. La seguridad psicológica es fundamental para que tu equipo se atreva a cuestionar.</w:t>
      </w:r>
    </w:p>
    <w:p>
      <w:pPr>
        <w:spacing w:line="276" w:lineRule="auto" w:after="80"/>
      </w:pPr>
      <w:r>
        <w:t>- Hacé preguntas poderosas: En lugar de solo preguntar "¿Qué salió mal?", preguntá "¿Por qué creemos que esto es la forma correcta de hacerlo?" o "¿Qué supuestos estamos dando por sentados?".</w:t>
      </w:r>
    </w:p>
    <w:p>
      <w:pPr>
        <w:spacing w:line="276" w:lineRule="auto" w:after="80"/>
      </w:pPr>
      <w:r>
        <w:t>- Dedicá tiempo a la reflexión: Incorporá sesiones de "post-mortem" o "lecciones aprendidas" que vayan más allá de la superficie. Analizá no solo los resultados, sino también los procesos y las decisiones que los generaron.</w:t>
      </w:r>
    </w:p>
    <w:p>
      <w:pPr>
        <w:spacing w:line="276" w:lineRule="auto" w:after="80"/>
      </w:pPr>
      <w:r>
        <w:t>- Modelá el comportamiento: Sé el primero en cuestionar tus propios supuestos y en admitir cuando un enfoque anterior necesita ser revisado. Tu ejemplo es la herramienta más potente.</w:t>
      </w:r>
    </w:p>
    <w:p>
      <w:pPr>
        <w:spacing w:line="276" w:lineRule="auto" w:after="80"/>
      </w:pPr>
      <w:r>
        <w:t>- Fomentá la experimentación: Animate a probar nuevas ideas a pequeña escala y a aprender de los resultados, incluso si no son los esperados.</w:t>
      </w:r>
    </w:p>
    <w:p>
      <w:pPr>
        <w:spacing w:line="276" w:lineRule="auto" w:after="80"/>
      </w:pPr>
      <w:r>
        <w:t>- Promové el diálogo abierto: Asegurate de que haya canales para que las voces disidentes o las perspectivas alternativas sean escuchadas y consideradas.</w:t>
      </w:r>
    </w:p>
    <w:p/>
    <w:p>
      <w:r>
        <w:rPr>
          <w:color w:val="B4B4B4"/>
        </w:rPr>
        <w:t>----------------------------------------</w:t>
      </w:r>
    </w:p>
    <w:p>
      <w:r>
        <w:rPr>
          <w:b/>
          <w:color w:val="1A5276"/>
          <w:sz w:val="24"/>
        </w:rPr>
        <w:t>6) ERRORES COMUNES O PUNTOS CIEGOS</w:t>
      </w:r>
    </w:p>
    <w:p>
      <w:pPr>
        <w:spacing w:line="276" w:lineRule="auto" w:after="80"/>
      </w:pPr>
      <w:r>
        <w:t>- Confundir actividad con aprendizaje: Estar constantemente ocupado corrigiendo problemas (bucle simple) sin dedicar tiempo a la reflexión profunda sobre las causas raíz y los supuestos subyacentes.</w:t>
      </w:r>
    </w:p>
    <w:p>
      <w:pPr>
        <w:spacing w:line="276" w:lineRule="auto" w:after="80"/>
      </w:pPr>
      <w:r>
        <w:t>- Resistencia al cuestionamiento: La tendencia natural a defender los propios modelos mentales o el status quo, especialmente cuando han sido exitosos en el pasado.</w:t>
      </w:r>
    </w:p>
    <w:p>
      <w:pPr>
        <w:spacing w:line="276" w:lineRule="auto" w:after="80"/>
      </w:pPr>
      <w:r>
        <w:t>- Falta de seguridad psicológica: Si los miembros del equipo temen las consecuencias de señalar fallas o cuestionar decisiones, el aprendizaje de doble bucle será imposible.</w:t>
      </w:r>
    </w:p>
    <w:p>
      <w:pPr>
        <w:spacing w:line="276" w:lineRule="auto" w:after="80"/>
      </w:pPr>
      <w:r>
        <w:t>- Buscar culpables en lugar de soluciones: Enfocarse en quién cometió el error en lugar de qué llevó al error y cómo se puede aprender de él.</w:t>
      </w:r>
    </w:p>
    <w:p>
      <w:pPr>
        <w:spacing w:line="276" w:lineRule="auto" w:after="80"/>
      </w:pPr>
      <w:r>
        <w:t>- No cerrar el bucle: Identificar los supuestos erróneos pero no implementar cambios concretos en las políticas, procesos o estrategias.</w:t>
      </w:r>
    </w:p>
    <w:p/>
    <w:p>
      <w:r>
        <w:rPr>
          <w:color w:val="B4B4B4"/>
        </w:rPr>
        <w:t>----------------------------------------</w:t>
      </w:r>
    </w:p>
    <w:p>
      <w:r>
        <w:rPr>
          <w:b/>
          <w:color w:val="1A5276"/>
          <w:sz w:val="24"/>
        </w:rPr>
        <w:t>7) EN UNA LÍNEA</w:t>
      </w:r>
    </w:p>
    <w:p>
      <w:pPr>
        <w:spacing w:line="276" w:lineRule="auto" w:after="80"/>
      </w:pPr>
      <w:r>
        <w:t>El aprendizaje de doble bucle es la capacidad de tu equipo para cuestionar sus propios fundamentos, transformando los errores en catalizadores de innovación y adaptabilidad estratégica.</w:t>
      </w:r>
    </w:p>
    <w:p/>
    <w:p>
      <w:r>
        <w:rPr>
          <w:color w:val="B4B4B4"/>
        </w:rPr>
        <w:t>----------------------------------------</w:t>
      </w:r>
    </w:p>
    <w:p>
      <w:r>
        <w:rPr>
          <w:b/>
          <w:color w:val="1A5276"/>
          <w:sz w:val="24"/>
        </w:rPr>
        <w:t>FUENTES DE REFERENCIA</w:t>
      </w:r>
    </w:p>
    <w:p>
      <w:pPr>
        <w:spacing w:line="276" w:lineRule="auto" w:after="80"/>
      </w:pPr>
      <w:r>
        <w:t>- Argyris, C., &amp; Schön, D. A. (1978). Organizational Learning: A Theory of Action Perspective. Addison-Wesley.</w:t>
      </w:r>
    </w:p>
    <w:p>
      <w:pPr>
        <w:spacing w:line="276" w:lineRule="auto" w:after="80"/>
      </w:pPr>
      <w:r>
        <w:t>- Argyris, C. (1990). Overcoming Organizational Defenses: Facilitating Organizational Learning. Allyn and Bacon.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