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INTELIGENCIA ARTIFICIAL GENERATIVA EN SEGUROS DE PERSONAS: MÁS ALLÁ DE LA AUTOMATIZACIÓN, LA CREACIÓN DE VALOR</w:t>
      </w:r>
    </w:p>
    <w:p/>
    <w:p>
      <w:r>
        <w:rPr>
          <w:i/>
          <w:color w:val="646464"/>
          <w:sz w:val="20"/>
        </w:rPr>
        <w:t>Fecha: 2026-10-22 | Área: Tendencias de mercado y tecnología | Lectura estimada: 12 minutos</w:t>
      </w:r>
    </w:p>
    <w:p/>
    <w:p>
      <w:r>
        <w:rPr>
          <w:color w:val="B4B4B4"/>
        </w:rPr>
        <w:t>----------------------------------------</w:t>
      </w:r>
    </w:p>
    <w:p/>
    <w:p>
      <w:r>
        <w:rPr>
          <w:b/>
          <w:color w:val="1A5276"/>
          <w:sz w:val="24"/>
        </w:rPr>
        <w:t>1) CONCEPTO</w:t>
      </w:r>
    </w:p>
    <w:p>
      <w:pPr>
        <w:spacing w:line="276" w:lineRule="auto" w:after="80"/>
      </w:pPr>
      <w:r>
        <w:t>La Inteligencia Artificial Generativa (IAG) representa una evolución significativa en el campo de la inteligencia artificial, diferenciándose de los modelos discriminativos tradicionales que se enfocan en clasificar o predecir resultados a partir de datos existentes. La IAG, en cambio, tiene la capacidad de crear contenido nuevo y original -ya sea texto, imágenes, código o datos sintéticos- que es indistinguible del contenido generado por humanos. Su principal exponente hoy son los Modelos de Lenguaje Grandes (LLMs, por sus siglas en inglés), como GPT o LLaMA, que aprenden patrones complejos de vastos conjuntos de datos para generar respuestas coherentes y contextualmente relevantes. La clave de la IAG radica en su habilidad para no solo analizar o reconocer, sino para *generar*, abriendo un abanico de posibilidades para la personalización, la eficiencia y la innovación en el sector asegurador.</w:t>
      </w:r>
    </w:p>
    <w:p/>
    <w:p>
      <w:r>
        <w:rPr>
          <w:color w:val="B4B4B4"/>
        </w:rPr>
        <w:t>----------------------------------------</w:t>
      </w:r>
    </w:p>
    <w:p/>
    <w:p>
      <w:r>
        <w:rPr>
          <w:b/>
          <w:color w:val="1A5276"/>
          <w:sz w:val="24"/>
        </w:rPr>
        <w:t>2) FÓRMULA / COMPONENTES / MECÁNICA</w:t>
      </w:r>
    </w:p>
    <w:p>
      <w:pPr>
        <w:spacing w:line="276" w:lineRule="auto" w:after="80"/>
      </w:pPr>
      <w:r>
        <w:t>La mecánica subyacente de los LLMs se basa en arquitecturas de redes neuronales conocidas como "Transformers". Estos modelos utilizan un mecanismo de "atención" que les permite ponderar la importancia de diferentes palabras en una secuencia de entrada al generar una salida, capturando dependencias a largo plazo en el lenguaje. El proceso de desarrollo de un LLM generalmente consta de dos fases:</w:t>
      </w:r>
    </w:p>
    <w:p>
      <w:pPr>
        <w:spacing w:line="276" w:lineRule="auto" w:after="80"/>
      </w:pPr>
      <w:r>
        <w:t>1. Pre-entrenamiento: Se entrena el modelo con cantidades masivas de texto no etiquetado de internet (libros, artículos, sitios web) para que aprenda gramática, sintaxis, semántica y conocimientos generales.</w:t>
      </w:r>
    </w:p>
    <w:p>
      <w:pPr>
        <w:spacing w:line="276" w:lineRule="auto" w:after="80"/>
      </w:pPr>
      <w:r>
        <w:t>2. Fine-tuning (ajuste fino): El modelo pre-entrenado se ajusta con un conjunto de datos más pequeño y específico para una tarea o dominio particular, como el lenguaje técnico de seguros. Esto mejora su rendimiento en tareas específicas y lo alinea con las necesidades de la industria.</w:t>
      </w:r>
    </w:p>
    <w:p>
      <w:pPr>
        <w:spacing w:line="276" w:lineRule="auto" w:after="80"/>
      </w:pPr>
      <w:r>
        <w:t>La interacción con estos modelos se realiza a través de "prompts" o instrucciones en lenguaje natural. La "ingeniería de prompts" es la habilidad de diseñar estas instrucciones de manera efectiva para obtener las respuestas deseadas. Técnicas como el "zero-shot learning" (responder sin ejemplos previos) o "few-shot learning" (responder con pocos ejemplos) son fundamentales. La generación de texto se produce token a token, donde el modelo predice la siguiente palabra o sub-palabra basándose en el contexto anterior y su entrenamiento. Además de texto, la IAG puede generar datos sintéticos, útiles para entrenar otros modelos, realizar pruebas o preservar la privacidad de datos reales.</w:t>
      </w:r>
    </w:p>
    <w:p/>
    <w:p>
      <w:r>
        <w:rPr>
          <w:color w:val="B4B4B4"/>
        </w:rPr>
        <w:t>----------------------------------------</w:t>
      </w:r>
    </w:p>
    <w:p/>
    <w:p>
      <w:r>
        <w:rPr>
          <w:b/>
          <w:color w:val="1A5276"/>
          <w:sz w:val="24"/>
        </w:rPr>
        <w:t>3) APLICABILIDAD POR RAMO / CONTEXTO</w:t>
      </w:r>
    </w:p>
    <w:p>
      <w:pPr>
        <w:spacing w:line="276" w:lineRule="auto" w:after="80"/>
      </w:pPr>
      <w:r>
        <w:t>La Inteligencia Artificial Generativa ofrece aplicaciones transformadoras en todos los ramos de seguros de personas:</w:t>
      </w:r>
    </w:p>
    <w:p>
      <w:pPr>
        <w:spacing w:line="276" w:lineRule="auto" w:after="80"/>
      </w:pPr>
      <w:r>
        <w:t>- Vida y Retiro: Permite la personalización de propuestas de valor y la comunicación de beneficios de póliza en lenguaje claro y adaptado al perfil del asegurado. Facilita la redacción de cláusulas contractuales complejas o comunicaciones a beneficiarios, y la creación de contenido educativo sobre planificación financiera y jubilación.</w:t>
      </w:r>
    </w:p>
    <w:p>
      <w:pPr>
        <w:spacing w:line="276" w:lineRule="auto" w:after="80"/>
      </w:pPr>
      <w:r>
        <w:t>- Accidentes Personales (AP): Puede automatizar la redacción de informes iniciales de siniestros, generar respuestas a consultas frecuentes sobre coberturas y procesos, y diseñar campañas de prevención personalizadas basadas en perfiles de riesgo.</w:t>
      </w:r>
    </w:p>
    <w:p>
      <w:pPr>
        <w:spacing w:line="276" w:lineRule="auto" w:after="80"/>
      </w:pPr>
      <w:r>
        <w:t>- Salud: Habilita asistentes virtuales avanzados para consultas de síntomas o navegación de beneficios (siempre con supervisión humana y validación médica). También puede generar resúmenes anonimizados de historiales médicos para suscriptores o crear contenido para programas de bienestar y prevención.</w:t>
      </w:r>
    </w:p>
    <w:p>
      <w:pPr>
        <w:spacing w:line="276" w:lineRule="auto" w:after="80"/>
      </w:pPr>
      <w:r>
        <w:t>- Aplicaciones transversales:</w:t>
      </w:r>
    </w:p>
    <w:p>
      <w:pPr>
        <w:spacing w:line="276" w:lineRule="auto" w:after="80"/>
      </w:pPr>
      <w:r>
        <w:t>- Suscripción: Asistencia en la evaluación de riesgos complejos, resumiendo historiales o generando preguntas adicionales para el suscriptor. Generación automática de documentación de póliza.</w:t>
      </w:r>
    </w:p>
    <w:p>
      <w:pPr>
        <w:spacing w:line="276" w:lineRule="auto" w:after="80"/>
      </w:pPr>
      <w:r>
        <w:t>- Siniestros: Redacción de comunicaciones a asegurados, resumen de expedientes voluminosos y pre-análisis de causalidad.</w:t>
      </w:r>
    </w:p>
    <w:p>
      <w:pPr>
        <w:spacing w:line="276" w:lineRule="auto" w:after="80"/>
      </w:pPr>
      <w:r>
        <w:t>- Atención al Cliente: Potencia chatbots avanzados y asistentes para agentes, mejorando la calidad y velocidad de las respuestas a FAQs y consultas complejas.</w:t>
      </w:r>
    </w:p>
    <w:p>
      <w:pPr>
        <w:spacing w:line="276" w:lineRule="auto" w:after="80"/>
      </w:pPr>
      <w:r>
        <w:t>- Fraude: Generación de escenarios de fraude sintéticos para entrenar y mejorar los modelos de detección, sin comprometer datos reales.</w:t>
      </w:r>
    </w:p>
    <w:p/>
    <w:p>
      <w:r>
        <w:rPr>
          <w:color w:val="B4B4B4"/>
        </w:rPr>
        <w:t>----------------------------------------</w:t>
      </w:r>
    </w:p>
    <w:p/>
    <w:p>
      <w:r>
        <w:rPr>
          <w:b/>
          <w:color w:val="1A5276"/>
          <w:sz w:val="24"/>
        </w:rPr>
        <w:t>4) EJEMPLO NUMÉRICO O CASO CONCRETO</w:t>
      </w:r>
    </w:p>
    <w:p>
      <w:pPr>
        <w:spacing w:line="276" w:lineRule="auto" w:after="80"/>
      </w:pPr>
      <w:r>
        <w:t>Consideremos una Gerencia de Siniestros de Accidentes Personales en Argentina que procesa un alto volumen de reclamos. El equipo de liquidadores dedica una parte significativa de su tiempo a la redacción de comunicaciones estandarizadas a asegurados, pedidos de documentación adicional y resúmenes internos de cada expediente.</w:t>
      </w:r>
    </w:p>
    <w:p>
      <w:pPr>
        <w:spacing w:line="276" w:lineRule="auto" w:after="80"/>
      </w:pPr>
      <w:r>
        <w:t>- Contexto inicial: El equipo de 15 liquidadores gestiona un promedio de 3000 siniestros mensuales. La redacción de comunicaciones y resúmenes consume aproximadamente 2 horas por expediente complejo, con un 15% de estos requiriendo revisiones por inconsistencias o errores.</w:t>
      </w:r>
    </w:p>
    <w:p>
      <w:pPr>
        <w:spacing w:line="276" w:lineRule="auto" w:after="80"/>
      </w:pPr>
      <w:r>
        <w:t>- Implementación de IAG: Se integra un LLM fine-tuneado con la normativa de la SSN (Ley 17.418, resoluciones específicas de AP) y la base de conocimiento interna de la aseguradora. Este LLM actúa como un asistente de redacción para los liquidadores.</w:t>
      </w:r>
    </w:p>
    <w:p>
      <w:pPr>
        <w:spacing w:line="276" w:lineRule="auto" w:after="80"/>
      </w:pPr>
      <w:r>
        <w:t>- Mecánica: Cuando un liquidador necesita redactar una comunicación, ingresa los datos clave del siniestro (tipo de accidente, cobertura, documentación pendiente) en una interfaz. El LLM genera un borrador de la comunicación en segundos, sugiriendo el tono y el contenido adecuado. El liquidador revisa, ajusta y aprueba.</w:t>
      </w:r>
    </w:p>
    <w:p>
      <w:pPr>
        <w:spacing w:line="276" w:lineRule="auto" w:after="80"/>
      </w:pPr>
      <w:r>
        <w:t>- Impacto:</w:t>
      </w:r>
    </w:p>
    <w:p>
      <w:pPr>
        <w:spacing w:line="276" w:lineRule="auto" w:after="80"/>
      </w:pPr>
      <w:r>
        <w:t>- Reducción del tiempo de redacción en un 50% para expedientes complejos (de 2 horas a 1 hora), liberando 1 hora por expediente.</w:t>
      </w:r>
    </w:p>
    <w:p>
      <w:pPr>
        <w:spacing w:line="276" w:lineRule="auto" w:after="80"/>
      </w:pPr>
      <w:r>
        <w:t>- Disminución del 10% en las revisiones por inconsistencias (del 15% al 5%), mejorando la calidad y la consistencia.</w:t>
      </w:r>
    </w:p>
    <w:p>
      <w:pPr>
        <w:spacing w:line="276" w:lineRule="auto" w:after="80"/>
      </w:pPr>
      <w:r>
        <w:t>- Si 1000 de los 3000 siniestros mensuales son complejos, se ahorran 1000 horas de trabajo de redacción al mes. Esto equivale a la capacidad de trabajo de más de 6 liquidadores a tiempo completo (1000 horas / 160 horas/mes por liquidador).</w:t>
      </w:r>
    </w:p>
    <w:p>
      <w:pPr>
        <w:spacing w:line="276" w:lineRule="auto" w:after="80"/>
      </w:pPr>
      <w:r>
        <w:t>- El equipo puede reasignar ese tiempo a tareas de mayor valor, como la investigación de casos complejos, la negociación con proveedores o la mejora de la experiencia del cliente.</w:t>
      </w:r>
    </w:p>
    <w:p/>
    <w:p>
      <w:r>
        <w:rPr>
          <w:color w:val="B4B4B4"/>
        </w:rPr>
        <w:t>----------------------------------------</w:t>
      </w:r>
    </w:p>
    <w:p/>
    <w:p>
      <w:r>
        <w:rPr>
          <w:b/>
          <w:color w:val="1A5276"/>
          <w:sz w:val="24"/>
        </w:rPr>
        <w:t>5) APLICACIÓN PRÁCTICA PARA UN LÍDER DE EQUIPO</w:t>
      </w:r>
    </w:p>
    <w:p>
      <w:pPr>
        <w:spacing w:line="276" w:lineRule="auto" w:after="80"/>
      </w:pPr>
      <w:r>
        <w:t>Como líder, tu rol es clave para capitalizar el potencial de la IAG:</w:t>
      </w:r>
    </w:p>
    <w:p>
      <w:pPr>
        <w:spacing w:line="276" w:lineRule="auto" w:after="80"/>
      </w:pPr>
      <w:r>
        <w:t>- Identificá oportunidades: Analizá los procesos de tu equipo que son intensivos en texto, repetitivos o que requieren personalización a escala (ej., comunicaciones a clientes, informes, resúmenes de pólizas). Estos son candidatos ideales para pilotos de IAG.</w:t>
      </w:r>
    </w:p>
    <w:p>
      <w:pPr>
        <w:spacing w:line="276" w:lineRule="auto" w:after="80"/>
      </w:pPr>
      <w:r>
        <w:t>- Fomentá la experimentación controlada: Colaborá con las áreas de Innovación o IT para lanzar proyectos piloto. Definí métricas claras de éxito (reducción de tiempo, mejora de calidad, satisfacción del cliente) antes de escalar.</w:t>
      </w:r>
    </w:p>
    <w:p>
      <w:pPr>
        <w:spacing w:line="276" w:lineRule="auto" w:after="80"/>
      </w:pPr>
      <w:r>
        <w:t>- Capacitá a tu equipo: La IAG es una herramienta de aumento, no de reemplazo. Entrená a tu gente en la formulación de prompts efectivos, la validación crítica de las salidas generadas y la integración de la IA en sus flujos de trabajo.</w:t>
      </w:r>
    </w:p>
    <w:p>
      <w:pPr>
        <w:spacing w:line="276" w:lineRule="auto" w:after="80"/>
      </w:pPr>
      <w:r>
        <w:t>- Establecé marcos de gobernanza: Desarrollá pautas claras sobre el uso de la IAG, especialmente en lo que respecta a la privacidad de datos, la confidencialidad de la información del asegurado y la obligatoriedad de la supervisión humana.</w:t>
      </w:r>
    </w:p>
    <w:p>
      <w:pPr>
        <w:spacing w:line="276" w:lineRule="auto" w:after="80"/>
      </w:pPr>
      <w:r>
        <w:t>- Medí y comunicá el valor: Cuantificá el impacto en KPIs como el tiempo promedio de gestión, la tasa de error, la productividad por empleado o la consistencia en las comunicaciones. Presentá estos resultados a tu superior directo, destacando no solo la eficiencia sino también la mejora en la experiencia del cliente y la capacidad de innovación.</w:t>
      </w:r>
    </w:p>
    <w:p>
      <w:pPr>
        <w:spacing w:line="276" w:lineRule="auto" w:after="80"/>
      </w:pPr>
      <w:r>
        <w:t>- Gestioná el cambio cultural: Abordá proactivamente las preocupaciones sobre la seguridad laboral. Posicioná la IAG como una herramienta que libera a tu equipo de tareas monótonas, permitiéndoles enfocarse en actividades de mayor valor estratégico y creativo.</w:t>
      </w:r>
    </w:p>
    <w:p/>
    <w:p>
      <w:r>
        <w:rPr>
          <w:color w:val="B4B4B4"/>
        </w:rPr>
        <w:t>----------------------------------------</w:t>
      </w:r>
    </w:p>
    <w:p/>
    <w:p>
      <w:r>
        <w:rPr>
          <w:b/>
          <w:color w:val="1A5276"/>
          <w:sz w:val="24"/>
        </w:rPr>
        <w:t>6) ERRORES COMUNES O PUNTOS CIEGOS</w:t>
      </w:r>
    </w:p>
    <w:p>
      <w:pPr>
        <w:spacing w:line="276" w:lineRule="auto" w:after="80"/>
      </w:pPr>
      <w:r>
        <w:t>- Confianza excesiva en la autonomía del modelo: La IAG, aunque potente, no es infalible. Puede "alucinar" o generar información plausible pero incorrecta. La supervisión y validación humana son indispensables, especialmente en un sector regulado como el de seguros.</w:t>
      </w:r>
    </w:p>
    <w:p>
      <w:pPr>
        <w:spacing w:line="276" w:lineRule="auto" w:after="80"/>
      </w:pPr>
      <w:r>
        <w:t>- Descuidar la privacidad y seguridad de los datos: Alimentar modelos con información sensible de asegurados sin anonimización o controles adecuados puede acarrear graves riesgos regulatorios y de reputación.</w:t>
      </w:r>
    </w:p>
    <w:p>
      <w:pPr>
        <w:spacing w:line="276" w:lineRule="auto" w:after="80"/>
      </w:pPr>
      <w:r>
        <w:t>- Falta de fine-tuning específico: Un LLM genérico, sin ser ajustado con la terminología, productos y normativas específicas de tu aseguradora, ofrecerá resultados subóptimos y poco útiles.</w:t>
      </w:r>
    </w:p>
    <w:p>
      <w:pPr>
        <w:spacing w:line="276" w:lineRule="auto" w:after="80"/>
      </w:pPr>
      <w:r>
        <w:t>- Subestimar la resistencia al cambio: La implementación de nuevas tecnologías puede generar ansiedad. Una comunicación deficiente o la falta de capacitación pueden llevar a la subutilización o al rechazo por parte del equipo.</w:t>
      </w:r>
    </w:p>
    <w:p>
      <w:pPr>
        <w:spacing w:line="276" w:lineRule="auto" w:after="80"/>
      </w:pPr>
      <w:r>
        <w:t>- Enfocarse únicamente en la eficiencia: Si bien la IAG mejora la eficiencia, su verdadero potencial reside también en la capacidad de innovar en productos, personalizar la experiencia del cliente y generar insights que antes eran inalcanzables.</w:t>
      </w:r>
    </w:p>
    <w:p>
      <w:pPr>
        <w:spacing w:line="276" w:lineRule="auto" w:after="80"/>
      </w:pPr>
      <w:r>
        <w:t>- Ignorar los costos ocultos: Más allá de las licencias, la infraestructura, el fine-tuning y el mantenimiento continuo de los modelos pueden representar una inversión significativa que debe ser planificada.</w:t>
      </w:r>
    </w:p>
    <w:p/>
    <w:p>
      <w:r>
        <w:rPr>
          <w:color w:val="B4B4B4"/>
        </w:rPr>
        <w:t>----------------------------------------</w:t>
      </w:r>
    </w:p>
    <w:p/>
    <w:p>
      <w:r>
        <w:rPr>
          <w:b/>
          <w:color w:val="1A5276"/>
          <w:sz w:val="24"/>
        </w:rPr>
        <w:t>7) EN UNA LÍNEA</w:t>
      </w:r>
    </w:p>
    <w:p>
      <w:pPr>
        <w:spacing w:line="276" w:lineRule="auto" w:after="80"/>
      </w:pPr>
      <w:r>
        <w:t>La Inteligencia Artificial Generativa transforma los seguros de personas al potenciar la creación de valor, la personalización y la eficiencia operativa, requiriendo una implementación estratégica y supervisada.</w:t>
      </w:r>
    </w:p>
    <w:p/>
    <w:p>
      <w:r>
        <w:rPr>
          <w:color w:val="B4B4B4"/>
        </w:rPr>
        <w:t>----------------------------------------</w:t>
      </w:r>
    </w:p>
    <w:p>
      <w:r>
        <w:rPr>
          <w:b/>
          <w:color w:val="1A5276"/>
          <w:sz w:val="24"/>
        </w:rPr>
        <w:t>FUENTES DE REFERENCIA</w:t>
      </w:r>
    </w:p>
    <w:p>
      <w:pPr>
        <w:spacing w:line="276" w:lineRule="auto" w:after="80"/>
      </w:pPr>
      <w:r>
        <w:t>- IBM. What is generative AI?</w:t>
      </w:r>
    </w:p>
    <w:p>
      <w:pPr>
        <w:spacing w:line="276" w:lineRule="auto" w:after="80"/>
      </w:pPr>
      <w:r>
        <w:t>- McKinsey &amp; Company. The economic potential of generative AI: The next productivity frontier.</w:t>
      </w:r>
    </w:p>
    <w:p>
      <w:pPr>
        <w:spacing w:line="276" w:lineRule="auto" w:after="80"/>
      </w:pPr>
      <w:r>
        <w:t>- PwC. Generative AI in financial services: A game changer.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