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(IAG) EN SEGUROS: MÁS ALLÁ DE LA AUTOMATIZACIÓN, HACIA LA CREACIÓN DE VALOR</w:t>
      </w:r>
    </w:p>
    <w:p/>
    <w:p>
      <w:r>
        <w:rPr>
          <w:i/>
          <w:color w:val="646464"/>
          <w:sz w:val="20"/>
        </w:rPr>
        <w:t>Fecha: 2026-10-15 | Área: Tendencias de mercado y tecnología | Lectura estimada: 12 minutos</w:t>
      </w:r>
    </w:p>
    <w:p/>
    <w:p>
      <w:r>
        <w:rPr>
          <w:color w:val="B4B4B4"/>
        </w:rPr>
        <w:t>----------------------------------------</w:t>
      </w:r>
    </w:p>
    <w:p>
      <w:r>
        <w:rPr>
          <w:b/>
          <w:color w:val="1A5276"/>
          <w:sz w:val="24"/>
        </w:rPr>
        <w:t>1) CONCEPTO</w:t>
      </w:r>
    </w:p>
    <w:p>
      <w:pPr>
        <w:spacing w:line="276" w:lineRule="auto" w:after="80"/>
      </w:pPr>
      <w:r>
        <w:t>La Inteligencia Artificial Generativa (IAG) representa una evolución significativa en el campo de la IA, diferenciándose de los modelos predictivos o discriminativos tradicionales. Mientras que estos últimos se enfocan en clasificar, predecir o identificar patrones en datos existentes, la IAG tiene la capacidad de crear contenido nuevo y original que no existía previamente. Esto incluye texto, imágenes, código, audio o datos sintéticos. Los modelos más conocidos de IAG son los Grandes Modelos de Lenguaje (LLMs, por sus siglas en inglés), como GPT de OpenAI o Gemini de Google, y las Redes Generativas Antagónicas (GANs). Su relevancia para el sector asegurador radica en su potencial para transformar procesos no solo en términos de eficiencia, sino también de creatividad y personalización, pasando de la mera automatización a la generación inteligente de soluciones y contenido.</w:t>
      </w:r>
    </w:p>
    <w:p/>
    <w:p>
      <w:r>
        <w:rPr>
          <w:color w:val="B4B4B4"/>
        </w:rPr>
        <w:t>----------------------------------------</w:t>
      </w:r>
    </w:p>
    <w:p>
      <w:r>
        <w:rPr>
          <w:b/>
          <w:color w:val="1A5276"/>
          <w:sz w:val="24"/>
        </w:rPr>
        <w:t>2) FÓRMULA / COMPONENTES / MECÁNICA</w:t>
      </w:r>
    </w:p>
    <w:p>
      <w:pPr>
        <w:spacing w:line="276" w:lineRule="auto" w:after="80"/>
      </w:pPr>
      <w:r>
        <w:t>La mecánica de la IAG, especialmente en LLMs, se basa en arquitecturas de redes neuronales profundas conocidas como "Transformers". Estas arquitecturas, introducidas en 2017, revolucionaron el Procesamiento del Lenguaje Natural (PLN) al permitir el procesamiento en paralelo de secuencias de texto, a diferencia de los enfoques secuenciales anteriores. El componente clave es el mecanismo de "auto-atención", que permite al modelo ponderar la importancia de diferentes palabras en una secuencia para entender el contexto y las relaciones entre ellas, sin depender de su proximidad física.</w:t>
      </w:r>
    </w:p>
    <w:p/>
    <w:p>
      <w:pPr>
        <w:spacing w:line="276" w:lineRule="auto" w:after="80"/>
      </w:pPr>
      <w:r>
        <w:t>El proceso general implica:</w:t>
      </w:r>
    </w:p>
    <w:p>
      <w:pPr>
        <w:spacing w:line="276" w:lineRule="auto" w:after="80"/>
      </w:pPr>
      <w:r>
        <w:t>- Tokenización: El texto de entrada se divide en unidades más pequeñas (tokens), que pueden ser palabras, subpalabras o caracteres.</w:t>
      </w:r>
    </w:p>
    <w:p>
      <w:pPr>
        <w:spacing w:line="276" w:lineRule="auto" w:after="80"/>
      </w:pPr>
      <w:r>
        <w:t>- Embeddings: Cada token se convierte en un vector numérico denso que captura su significado semántico.</w:t>
      </w:r>
    </w:p>
    <w:p>
      <w:pPr>
        <w:spacing w:line="276" w:lineRule="auto" w:after="80"/>
      </w:pPr>
      <w:r>
        <w:t>- Codificación Posicional: Se añade información sobre la posición de cada token en la secuencia, ya que la auto-atención no considera el orden.</w:t>
      </w:r>
    </w:p>
    <w:p>
      <w:pPr>
        <w:spacing w:line="276" w:lineRule="auto" w:after="80"/>
      </w:pPr>
      <w:r>
        <w:t>- Bloques Transformer: Estos bloques procesan la información a través de capas de auto-atención y redes neuronales de alimentación directa, capturando relaciones complejas.</w:t>
      </w:r>
    </w:p>
    <w:p>
      <w:pPr>
        <w:spacing w:line="276" w:lineRule="auto" w:after="80"/>
      </w:pPr>
      <w:r>
        <w:t>- Decodificación: Para la generación de texto, el modelo predice el siguiente token en la secuencia basándose en los tokens anteriores y el contexto aprendido.</w:t>
      </w:r>
    </w:p>
    <w:p/>
    <w:p>
      <w:pPr>
        <w:spacing w:line="276" w:lineRule="auto" w:after="80"/>
      </w:pPr>
      <w:r>
        <w:t>El entrenamiento de estos modelos se realiza con vastos datasets de texto y datos, utilizando aprendizaje no supervisado y luego un "fine-tuning" para tareas específicas. La "Ingeniería de Prompts" (Prompt Engineering) es crucial; consiste en diseñar instrucciones claras y precisas para guiar al modelo y obtener los resultados deseados, aprovechando al máximo su potencial.</w:t>
      </w:r>
    </w:p>
    <w:p/>
    <w:p>
      <w:r>
        <w:rPr>
          <w:color w:val="B4B4B4"/>
        </w:rPr>
        <w:t>----------------------------------------</w:t>
      </w:r>
    </w:p>
    <w:p>
      <w:r>
        <w:rPr>
          <w:b/>
          <w:color w:val="1A5276"/>
          <w:sz w:val="24"/>
        </w:rPr>
        <w:t>3) APLICABILIDAD POR RAMO / CONTEXTO</w:t>
      </w:r>
    </w:p>
    <w:p>
      <w:pPr>
        <w:spacing w:line="276" w:lineRule="auto" w:after="80"/>
      </w:pPr>
      <w:r>
        <w:t>La IAG tiene un impacto transformador en diversas áreas de una Gerencia de Seguros de Personas y Retiro:</w:t>
      </w:r>
    </w:p>
    <w:p/>
    <w:p>
      <w:pPr>
        <w:spacing w:line="276" w:lineRule="auto" w:after="80"/>
      </w:pPr>
      <w:r>
        <w:t>- Seguros de Vida y Retiro:</w:t>
      </w:r>
    </w:p>
    <w:p>
      <w:pPr>
        <w:spacing w:line="276" w:lineRule="auto" w:after="80"/>
      </w:pPr>
      <w:r>
        <w:t>- Personalización de comunicaciones: Generación de propuestas de valor, resúmenes de pólizas o explicaciones de productos complejos adaptadas al perfil de cada cliente, mejorando la experiencia y la comprensión.</w:t>
      </w:r>
    </w:p>
    <w:p>
      <w:pPr>
        <w:spacing w:line="276" w:lineRule="auto" w:after="80"/>
      </w:pPr>
      <w:r>
        <w:t>- Creación de datos sintéticos: Generar datasets sintéticos realistas para el entrenamiento y prueba de modelos actuariales o de suscripción, preservando la privacidad de los datos reales sensibles de los asegurados.</w:t>
      </w:r>
    </w:p>
    <w:p>
      <w:pPr>
        <w:spacing w:line="276" w:lineRule="auto" w:after="80"/>
      </w:pPr>
      <w:r>
        <w:t>- Asistencia en suscripción: Ayudar a los suscriptores a redactar solicitudes de información adicional o comunicaciones complejas de manera eficiente y consistente.</w:t>
      </w:r>
    </w:p>
    <w:p/>
    <w:p>
      <w:pPr>
        <w:spacing w:line="276" w:lineRule="auto" w:after="80"/>
      </w:pPr>
      <w:r>
        <w:t>- Accidentes Personales:</w:t>
      </w:r>
    </w:p>
    <w:p>
      <w:pPr>
        <w:spacing w:line="276" w:lineRule="auto" w:after="80"/>
      </w:pPr>
      <w:r>
        <w:t>- Automatización de informes de siniestros: Asistir en la redacción de borradores de informes, resumiendo testimonios o extrayendo información clave de documentos no estructurados.</w:t>
      </w:r>
    </w:p>
    <w:p>
      <w:pPr>
        <w:spacing w:line="276" w:lineRule="auto" w:after="80"/>
      </w:pPr>
      <w:r>
        <w:t>- Contenido para prevención: Generar campañas de concientización y prevención de accidentes personalizadas, adaptadas a grupos de riesgo específicos.</w:t>
      </w:r>
    </w:p>
    <w:p/>
    <w:p>
      <w:pPr>
        <w:spacing w:line="276" w:lineRule="auto" w:after="80"/>
      </w:pPr>
      <w:r>
        <w:t>- Seguros de Salud:</w:t>
      </w:r>
    </w:p>
    <w:p>
      <w:pPr>
        <w:spacing w:line="276" w:lineRule="auto" w:after="80"/>
      </w:pPr>
      <w:r>
        <w:t>- Atención al cliente: Desarrollar chatbots avanzados y asistentes virtuales que puedan responder preguntas complejas sobre coberturas, trámites o prestadores, ofreciendo una experiencia conversacional más natural y empática.</w:t>
      </w:r>
    </w:p>
    <w:p>
      <w:pPr>
        <w:spacing w:line="276" w:lineRule="auto" w:after="80"/>
      </w:pPr>
      <w:r>
        <w:t>- Personalización de planes de bienestar: Crear recomendaciones de salud o planes de bienestar personalizados basados en el perfil y las necesidades del asegurado.</w:t>
      </w:r>
    </w:p>
    <w:p>
      <w:pPr>
        <w:spacing w:line="276" w:lineRule="auto" w:after="80"/>
      </w:pPr>
      <w:r>
        <w:t>- Optimización de comunicación con prestadores: Generar borradores de comunicaciones o resúmenes de casos para agilizar la interacción con la red de prestadores.</w:t>
      </w:r>
    </w:p>
    <w:p/>
    <w:p>
      <w:r>
        <w:rPr>
          <w:color w:val="B4B4B4"/>
        </w:rPr>
        <w:t>----------------------------------------</w:t>
      </w:r>
    </w:p>
    <w:p>
      <w:r>
        <w:rPr>
          <w:b/>
          <w:color w:val="1A5276"/>
          <w:sz w:val="24"/>
        </w:rPr>
        <w:t>4) EJEMPLO NUMÉRICO O CASO CONCRETO</w:t>
      </w:r>
    </w:p>
    <w:p>
      <w:pPr>
        <w:spacing w:line="276" w:lineRule="auto" w:after="80"/>
      </w:pPr>
      <w:r>
        <w:t>Imaginemos tu equipo de suscripción en seguros de Vida. Una tarea recurrente y que consume tiempo es la redacción de cartas de rechazo o de solicitud de información médica adicional. Estas comunicaciones deben ser precisas, claras, cumplir con la normativa y mantener un tono empático, pero a menudo son repetitivas en su estructura.</w:t>
      </w:r>
    </w:p>
    <w:p/>
    <w:p>
      <w:pPr>
        <w:spacing w:line="276" w:lineRule="auto" w:after="80"/>
      </w:pPr>
      <w:r>
        <w:t>Problema: Un suscriptor promedio dedica 15 a 20 minutos a redactar cada una de estas cartas, asegurándose de incluir todos los detalles necesarios y el lenguaje adecuado. Esto limita la cantidad de casos que puede procesar diariamente.</w:t>
      </w:r>
    </w:p>
    <w:p/>
    <w:p>
      <w:pPr>
        <w:spacing w:line="276" w:lineRule="auto" w:after="80"/>
      </w:pPr>
      <w:r>
        <w:t>Solución con IAG: Se implementa un copiloto de IAG (un LLM) entrenado con las políticas de suscripción de la compañía, modelos de cartas aprobadas y la normativa aplicable (ej. Ley 17.418 de Seguros).</w:t>
      </w:r>
    </w:p>
    <w:p/>
    <w:p>
      <w:pPr>
        <w:spacing w:line="276" w:lineRule="auto" w:after="80"/>
      </w:pPr>
      <w:r>
        <w:t>Mecánica: El suscriptor ingresa los datos clave del caso en una interfaz simple: el motivo del rechazo (ej. "riesgo de salud no asegurable"), la información faltante (ej. "informe cardiológico completo"), el nombre del asegurado y el número de póliza. El copiloto de IAG genera instantáneamente un borrador de la carta, incluyendo los párrafos estándar, los datos específicos del caso y las referencias normativas.</w:t>
      </w:r>
    </w:p>
    <w:p/>
    <w:p>
      <w:pPr>
        <w:spacing w:line="276" w:lineRule="auto" w:after="80"/>
      </w:pPr>
      <w:r>
        <w:t>Impacto Cuantificable: El suscriptor revisa el borrador, realiza ajustes menores si es necesario (que suelen tomar 3-5 minutos) y lo envía. Esto reduce el tiempo de redacción por carta en un 60-75%. Si antes un suscriptor procesaba 4 cartas por hora, ahora puede manejar 10-12, liberando tiempo para enfocarse en análisis de riesgos más complejos o en la atención directa a productores y clientes. Esto se traduce en una mejora significativa en la eficiencia operativa y en la capacidad de respuesta del equipo.</w:t>
      </w:r>
    </w:p>
    <w:p/>
    <w:p>
      <w:r>
        <w:rPr>
          <w:color w:val="B4B4B4"/>
        </w:rPr>
        <w:t>----------------------------------------</w:t>
      </w:r>
    </w:p>
    <w:p>
      <w:r>
        <w:rPr>
          <w:b/>
          <w:color w:val="1A5276"/>
          <w:sz w:val="24"/>
        </w:rPr>
        <w:t>5) APLICACIÓN PRÁCTICA PARA UN LÍDER DE EQUIPO</w:t>
      </w:r>
    </w:p>
    <w:p>
      <w:pPr>
        <w:spacing w:line="276" w:lineRule="auto" w:after="80"/>
      </w:pPr>
      <w:r>
        <w:t>Como líder de equipo, la IAG no es solo una herramienta tecnológica, es una palanca estratégica para la transformación. Considerá estas acciones:</w:t>
      </w:r>
    </w:p>
    <w:p/>
    <w:p>
      <w:pPr>
        <w:spacing w:line="276" w:lineRule="auto" w:after="80"/>
      </w:pPr>
      <w:r>
        <w:t>- Identificá "puntos de dolor" operativos: Buscá tareas repetitivas, de alto volumen, que involucren la generación de texto, resúmenes o datos y que actualmente consuman mucho tiempo de tu equipo. Estos son los candidatos ideales para pilotos de IAG.</w:t>
      </w:r>
    </w:p>
    <w:p>
      <w:pPr>
        <w:spacing w:line="276" w:lineRule="auto" w:after="80"/>
      </w:pPr>
      <w:r>
        <w:t>- Fomentá la experimentación controlada: No esperes la solución perfecta. Iniciá proyectos piloto pequeños y definidos. Por ejemplo, probá la IAG para generar borradores de respuestas a preguntas frecuentes en atención al cliente o para resumir documentos extensos.</w:t>
      </w:r>
    </w:p>
    <w:p>
      <w:pPr>
        <w:spacing w:line="276" w:lineRule="auto" w:after="80"/>
      </w:pPr>
      <w:r>
        <w:t>- Capacitá en Prompt Engineering: Es fundamental que tu equipo aprenda a interactuar eficazmente con los modelos de IAG. Organizá talleres sobre cómo formular prompts claros, específicos y contextualizados para obtener los mejores resultados.</w:t>
      </w:r>
    </w:p>
    <w:p>
      <w:pPr>
        <w:spacing w:line="276" w:lineRule="auto" w:after="80"/>
      </w:pPr>
      <w:r>
        <w:t>- Establecé un marco de gobernanza: Definí políticas claras sobre el uso de la IAG, incluyendo la revisión humana obligatoria de cualquier contenido generado, la gestión de la privacidad de los datos (en línea con la Ley 25.326 de Protección de Datos Personales) y la mitigación de sesgos algorítmicos. La IAG debe ser un asistente, no un reemplazo de la inteligencia humana.</w:t>
      </w:r>
    </w:p>
    <w:p>
      <w:pPr>
        <w:spacing w:line="276" w:lineRule="auto" w:after="80"/>
      </w:pPr>
      <w:r>
        <w:t>- Medí el impacto y comunicá los resultados: Cuantificá las mejoras en eficiencia (reducción de tiempo por tarea), calidad (consistencia en las comunicaciones) y satisfacción (interna y externa). Presentá estos resultados a tu superior directo para justificar la inversión y escalar las iniciativas.</w:t>
      </w:r>
    </w:p>
    <w:p>
      <w:pPr>
        <w:spacing w:line="276" w:lineRule="auto" w:after="80"/>
      </w:pPr>
      <w:r>
        <w:t>- Colaborá con áreas de IT y Data Science: La implementación exitosa de IAG requiere un trabajo conjunto con los equipos técnicos para asegurar la infraestructura, el entrenamiento de modelos específicos y la integración con los sistemas existentes.</w:t>
      </w:r>
    </w:p>
    <w:p/>
    <w:p>
      <w:r>
        <w:rPr>
          <w:color w:val="B4B4B4"/>
        </w:rPr>
        <w:t>----------------------------------------</w:t>
      </w:r>
    </w:p>
    <w:p>
      <w:r>
        <w:rPr>
          <w:b/>
          <w:color w:val="1A5276"/>
          <w:sz w:val="24"/>
        </w:rPr>
        <w:t>6) ERRORES COMUNES O PUNTOS CIEGOS</w:t>
      </w:r>
    </w:p>
    <w:p>
      <w:pPr>
        <w:spacing w:line="276" w:lineRule="auto" w:after="80"/>
      </w:pPr>
      <w:r>
        <w:t>La adopción de IAG, aunque prometedora, no está exenta de desafíos:</w:t>
      </w:r>
    </w:p>
    <w:p/>
    <w:p>
      <w:pPr>
        <w:spacing w:line="276" w:lineRule="auto" w:after="80"/>
      </w:pPr>
      <w:r>
        <w:t>- "Alucinaciones" y falta de fiabilidad: Los modelos de IAG pueden generar información incorrecta o inventada que suena plausible. Confiar ciegamente en la salida sin verificación humana es un riesgo grave, especialmente en un sector regulado como el de seguros.</w:t>
      </w:r>
    </w:p>
    <w:p>
      <w:pPr>
        <w:spacing w:line="276" w:lineRule="auto" w:after="80"/>
      </w:pPr>
      <w:r>
        <w:t>- Sesgos inherentes a los datos de entrenamiento: Los modelos aprenden de los datos con los que fueron entrenados. Si estos datos contienen sesgos históricos (ej. en suscripción o siniestros), la IAG puede perpetuarlos o amplificarlos, llevando a resultados discriminatorios o injustos.</w:t>
      </w:r>
    </w:p>
    <w:p>
      <w:pPr>
        <w:spacing w:line="276" w:lineRule="auto" w:after="80"/>
      </w:pPr>
      <w:r>
        <w:t>- Riesgos de seguridad y privacidad de datos: Alimentar modelos de IAG con datos sensibles de asegurados sin las debidas precauciones puede exponer información confidencial, generando riesgos de cumplimiento con la Ley 25.326.</w:t>
      </w:r>
    </w:p>
    <w:p>
      <w:pPr>
        <w:spacing w:line="276" w:lineRule="auto" w:after="80"/>
      </w:pPr>
      <w:r>
        <w:t>- Falta de una estrategia de Prompt Engineering: Sin prompts bien diseñados, los resultados de la IAG serán genéricos o inútiles, llevando a la frustración y a la percepción de que la tecnología no funciona.</w:t>
      </w:r>
    </w:p>
    <w:p>
      <w:pPr>
        <w:spacing w:line="276" w:lineRule="auto" w:after="80"/>
      </w:pPr>
      <w:r>
        <w:t>- Subestimar la necesidad de integración: La IAG no es una solución aislada; debe integrarse fluidamente en los flujos de trabajo y sistemas existentes para generar valor real. La falta de integración puede limitar su adopción y eficacia.</w:t>
      </w:r>
    </w:p>
    <w:p>
      <w:pPr>
        <w:spacing w:line="276" w:lineRule="auto" w:after="80"/>
      </w:pPr>
      <w:r>
        <w:t>- Costos computacionales: El entrenamiento y la inferencia de modelos grandes pueden ser significativamente costosos, lo que requiere una evaluación cuidadosa del retorno de la inversión.</w:t>
      </w:r>
    </w:p>
    <w:p>
      <w:pPr>
        <w:spacing w:line="276" w:lineRule="auto" w:after="80"/>
      </w:pPr>
      <w:r>
        <w:t>- "IA silenciosa" y brechas de cobertura: La rápida evolución de la IA genera riesgos emergentes (ej. responsabilidad por decisiones algorítmicas, ciberseguridad avanzada) que las pólizas de seguros tradicionales podrían no cubrir explícitamente, creando "vacíos contractuales" para las propias aseguradoras.</w:t>
      </w:r>
    </w:p>
    <w:p/>
    <w:p>
      <w:r>
        <w:rPr>
          <w:color w:val="B4B4B4"/>
        </w:rPr>
        <w:t>----------------------------------------</w:t>
      </w:r>
    </w:p>
    <w:p>
      <w:r>
        <w:rPr>
          <w:b/>
          <w:color w:val="1A5276"/>
          <w:sz w:val="24"/>
        </w:rPr>
        <w:t>7) EN UNA LÍNEA</w:t>
      </w:r>
    </w:p>
    <w:p>
      <w:pPr>
        <w:spacing w:line="276" w:lineRule="auto" w:after="80"/>
      </w:pPr>
      <w:r>
        <w:t>La Inteligencia Artificial Generativa transforma la creación de valor en seguros, pasando de la automatización de tareas a la generación inteligente de contenido y soluciones, siempre bajo una rigurosa supervisión humana.</w:t>
      </w:r>
    </w:p>
    <w:p/>
    <w:p>
      <w:r>
        <w:rPr>
          <w:color w:val="B4B4B4"/>
        </w:rPr>
        <w:t>----------------------------------------</w:t>
      </w:r>
    </w:p>
    <w:p>
      <w:r>
        <w:rPr>
          <w:b/>
          <w:color w:val="1A5276"/>
          <w:sz w:val="24"/>
        </w:rPr>
        <w:t>FUENTES DE REFERENCIA</w:t>
      </w:r>
    </w:p>
    <w:p>
      <w:pPr>
        <w:spacing w:line="276" w:lineRule="auto" w:after="80"/>
      </w:pPr>
      <w:r>
        <w:t>- Ley 25.326 de Protección de los Datos Personales.</w:t>
      </w:r>
    </w:p>
    <w:p>
      <w:pPr>
        <w:spacing w:line="276" w:lineRule="auto" w:after="80"/>
      </w:pPr>
      <w:r>
        <w:t>- Deloitte. "Generative AI in Insurance".</w:t>
      </w:r>
    </w:p>
    <w:p>
      <w:pPr>
        <w:spacing w:line="276" w:lineRule="auto" w:after="80"/>
      </w:pPr>
      <w:r>
        <w:t>- IBM. "Riesgos e impacto de la IA en los seguros".</w:t>
      </w:r>
    </w:p>
    <w:p>
      <w:pPr>
        <w:spacing w:line="276" w:lineRule="auto" w:after="80"/>
      </w:pPr>
      <w:r>
        <w:t>- Kanerika. "Generative AI in Insurance: Use Cases &amp; Strategy 2026".</w:t>
      </w:r>
    </w:p>
    <w:p>
      <w:pPr>
        <w:spacing w:line="276" w:lineRule="auto" w:after="80"/>
      </w:pPr>
      <w:r>
        <w:t>- McKinsey &amp; Company. "Seizing the agentic AI advantage".</w:t>
      </w:r>
    </w:p>
    <w:p>
      <w:pPr>
        <w:spacing w:line="276" w:lineRule="auto" w:after="80"/>
      </w:pPr>
      <w:r>
        <w:t>- Rootstack. "IA generativa en empresas de seguros: Transformando arquitecturas".</w:t>
      </w:r>
    </w:p>
    <w:p>
      <w:pPr>
        <w:spacing w:line="276" w:lineRule="auto" w:after="80"/>
      </w:pPr>
      <w:r>
        <w:t>- Tecnalia. "De Transformers a agentes de IA: evolución de los LLM, y la inteligencia artificial generativa".</w:t>
      </w:r>
    </w:p>
    <w:p>
      <w:pPr>
        <w:spacing w:line="276" w:lineRule="auto" w:after="80"/>
      </w:pPr>
      <w:r>
        <w:t>- Vertex AI Search. "Generative AI insurance use cases".</w:t>
      </w:r>
    </w:p>
    <w:p>
      <w:pPr>
        <w:spacing w:line="276" w:lineRule="auto" w:after="80"/>
      </w:pPr>
      <w:r>
        <w:t>- Vertex AI Search. "9 Use Cases for Generative AI in the Insurance Industry - Capacity".</w:t>
      </w:r>
    </w:p>
    <w:p>
      <w:pPr>
        <w:spacing w:line="276" w:lineRule="auto" w:after="80"/>
      </w:pPr>
      <w:r>
        <w:t>- Vertex AI Search. "Generative AI in Insurance: Use Cases and Challenges - Damco Group".</w:t>
      </w:r>
    </w:p>
    <w:p>
      <w:pPr>
        <w:spacing w:line="276" w:lineRule="auto" w:after="80"/>
      </w:pPr>
      <w:r>
        <w:t>- Vertex AI Search. "Generative AI in Insurance | Deloitte US".</w:t>
      </w:r>
    </w:p>
    <w:p>
      <w:pPr>
        <w:spacing w:line="276" w:lineRule="auto" w:after="80"/>
      </w:pPr>
      <w:r>
        <w:t>- Vertex AI Search. "Arquitectura Transformer Aplicada a LLMs Large Language Models - Manu Duque".</w:t>
      </w:r>
    </w:p>
    <w:p>
      <w:pPr>
        <w:spacing w:line="276" w:lineRule="auto" w:after="80"/>
      </w:pPr>
      <w:r>
        <w:t>- Vertex AI Search. "¿Qué es el prompt engineering? - IBM".</w:t>
      </w:r>
    </w:p>
    <w:p>
      <w:pPr>
        <w:spacing w:line="276" w:lineRule="auto" w:after="80"/>
      </w:pPr>
      <w:r>
        <w:t>- Vertex AI Search. "LLM Transformer Model Visually Explained - Polo Club of Data Science".</w:t>
      </w:r>
    </w:p>
    <w:p>
      <w:pPr>
        <w:spacing w:line="276" w:lineRule="auto" w:after="80"/>
      </w:pPr>
      <w:r>
        <w:t>- Vertex AI Search. "La inteligencia artificial y los seguros enfrentan riesgos - Innovación Digital 360".</w:t>
      </w:r>
    </w:p>
    <w:p>
      <w:pPr>
        <w:spacing w:line="276" w:lineRule="auto" w:after="80"/>
      </w:pPr>
      <w:r>
        <w:t>- Vertex AI Search. "Arquitectura de transformadores en modelos de lenguaje de gran tamaño - Truefoundry".</w:t>
      </w:r>
    </w:p>
    <w:p>
      <w:pPr>
        <w:spacing w:line="276" w:lineRule="auto" w:after="80"/>
      </w:pPr>
      <w:r>
        <w:t>- Vertex AI Search. "IA Generativa en Seguros: Casos de Uso y Soluciones Servinform".</w:t>
      </w:r>
    </w:p>
    <w:p>
      <w:pPr>
        <w:spacing w:line="276" w:lineRule="auto" w:after="80"/>
      </w:pPr>
      <w:r>
        <w:t>- Vertex AI Search. "¿Qué es el prompt engineering? Guía detallada para 2026 - DataCamp".</w:t>
      </w:r>
    </w:p>
    <w:p>
      <w:pPr>
        <w:spacing w:line="276" w:lineRule="auto" w:after="80"/>
      </w:pPr>
      <w:r>
        <w:t>- Vertex AI Search. "Cómo funcionan los Transformers detrás de los LLMs".</w:t>
      </w:r>
    </w:p>
    <w:p>
      <w:pPr>
        <w:spacing w:line="276" w:lineRule="auto" w:after="80"/>
      </w:pPr>
      <w:r>
        <w:t>- Vertex AI Search. "Introducción al Prompt Engineering: Técnicas y Mejores Prácticas - Sapinn".</w:t>
      </w:r>
    </w:p>
    <w:p>
      <w:pPr>
        <w:spacing w:line="276" w:lineRule="auto" w:after="80"/>
      </w:pPr>
      <w:r>
        <w:t>- Vertex AI Search. "Riesgos de la IA que los seguros no pueden cubrir - Janus Assurance Re".</w:t>
      </w:r>
    </w:p>
    <w:p>
      <w:pPr>
        <w:spacing w:line="276" w:lineRule="auto" w:after="80"/>
      </w:pPr>
      <w:r>
        <w:t>- Vertex AI Search. "¿Qué es Prompt Engineering y por qué se volvió una habilidad clave? - Aprender Online".</w:t>
      </w:r>
    </w:p>
    <w:p>
      <w:pPr>
        <w:spacing w:line="276" w:lineRule="auto" w:after="80"/>
      </w:pPr>
      <w:r>
        <w:t>- Vertex AI Search. "¿Por qué el prompt engineering es una profesión de futuro? - IMMUNE Technology Institute".</w:t>
      </w:r>
    </w:p>
    <w:p>
      <w:pPr>
        <w:spacing w:line="276" w:lineRule="auto" w:after="80"/>
      </w:pPr>
      <w:r>
        <w:t>- Vertex AI Search. "Riesgos de IA que tu seguro no cubre y cómo proteger tu empresa - Aimoova".</w:t>
      </w:r>
    </w:p>
    <w:p>
      <w:pPr>
        <w:spacing w:line="276" w:lineRule="auto" w:after="80"/>
      </w:pPr>
      <w:r>
        <w:t>- Vertex AI Search. "El poder de la Inteligencia Artificial (IA) en los seguros - Zurich".</w:t>
      </w:r>
    </w:p>
    <w:p>
      <w:pPr>
        <w:spacing w:line="276" w:lineRule="auto" w:after="80"/>
      </w:pPr>
      <w:r>
        <w:t>- Vertex AI Search. "Introducción a la IA generativa en seguros: Beneficios y casos de uso - Appian".</w:t>
      </w:r>
    </w:p>
    <w:p>
      <w:pPr>
        <w:spacing w:line="276" w:lineRule="auto" w:after="80"/>
      </w:pPr>
      <w:r>
        <w:t>- Vertex AI Search. "IA en el tamaño del mercado de seguros, participación | Informe de la industria, 2034".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