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ANÁLISIS FINANCIERO DINÁMICO (DFA) EN SEGUROS DE PERSONAS</w:t>
      </w:r>
    </w:p>
    <w:p/>
    <w:p>
      <w:r>
        <w:rPr>
          <w:i/>
          <w:color w:val="646464"/>
          <w:sz w:val="20"/>
        </w:rPr>
        <w:t>Fecha: 2026-09-19 | Área: Profundización técnica avanzada | Lectura estimada: 12 minutos</w:t>
      </w:r>
    </w:p>
    <w:p/>
    <w:p>
      <w:r>
        <w:rPr>
          <w:color w:val="B4B4B4"/>
        </w:rPr>
        <w:t>----------------------------------------</w:t>
      </w:r>
    </w:p>
    <w:p>
      <w:r>
        <w:rPr>
          <w:b/>
          <w:color w:val="1A5276"/>
          <w:sz w:val="24"/>
        </w:rPr>
        <w:t>1) CONCEPTO</w:t>
      </w:r>
    </w:p>
    <w:p>
      <w:pPr>
        <w:spacing w:line="276" w:lineRule="auto" w:after="80"/>
      </w:pPr>
      <w:r>
        <w:t>El Análisis Financiero Dinámico (DFA, por sus siglas en inglés Dynamic Financial Analysis) es una metodología avanzada de modelado estocástico que permite a las aseguradoras simular su desempeño financiero futuro bajo una amplia gama de escenarios económicos y de riesgo. A diferencia de los análisis determinísticos tradicionales, que evalúan uno o pocos escenarios fijos, el DFA genera miles de escenarios posibles, integrando de manera holística los activos, pasivos, capital, operaciones y estrategias de gestión de una compañía. Su objetivo principal es cuantificar y gestionar la exposición a riesgos complejos, optimizar la asignación de capital, evaluar la rentabilidad y solvencia a largo plazo, y fundamentar decisiones estratégicas en un entorno de incertidumbre. Es una herramienta clave para la gestión de riesgos empresariales (ERM) y la evaluación de la suficiencia de capital.</w:t>
      </w:r>
    </w:p>
    <w:p/>
    <w:p>
      <w:r>
        <w:rPr>
          <w:color w:val="B4B4B4"/>
        </w:rPr>
        <w:t>----------------------------------------</w:t>
      </w:r>
    </w:p>
    <w:p>
      <w:r>
        <w:rPr>
          <w:b/>
          <w:color w:val="1A5276"/>
          <w:sz w:val="24"/>
        </w:rPr>
        <w:t>2) FÓRMULA / COMPONENTES / MECÁNICA</w:t>
      </w:r>
    </w:p>
    <w:p>
      <w:pPr>
        <w:spacing w:line="276" w:lineRule="auto" w:after="80"/>
      </w:pPr>
      <w:r>
        <w:t>El DFA no se basa en una única fórmula, sino en un marco de simulación complejo que integra diversos modelos interconectados. Sus componentes y mecánica incluyen:</w:t>
      </w:r>
    </w:p>
    <w:p/>
    <w:p>
      <w:pPr>
        <w:spacing w:line="276" w:lineRule="auto" w:after="80"/>
      </w:pPr>
      <w:r>
        <w:t>- Generación de Escenarios Estocásticos: Se utilizan modelos econométricos para simular miles de trayectorias futuras de variables económicas clave como tasas de interés, inflación, rendimientos de activos, volatilidad de mercados y tasas de mortalidad/morbilidad.</w:t>
      </w:r>
    </w:p>
    <w:p>
      <w:pPr>
        <w:spacing w:line="276" w:lineRule="auto" w:after="80"/>
      </w:pPr>
      <w:r>
        <w:t>- Modelo de Activos: Simula la evolución de la cartera de inversiones de la aseguradora bajo los escenarios generados, considerando la asignación de activos, rendimientos, costos de gestión y liquidez.</w:t>
      </w:r>
    </w:p>
    <w:p>
      <w:pPr>
        <w:spacing w:line="276" w:lineRule="auto" w:after="80"/>
      </w:pPr>
      <w:r>
        <w:t>- Modelo de Pasivos: Proyecta los flujos de primas, siniestros, gastos operativos y reservas técnicas (matemáticas, de siniestros, de contingencia) para cada ramo (Vida, Retiro, Accidentes Personales, Salud) bajo los distintos escenarios de riesgo. Considera factores como la caducidad (lapse), la persistencia y la frecuencia/severidad de siniestros.</w:t>
      </w:r>
    </w:p>
    <w:p>
      <w:pPr>
        <w:spacing w:line="276" w:lineRule="auto" w:after="80"/>
      </w:pPr>
      <w:r>
        <w:t>- Modelo de Capital: Calcula el capital regulatorio y económico requerido y disponible de la compañía en cada punto del tiempo y en cada escenario, evaluando la solvencia.</w:t>
      </w:r>
    </w:p>
    <w:p>
      <w:pPr>
        <w:spacing w:line="276" w:lineRule="auto" w:after="80"/>
      </w:pPr>
      <w:r>
        <w:t>- Acciones de Gestión Dinámicas: Una característica distintiva del DFA es la capacidad de modelar cómo la gerencia podría reaccionar ante ciertos eventos o desviaciones. Esto incluye ajustes en la estrategia de inversión, cambios en la política de suscripción, modificaciones en la estructura de reaseguro o decisiones sobre dividendos.</w:t>
      </w:r>
    </w:p>
    <w:p>
      <w:pPr>
        <w:spacing w:line="276" w:lineRule="auto" w:after="80"/>
      </w:pPr>
      <w:r>
        <w:t>- Integración y Simulación: Todos estos componentes se integran en un modelo computacional que ejecuta miles de simulaciones Monte Carlo, generando una distribución de resultados para métricas financieras clave (ej. utilidad neta, retorno sobre el capital, ratio de solvencia) en diferentes horizontes temporales.</w:t>
      </w:r>
    </w:p>
    <w:p/>
    <w:p>
      <w:r>
        <w:rPr>
          <w:color w:val="B4B4B4"/>
        </w:rPr>
        <w:t>----------------------------------------</w:t>
      </w:r>
    </w:p>
    <w:p>
      <w:r>
        <w:rPr>
          <w:b/>
          <w:color w:val="1A5276"/>
          <w:sz w:val="24"/>
        </w:rPr>
        <w:t>3) APLICABILIDAD POR RAMO / CONTEXTO</w:t>
      </w:r>
    </w:p>
    <w:p>
      <w:pPr>
        <w:spacing w:line="276" w:lineRule="auto" w:after="80"/>
      </w:pPr>
      <w:r>
        <w:t>El DFA es fundamental para una Gerencia de Seguros de Personas y Retiro por su capacidad de manejar la complejidad y el horizonte de largo plazo de estos ramos:</w:t>
      </w:r>
    </w:p>
    <w:p/>
    <w:p>
      <w:pPr>
        <w:spacing w:line="276" w:lineRule="auto" w:after="80"/>
      </w:pPr>
      <w:r>
        <w:t>- Seguros de Vida y Retiro: Esencial para la gestión del riesgo de longevidad, riesgo de tasa de interés, riesgo de persistencia y riesgo de mercado en productos con garantías a largo plazo. Permite evaluar el impacto de nuevas tablas de mortalidad, cambios en la tasa técnica o estrategias de inversión en la suficiencia de capital y la rentabilidad futura.</w:t>
      </w:r>
    </w:p>
    <w:p>
      <w:pPr>
        <w:spacing w:line="276" w:lineRule="auto" w:after="80"/>
      </w:pPr>
      <w:r>
        <w:t>- Seguros de Accidentes Personales y Salud: Útil para comprender la volatilidad de los siniestros, el impacto de eventos catastróficos (ej. pandemias), la inflación médica y la efectividad de los programas de reaseguro en la estabilidad financiera a corto y mediano plazo.</w:t>
      </w:r>
    </w:p>
    <w:p>
      <w:pPr>
        <w:spacing w:line="276" w:lineRule="auto" w:after="80"/>
      </w:pPr>
      <w:r>
        <w:t>- Contexto General: El DFA es una herramienta estratégica para la planificación de capital, la optimización de la estructura de reaseguro, el diseño de nuevos productos, la evaluación de fusiones y adquisiciones, el stress testing regulatorio y la implementación del proceso de ORSA (Own Risk and Solvency Assessment), brindando una visión integral del perfil de riesgo de la compañía.</w:t>
      </w:r>
    </w:p>
    <w:p/>
    <w:p>
      <w:r>
        <w:rPr>
          <w:color w:val="B4B4B4"/>
        </w:rPr>
        <w:t>----------------------------------------</w:t>
      </w:r>
    </w:p>
    <w:p>
      <w:r>
        <w:rPr>
          <w:b/>
          <w:color w:val="1A5276"/>
          <w:sz w:val="24"/>
        </w:rPr>
        <w:t>4) EJEMPLO NUMÉRICO O CASO CONCRETO</w:t>
      </w:r>
    </w:p>
    <w:p>
      <w:pPr>
        <w:spacing w:line="276" w:lineRule="auto" w:after="80"/>
      </w:pPr>
      <w:r>
        <w:t>Imaginá que tu equipo de actuarios y finanzas utiliza un modelo DFA para evaluar el impacto de dos estrategias de inversión alternativas para los fondos de Retiro y Vida: una estrategia conservadora con alta exposición a bonos del gobierno y otra más agresiva con mayor peso en acciones y bonos corporativos. El modelo simula 5.000 escenarios económicos futuros a 10 años. Bajo un escenario de "estanflación prolongada" (alta inflación y bajo crecimiento económico), el DFA podría mostrar que la estrategia agresiva, si bien ofrece mayores retornos esperados en escenarios favorables, presenta una probabilidad del 15% de caer por debajo del capital regulatorio mínimo en el año 5, mientras que la estrategia conservadora tiene solo un 3% de probabilidad bajo el mismo escenario. Además, el modelo podría cuantificar el impacto en el Margen de Servicio Contractual (CSM) bajo NIIF 17 y la volatilidad de las utilidades contables, permitiendo a la gerencia tomar una decisión informada sobre el apetito de riesgo y la asignación de activos.</w:t>
      </w:r>
    </w:p>
    <w:p/>
    <w:p>
      <w:r>
        <w:rPr>
          <w:color w:val="B4B4B4"/>
        </w:rPr>
        <w:t>----------------------------------------</w:t>
      </w:r>
    </w:p>
    <w:p>
      <w:r>
        <w:rPr>
          <w:b/>
          <w:color w:val="1A5276"/>
          <w:sz w:val="24"/>
        </w:rPr>
        <w:t>5) APLICACIÓN PRÁCTICA PARA UN LÍDER DE EQUIPO</w:t>
      </w:r>
    </w:p>
    <w:p>
      <w:pPr>
        <w:spacing w:line="276" w:lineRule="auto" w:after="80"/>
      </w:pPr>
      <w:r>
        <w:t>Como líder, el DFA te brinda una visión profunda para:</w:t>
      </w:r>
    </w:p>
    <w:p/>
    <w:p>
      <w:pPr>
        <w:spacing w:line="276" w:lineRule="auto" w:after="80"/>
      </w:pPr>
      <w:r>
        <w:t>- Fundamentar Decisiones Estratégicas: Utilizá los resultados del DFA para justificar cambios en la política de inversiones, la estrategia de reaseguro, el desarrollo de nuevos productos o la política de dividendos ante tu superior directo y el directorio.</w:t>
      </w:r>
    </w:p>
    <w:p>
      <w:pPr>
        <w:spacing w:line="276" w:lineRule="auto" w:after="80"/>
      </w:pPr>
      <w:r>
        <w:t>- Gestionar el Capital: Comprendé mejor la suficiencia de capital de tu aseguradora bajo diferentes condiciones de mercado y riesgo, y optimizá su asignación entre ramos o líneas de negocio.</w:t>
      </w:r>
    </w:p>
    <w:p>
      <w:pPr>
        <w:spacing w:line="276" w:lineRule="auto" w:after="80"/>
      </w:pPr>
      <w:r>
        <w:t>- Mejorar la Comunicación Inter-áreas: El DFA requiere la colaboración de actuarios, inversiones, finanzas y suscripción, fomentando un lenguaje común sobre el riesgo y sus implicaciones financieras.</w:t>
      </w:r>
    </w:p>
    <w:p>
      <w:pPr>
        <w:spacing w:line="276" w:lineRule="auto" w:after="80"/>
      </w:pPr>
      <w:r>
        <w:t>- Realizar Stress Testing y ORSA: Cumplí con los requisitos regulatorios de stress testing y el proceso de ORSA, presentando un análisis robusto de los riesgos clave y las acciones de mitigación.</w:t>
      </w:r>
    </w:p>
    <w:p>
      <w:pPr>
        <w:spacing w:line="276" w:lineRule="auto" w:after="80"/>
      </w:pPr>
      <w:r>
        <w:t>- Evaluar el Perfil de Riesgo: Identificá los riesgos más significativos para la compañía y su impacto potencial en la rentabilidad y solvencia, permitiendo una gestión proactiva.</w:t>
      </w:r>
    </w:p>
    <w:p/>
    <w:p>
      <w:r>
        <w:rPr>
          <w:color w:val="B4B4B4"/>
        </w:rPr>
        <w:t>----------------------------------------</w:t>
      </w:r>
    </w:p>
    <w:p>
      <w:r>
        <w:rPr>
          <w:b/>
          <w:color w:val="1A5276"/>
          <w:sz w:val="24"/>
        </w:rPr>
        <w:t>6) ERRORES COMUNES O PUNTOS CIEGOS</w:t>
      </w:r>
    </w:p>
    <w:p>
      <w:pPr>
        <w:spacing w:line="276" w:lineRule="auto" w:after="80"/>
      </w:pPr>
      <w:r>
        <w:t>- Complejidad y "Caja Negra": Un error común es no comprender completamente los supuestos subyacentes y la lógica interna del modelo, tratándolo como una "caja negra" que arroja resultados sin un análisis crítico.</w:t>
      </w:r>
    </w:p>
    <w:p>
      <w:pPr>
        <w:spacing w:line="276" w:lineRule="auto" w:after="80"/>
      </w:pPr>
      <w:r>
        <w:t>- Calibración Inadecuada: La calidad de los resultados depende críticamente de la correcta calibración de los modelos de escenarios económicos y de los parámetros actuariales. Datos históricos insuficientes o supuestos poco realistas pueden llevar a conclusiones erróneas.</w:t>
      </w:r>
    </w:p>
    <w:p>
      <w:pPr>
        <w:spacing w:line="276" w:lineRule="auto" w:after="80"/>
      </w:pPr>
      <w:r>
        <w:t>- Ignorar el Riesgo de Modelo: No reconocer las limitaciones inherentes a cualquier modelo y la posibilidad de que los supuestos no se materialicen en la realidad.</w:t>
      </w:r>
    </w:p>
    <w:p>
      <w:pPr>
        <w:spacing w:line="276" w:lineRule="auto" w:after="80"/>
      </w:pPr>
      <w:r>
        <w:t>- Falta de Acciones de Gestión Dinámicas: Si el modelo no incorpora cómo la gerencia reaccionaría activamente a los cambios en el entorno, los resultados pueden ser demasiado pesimistas o no reflejar la capacidad de adaptación de la compañía.</w:t>
      </w:r>
    </w:p>
    <w:p>
      <w:pPr>
        <w:spacing w:line="276" w:lineRule="auto" w:after="80"/>
      </w:pPr>
      <w:r>
        <w:t>- Costo y Recursos: La implementación y el mantenimiento de un modelo DFA requieren una inversión significativa en software, datos y personal especializado, lo que puede ser una barrera para aseguradoras más pequeñas.</w:t>
      </w:r>
    </w:p>
    <w:p/>
    <w:p>
      <w:r>
        <w:rPr>
          <w:color w:val="B4B4B4"/>
        </w:rPr>
        <w:t>----------------------------------------</w:t>
      </w:r>
    </w:p>
    <w:p>
      <w:r>
        <w:rPr>
          <w:b/>
          <w:color w:val="1A5276"/>
          <w:sz w:val="24"/>
        </w:rPr>
        <w:t>7) EN UNA LÍNEA</w:t>
      </w:r>
    </w:p>
    <w:p>
      <w:pPr>
        <w:spacing w:line="276" w:lineRule="auto" w:after="80"/>
      </w:pPr>
      <w:r>
        <w:t>El Análisis Financiero Dinámico es una herramienta de simulación estocástica integral que permite a las aseguradoras de personas y retiro cuantificar y gestionar proactivamente sus riesgos financieros y estratégicos futuros.</w:t>
      </w:r>
    </w:p>
    <w:p/>
    <w:p>
      <w:r>
        <w:rPr>
          <w:color w:val="B4B4B4"/>
        </w:rPr>
        <w:t>----------------------------------------</w:t>
      </w:r>
    </w:p>
    <w:p>
      <w:r>
        <w:rPr>
          <w:b/>
          <w:color w:val="1A5276"/>
          <w:sz w:val="24"/>
        </w:rPr>
        <w:t>FUENTES DE REFERENCIA</w:t>
      </w:r>
    </w:p>
    <w:p>
      <w:pPr>
        <w:spacing w:line="276" w:lineRule="auto" w:after="80"/>
      </w:pPr>
      <w:r>
        <w:t>- Society of Actuaries (SOA) - Enterprise Risk Management (ERM) Section publications.</w:t>
      </w:r>
    </w:p>
    <w:p>
      <w:pPr>
        <w:spacing w:line="276" w:lineRule="auto" w:after="80"/>
      </w:pPr>
      <w:r>
        <w:t>- Casualty Actuarial Society (CAS) - Dynamic Financial Analysis (DFA) publications.</w:t>
      </w:r>
    </w:p>
    <w:p>
      <w:pPr>
        <w:spacing w:line="276" w:lineRule="auto" w:after="80"/>
      </w:pPr>
      <w:r>
        <w:t>- International Actuarial Association (IAA) - Papers on Risk Management and Solvency.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