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Pilar: Profundización técnica avanzada</w:t>
      </w:r>
    </w:p>
    <w:p/>
    <w:p>
      <w:pPr>
        <w:spacing w:line="276" w:lineRule="auto" w:after="80"/>
      </w:pPr>
      <w:r>
        <w:t>DINAMIC FINANCIAL ANALYSIS (DFA) EN SEGUROS DE PERSONAS: UN ENFOQUE HOLÍSTICO PARA LA GESTIÓN DE RIESGOS Y CAPITAL</w:t>
      </w:r>
    </w:p>
    <w:p/>
    <w:p>
      <w:r>
        <w:rPr>
          <w:i/>
          <w:color w:val="646464"/>
          <w:sz w:val="20"/>
        </w:rPr>
        <w:t>Fecha: 2026-10-24 | Área: Profundización técnica avanzada | Lectura estimada: 12 minutos</w:t>
      </w:r>
    </w:p>
    <w:p/>
    <w:p>
      <w:r>
        <w:rPr>
          <w:color w:val="B4B4B4"/>
        </w:rPr>
        <w:t>----------------------------------------</w:t>
      </w:r>
    </w:p>
    <w:p/>
    <w:p>
      <w:r>
        <w:rPr>
          <w:b/>
          <w:color w:val="1A5276"/>
          <w:sz w:val="24"/>
        </w:rPr>
        <w:t>1) CONCEPTO</w:t>
      </w:r>
    </w:p>
    <w:p>
      <w:pPr>
        <w:spacing w:line="276" w:lineRule="auto" w:after="80"/>
      </w:pPr>
      <w:r>
        <w:t>El Dynamic Financial Analysis (DFA) es una metodología avanzada de modelado financiero que utiliza simulaciones estocásticas a gran escala para evaluar la situación financiera de una aseguradora bajo una amplia gama de escenarios futuros. A diferencia de los análisis actuariales tradicionales que suelen examinar los riesgos de forma aislada, el DFA adopta una perspectiva holística, integrando los riesgos de activos y pasivos, los riesgos de suscripción, operativos y estratégicos. Su objetivo principal es proporcionar a la dirección una visión integral del perfil de riesgo y retorno de la compañía, permitiendo una toma de decisiones estratégica más informada en áreas como la gestión de capital, la política de inversiones, el diseño de productos y la estrategia de reaseguro. Es, en esencia, un "simulador de vuelo" financiero para la aseguradora, que permite testear estrategias en un entorno virtual antes de su implementación real.</w:t>
      </w:r>
    </w:p>
    <w:p/>
    <w:p>
      <w:r>
        <w:rPr>
          <w:color w:val="B4B4B4"/>
        </w:rPr>
        <w:t>----------------------------------------</w:t>
      </w:r>
    </w:p>
    <w:p/>
    <w:p>
      <w:r>
        <w:rPr>
          <w:b/>
          <w:color w:val="1A5276"/>
          <w:sz w:val="24"/>
        </w:rPr>
        <w:t>2) FÓRMULA / COMPONENTES / MECÁNICA</w:t>
      </w:r>
    </w:p>
    <w:p>
      <w:pPr>
        <w:spacing w:line="276" w:lineRule="auto" w:after="80"/>
      </w:pPr>
      <w:r>
        <w:t>El DFA no se basa en una única fórmula, sino en un marco de modelado complejo que integra diversos componentes. La mecánica central es la simulación Monte Carlo, donde se proyectan los estados financieros de la compañía (balance, estado de resultados) a lo largo de múltiples períodos futuros, bajo miles de escenarios estocásticos.</w:t>
      </w:r>
    </w:p>
    <w:p/>
    <w:p>
      <w:pPr>
        <w:spacing w:line="276" w:lineRule="auto" w:after="80"/>
      </w:pPr>
      <w:r>
        <w:t>Los componentes clave incluyen:</w:t>
      </w:r>
    </w:p>
    <w:p>
      <w:pPr>
        <w:spacing w:line="276" w:lineRule="auto" w:after="80"/>
      </w:pPr>
      <w:r>
        <w:t>- Generadores de Escenarios Económicos (ESG): Modelan la evolución futura de variables macroeconómicas y de mercado, como tasas de interés, inflación, rendimientos de acciones, tipos de cambio y volatilidad. Estos escenarios pueden ser correlacionados para reflejar dependencias realistas entre las variables.</w:t>
      </w:r>
    </w:p>
    <w:p>
      <w:pPr>
        <w:spacing w:line="276" w:lineRule="auto" w:after="80"/>
      </w:pPr>
      <w:r>
        <w:t>- Modelos Actuariales de Pasivos: Proyectan las obligaciones futuras de la aseguradora (reservas técnicas, siniestros, beneficios) considerando factores como la mortalidad, la longevidad, la morbilidad, la caducidad (lapse) y los gastos. Estos modelos deben capturar el comportamiento dinámico de los asegurados en respuesta a los escenarios económicos.</w:t>
      </w:r>
    </w:p>
    <w:p>
      <w:pPr>
        <w:spacing w:line="276" w:lineRule="auto" w:after="80"/>
      </w:pPr>
      <w:r>
        <w:t>- Modelos de Activos e Inversiones: Simulan el rendimiento de la cartera de inversiones de la compañía bajo los escenarios económicos generados, incluyendo la gestión activa de la cartera y las políticas de rebalanceo.</w:t>
      </w:r>
    </w:p>
    <w:p>
      <w:pPr>
        <w:spacing w:line="276" w:lineRule="auto" w:after="80"/>
      </w:pPr>
      <w:r>
        <w:t>- Modelos de Negocio y Suscripción: Incorporan proyecciones de nueva producción, persistencia, siniestralidad esperada, gastos de adquisición y administración, y la interacción entre las distintas líneas de negocio.</w:t>
      </w:r>
    </w:p>
    <w:p>
      <w:pPr>
        <w:spacing w:line="276" w:lineRule="auto" w:after="80"/>
      </w:pPr>
      <w:r>
        <w:t>- Modelos de Capital y Solvencia: Calculan los requisitos de capital regulatorio y económico bajo cada escenario, permitiendo evaluar la suficiencia de capital y el riesgo de insolvencia.</w:t>
      </w:r>
    </w:p>
    <w:p/>
    <w:p>
      <w:pPr>
        <w:spacing w:line="276" w:lineRule="auto" w:after="80"/>
      </w:pPr>
      <w:r>
        <w:t>La integración de estos modelos permite analizar las interdependencias entre los riesgos de activos y pasivos, y cómo las decisiones de gestión impactan en el perfil de riesgo-retorno global de la compañía.</w:t>
      </w:r>
    </w:p>
    <w:p/>
    <w:p>
      <w:r>
        <w:rPr>
          <w:color w:val="B4B4B4"/>
        </w:rPr>
        <w:t>----------------------------------------</w:t>
      </w:r>
    </w:p>
    <w:p/>
    <w:p>
      <w:r>
        <w:rPr>
          <w:b/>
          <w:color w:val="1A5276"/>
          <w:sz w:val="24"/>
        </w:rPr>
        <w:t>3) APLICABILIDAD POR RAMO / CONTEXTO</w:t>
      </w:r>
    </w:p>
    <w:p>
      <w:pPr>
        <w:spacing w:line="276" w:lineRule="auto" w:after="80"/>
      </w:pPr>
      <w:r>
        <w:t>El DFA es una herramienta poderosa con aplicabilidad diferenciada en los distintos ramos de seguros de personas:</w:t>
      </w:r>
    </w:p>
    <w:p>
      <w:pPr>
        <w:spacing w:line="276" w:lineRule="auto" w:after="80"/>
      </w:pPr>
      <w:r>
        <w:t>- Vida y Retiro: Es fundamental debido a la naturaleza de largo plazo de sus pasivos. Permite evaluar el impacto del riesgo de tasa de interés, riesgo de longevidad, riesgo de persistencia y riesgo de inversión en la solvencia y rentabilidad a futuro. Ayuda a diseñar productos con garantías adecuadas y a optimizar la gestión de activos y pasivos (ALM).</w:t>
      </w:r>
    </w:p>
    <w:p>
      <w:pPr>
        <w:spacing w:line="276" w:lineRule="auto" w:after="80"/>
      </w:pPr>
      <w:r>
        <w:t>- Accidentes Personales (AP) y Salud: Aunque los pasivos suelen ser de menor duración, el DFA es valioso para modelar la volatilidad de la siniestralidad, el impacto de eventos catastróficos (para AP), la adecuación de primas bajo diferentes escenarios económicos y epidemiológicos (para Salud), y la optimización de la estrategia de reaseguro. Puede ayudar a entender cómo las condiciones económicas afectan la frecuencia o severidad de los siniestros.</w:t>
      </w:r>
    </w:p>
    <w:p/>
    <w:p>
      <w:pPr>
        <w:spacing w:line="276" w:lineRule="auto" w:after="80"/>
      </w:pPr>
      <w:r>
        <w:t>En el contexto argentino, con su volatilidad macroeconómica (inflación, tasas de interés), el DFA cobra particular relevancia. Permite a las aseguradoras testear la robustez de sus estrategias frente a escenarios extremos y cambiantes, y evaluar el impacto de posibles cambios regulatorios en capital o reservas. Es una herramienta clave para el Sistema de Gestión Integral de Riesgos (SGIR) requerido por la Resolución SSN 40.835/2017, al proporcionar una visión cuantitativa y prospectiva de los riesgos.</w:t>
      </w:r>
    </w:p>
    <w:p/>
    <w:p>
      <w:r>
        <w:rPr>
          <w:color w:val="B4B4B4"/>
        </w:rPr>
        <w:t>----------------------------------------</w:t>
      </w:r>
    </w:p>
    <w:p/>
    <w:p>
      <w:r>
        <w:rPr>
          <w:b/>
          <w:color w:val="1A5276"/>
          <w:sz w:val="24"/>
        </w:rPr>
        <w:t>4) EJEMPLO NUMÉRICO O CASO CONCRETO</w:t>
      </w:r>
    </w:p>
    <w:p>
      <w:pPr>
        <w:spacing w:line="276" w:lineRule="auto" w:after="80"/>
      </w:pPr>
      <w:r>
        <w:t>Imaginá que tu aseguradora está evaluando lanzar un nuevo producto de Vida con Ahorro, con una garantía de tasa mínima. Antes de comprometer capital y recursos, tu equipo de actuarios y finanzas podría usar un modelo DFA para simular el desempeño del producto.</w:t>
      </w:r>
    </w:p>
    <w:p/>
    <w:p>
      <w:pPr>
        <w:spacing w:line="276" w:lineRule="auto" w:after="80"/>
      </w:pPr>
      <w:r>
        <w:t>El DFA generaría miles de escenarios económicos futuros, incluyendo períodos de altas tasas de interés, bajas tasas, inflación elevada y recesión. Para cada escenario, el modelo proyectaría:</w:t>
      </w:r>
    </w:p>
    <w:p>
      <w:pPr>
        <w:spacing w:line="276" w:lineRule="auto" w:after="80"/>
      </w:pPr>
      <w:r>
        <w:t>- El comportamiento de los asegurados: ¿Cuántos asegurados cancelarían sus pólizas (lapse) si las tasas de mercado suben por encima de la garantía ofrecida?</w:t>
      </w:r>
    </w:p>
    <w:p>
      <w:pPr>
        <w:spacing w:line="276" w:lineRule="auto" w:after="80"/>
      </w:pPr>
      <w:r>
        <w:t>- Los rendimientos de las inversiones: ¿Cómo se comportaría la cartera de activos que respalda el producto en cada escenario?</w:t>
      </w:r>
    </w:p>
    <w:p>
      <w:pPr>
        <w:spacing w:line="276" w:lineRule="auto" w:after="80"/>
      </w:pPr>
      <w:r>
        <w:t>- Las reservas técnicas y los beneficios pagados: ¿Cuál sería el monto de las reservas y los pagos de beneficios bajo cada combinación de comportamiento y rendimiento?</w:t>
      </w:r>
    </w:p>
    <w:p>
      <w:pPr>
        <w:spacing w:line="276" w:lineRule="auto" w:after="80"/>
      </w:pPr>
      <w:r>
        <w:t>- La rentabilidad y el capital requerido: ¿Cuál sería la distribución de la rentabilidad del producto y su impacto en el capital de la compañía a lo largo del tiempo?</w:t>
      </w:r>
    </w:p>
    <w:p/>
    <w:p>
      <w:pPr>
        <w:spacing w:line="276" w:lineRule="auto" w:after="80"/>
      </w:pPr>
      <w:r>
        <w:t>El resultado no sería un único valor, sino una distribución de posibles resultados (por ejemplo, el Valor en Riesgo (VaR) del capital o la probabilidad de no alcanzar un cierto nivel de rentabilidad). Esto permitiría a la gerencia entender la exposición al riesgo del nuevo producto y ajustar sus características, la estrategia de inversión o el reaseguro antes de su lanzamiento.</w:t>
      </w:r>
    </w:p>
    <w:p/>
    <w:p>
      <w:r>
        <w:rPr>
          <w:color w:val="B4B4B4"/>
        </w:rPr>
        <w:t>----------------------------------------</w:t>
      </w:r>
    </w:p>
    <w:p/>
    <w:p>
      <w:r>
        <w:rPr>
          <w:b/>
          <w:color w:val="1A5276"/>
          <w:sz w:val="24"/>
        </w:rPr>
        <w:t>5) APLICACIÓN PRÁCTICA PARA UN LÍDER DE EQUIPO</w:t>
      </w:r>
    </w:p>
    <w:p>
      <w:pPr>
        <w:spacing w:line="276" w:lineRule="auto" w:after="80"/>
      </w:pPr>
      <w:r>
        <w:t>Como líder de equipo, el DFA te ofrece una visión estratégica invaluable:</w:t>
      </w:r>
    </w:p>
    <w:p>
      <w:pPr>
        <w:spacing w:line="276" w:lineRule="auto" w:after="80"/>
      </w:pPr>
      <w:r>
        <w:t>- Informar decisiones estratégicas: Utilizá los resultados del DFA para fundamentar decisiones clave sobre el lanzamiento de nuevos productos, la política de reaseguro, la asignación de capital entre ramos o la estrategia de inversión. Te permite cuantificar el impacto de estas decisiones en la solvencia y rentabilidad de la compañía.</w:t>
      </w:r>
    </w:p>
    <w:p>
      <w:pPr>
        <w:spacing w:line="276" w:lineRule="auto" w:after="80"/>
      </w:pPr>
      <w:r>
        <w:t>- Fortalecer la gestión de riesgos: Identificá los principales drivers de riesgo (ej. riesgo de tasa de interés, riesgo de longevidad) y su interdependencia. Esto te permite desarrollar planes de mitigación más efectivos y monitorear los riesgos de manera proactiva.</w:t>
      </w:r>
    </w:p>
    <w:p>
      <w:pPr>
        <w:spacing w:line="276" w:lineRule="auto" w:after="80"/>
      </w:pPr>
      <w:r>
        <w:t>- Mejorar la comunicación con la alta gerencia y el directorio: Presentá análisis robustos y basados en escenarios para justificar propuestas, explicar exposiciones a riesgos o solicitar capital. El lenguaje común de los escenarios y las distribuciones de resultados facilita el diálogo.</w:t>
      </w:r>
    </w:p>
    <w:p>
      <w:pPr>
        <w:spacing w:line="276" w:lineRule="auto" w:after="80"/>
      </w:pPr>
      <w:r>
        <w:t>- Optimizar la asignación de capital: Entendé mejor cómo cada línea de negocio contribuye al riesgo global de la compañía y asigná el capital de manera más eficiente, buscando maximizar el retorno ajustado al riesgo.</w:t>
      </w:r>
    </w:p>
    <w:p>
      <w:pPr>
        <w:spacing w:line="276" w:lineRule="auto" w:after="80"/>
      </w:pPr>
      <w:r>
        <w:t>- Fomentar la colaboración interdepartamental: La construcción y validación de un modelo DFA requiere la participación de actuarios, especialistas en inversiones, finanzas y suscripción, promoviendo una visión integrada de la compañía.</w:t>
      </w:r>
    </w:p>
    <w:p/>
    <w:p>
      <w:r>
        <w:rPr>
          <w:color w:val="B4B4B4"/>
        </w:rPr>
        <w:t>----------------------------------------</w:t>
      </w:r>
    </w:p>
    <w:p/>
    <w:p>
      <w:r>
        <w:rPr>
          <w:b/>
          <w:color w:val="1A5276"/>
          <w:sz w:val="24"/>
        </w:rPr>
        <w:t>6) ERRORES COMUNES O PUNTOS CIEGOS</w:t>
      </w:r>
    </w:p>
    <w:p>
      <w:pPr>
        <w:spacing w:line="276" w:lineRule="auto" w:after="80"/>
      </w:pPr>
      <w:r>
        <w:t>La implementación del DFA, aunque potente, no está exenta de desafíos:</w:t>
      </w:r>
    </w:p>
    <w:p>
      <w:pPr>
        <w:spacing w:line="276" w:lineRule="auto" w:after="80"/>
      </w:pPr>
      <w:r>
        <w:t>- Complejidad excesiva del modelo: Un modelo demasiado detallado puede volverse inmanejable, difícil de validar y lento en su ejecución, llevando a la "parálisis por análisis". Es crucial encontrar el equilibrio entre detalle y practicidad.</w:t>
      </w:r>
    </w:p>
    <w:p>
      <w:pPr>
        <w:spacing w:line="276" w:lineRule="auto" w:after="80"/>
      </w:pPr>
      <w:r>
        <w:t>- Calibración inadecuada de los ESG: Si los generadores de escenarios económicos no reflejan correctamente la dinámica del mercado o subestiman los riesgos de cola (eventos extremos), los resultados del DFA serán engañosos.</w:t>
      </w:r>
    </w:p>
    <w:p>
      <w:pPr>
        <w:spacing w:line="276" w:lineRule="auto" w:after="80"/>
      </w:pPr>
      <w:r>
        <w:t>- Supuestos de comportamiento irrealistas: No modelar adecuadamente el comportamiento dinámico de los asegurados (ej., cómo las tasas de lapse reaccionan a los cambios en las tasas de mercado) puede invalidar las proyecciones.</w:t>
      </w:r>
    </w:p>
    <w:p>
      <w:pPr>
        <w:spacing w:line="276" w:lineRule="auto" w:after="80"/>
      </w:pPr>
      <w:r>
        <w:t>- "Garbage In, Garbage Out": La calidad de los resultados del DFA depende directamente de la calidad de los datos de entrada y los supuestos utilizados. Datos deficientes o supuestos sesgados llevarán a conclusiones erróneas.</w:t>
      </w:r>
    </w:p>
    <w:p>
      <w:pPr>
        <w:spacing w:line="276" w:lineRule="auto" w:after="80"/>
      </w:pPr>
      <w:r>
        <w:t>- Falta de interpretación y accionabilidad: Generar una gran cantidad de resultados sin una clara capacidad para interpretarlos y traducirlos en decisiones concretas es un error común. El valor del DFA radica en su capacidad para informar la acción.</w:t>
      </w:r>
    </w:p>
    <w:p>
      <w:pPr>
        <w:spacing w:line="276" w:lineRule="auto" w:after="80"/>
      </w:pPr>
      <w:r>
        <w:t>- Visión estática del modelo: No actualizar periódicamente los modelos, los supuestos y los escenarios para reflejar los cambios en el entorno de negocio y regulatorio.</w:t>
      </w:r>
    </w:p>
    <w:p/>
    <w:p>
      <w:r>
        <w:rPr>
          <w:color w:val="B4B4B4"/>
        </w:rPr>
        <w:t>----------------------------------------</w:t>
      </w:r>
    </w:p>
    <w:p/>
    <w:p>
      <w:r>
        <w:rPr>
          <w:b/>
          <w:color w:val="1A5276"/>
          <w:sz w:val="24"/>
        </w:rPr>
        <w:t>7) EN UNA LÍNEA</w:t>
      </w:r>
    </w:p>
    <w:p>
      <w:pPr>
        <w:spacing w:line="276" w:lineRule="auto" w:after="80"/>
      </w:pPr>
      <w:r>
        <w:t>El Dynamic Financial Analysis (DFA) es una herramienta de simulación estocástica integral que permite a las aseguradoras de personas evaluar su solvencia, rentabilidad y estrategia bajo múltiples escenarios futuros, integrando riesgos de activos y pasivos para una toma de decisiones robusta.</w:t>
      </w:r>
    </w:p>
    <w:p/>
    <w:p>
      <w:r>
        <w:rPr>
          <w:color w:val="B4B4B4"/>
        </w:rPr>
        <w:t>----------------------------------------</w:t>
      </w:r>
    </w:p>
    <w:p>
      <w:r>
        <w:rPr>
          <w:b/>
          <w:color w:val="1A5276"/>
          <w:sz w:val="24"/>
        </w:rPr>
        <w:t>FUENTES DE REFERENCIA</w:t>
      </w:r>
    </w:p>
    <w:p>
      <w:pPr>
        <w:spacing w:line="276" w:lineRule="auto" w:after="80"/>
      </w:pPr>
      <w:r>
        <w:t>- Wikipedia. Dynamic financial analysis.</w:t>
      </w:r>
    </w:p>
    <w:p>
      <w:pPr>
        <w:spacing w:line="276" w:lineRule="auto" w:after="80"/>
      </w:pPr>
      <w:r>
        <w:t>- IRMI. Dynamic financial analysis (DFA).</w:t>
      </w:r>
    </w:p>
    <w:p>
      <w:pPr>
        <w:spacing w:line="276" w:lineRule="auto" w:after="80"/>
      </w:pPr>
      <w:r>
        <w:t>- DFA - Dynamic Financial Analysis.</w:t>
      </w:r>
    </w:p>
    <w:p>
      <w:pPr>
        <w:spacing w:line="276" w:lineRule="auto" w:after="80"/>
      </w:pPr>
      <w:r>
        <w:t>- International Actuarial Association. Dynamic Financial Analysis.</w:t>
      </w:r>
    </w:p>
    <w:p>
      <w:pPr>
        <w:spacing w:line="276" w:lineRule="auto" w:after="80"/>
      </w:pPr>
      <w:r>
        <w:t>- Casualty Actuarial Society. Dynamic Financial Analysis Handbook.</w:t>
      </w:r>
    </w:p>
    <w:p>
      <w:pPr>
        <w:spacing w:line="276" w:lineRule="auto" w:after="80"/>
      </w:pPr>
      <w:r>
        <w:t>- AT Global. Development of internal models (DFA models).</w:t>
      </w:r>
    </w:p>
    <w:p>
      <w:pPr>
        <w:spacing w:line="276" w:lineRule="auto" w:after="80"/>
      </w:pPr>
      <w:r>
        <w:t>- Scribd. Evaluating Reinsurance with DFA Model.</w:t>
      </w:r>
    </w:p>
    <w:p>
      <w:pPr>
        <w:spacing w:line="276" w:lineRule="auto" w:after="80"/>
      </w:pPr>
      <w:r>
        <w:t>- Cambridge Core. Dynamic Financial Analysis (DFA) of general insurers under climate change.</w:t>
      </w:r>
    </w:p>
    <w:p>
      <w:pPr>
        <w:spacing w:line="276" w:lineRule="auto" w:after="80"/>
      </w:pPr>
      <w:r>
        <w:t>- Superintendencia de Seguros de la Nación. Resolución SSN 40.835/2017: Sistema de Gestión Integral de Riesgos.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