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pPr>
    </w:p>
    <w:p>
      <w:pPr>
        <w:spacing w:after="240"/>
        <w:jc w:val="center"/>
      </w:pPr>
      <w:r>
        <w:rPr>
          <w:rFonts w:ascii="Arial" w:hAnsi="Arial"/>
          <w:b/>
          <w:color w:val="1B365D"/>
          <w:sz w:val="52"/>
        </w:rPr>
        <w:t>Informe Técnico - KickoffAgent</w:t>
      </w:r>
    </w:p>
    <w:p>
      <w:pPr>
        <w:spacing w:after="1400"/>
        <w:jc w:val="center"/>
      </w:pPr>
      <w:r>
        <w:rPr>
          <w:rFonts w:ascii="Arial" w:hAnsi="Arial"/>
          <w:i/>
          <w:color w:val="2B6CB0"/>
          <w:sz w:val="26"/>
        </w:rPr>
        <w:t>Plataforma de Agente Inteligente para Levantamiento, Formulación Ágil y Consulta Trazable de Proyectos de Software.</w:t>
      </w:r>
    </w:p>
    <w:tbl>
      <w:tblPr>
        <w:tblW w:type="auto" w:w="0"/>
        <w:jc w:val="center"/>
        <w:tblLayout w:type="fixed"/>
        <w:tblLook w:firstColumn="1" w:firstRow="1" w:lastColumn="0" w:lastRow="0" w:noHBand="0" w:noVBand="1" w:val="04A0"/>
        <w:tblBorders>
          <w:top w:val="single" w:sz="6" w:space="0" w:color="CBD5E0"/>
          <w:left w:val="none"/>
          <w:bottom w:val="single" w:sz="6" w:space="0" w:color="CBD5E0"/>
          <w:right w:val="none"/>
          <w:insideH w:val="single" w:sz="6" w:space="0" w:color="CBD5E0"/>
          <w:insideV w:val="none"/>
        </w:tblBorders>
      </w:tblPr>
      <w:tblGrid>
        <w:gridCol w:w="4680"/>
        <w:gridCol w:w="4680"/>
      </w:tblGrid>
      <w:tr>
        <w:tc>
          <w:tcPr>
            <w:tcW w:type="dxa" w:w="3168"/>
            <w:shd w:fill="EDF2F7"/>
            <w:tcMar>
              <w:top w:w="140" w:type="dxa"/>
              <w:bottom w:w="140" w:type="dxa"/>
              <w:left w:w="140" w:type="dxa"/>
              <w:right w:w="140" w:type="dxa"/>
            </w:tcMar>
          </w:tcPr>
          <w:p>
            <w:r>
              <w:rPr>
                <w:rFonts w:ascii="Arial" w:hAnsi="Arial"/>
                <w:b/>
                <w:color w:val="1A202C"/>
                <w:sz w:val="22"/>
              </w:rPr>
              <w:t>Integrantes:</w:t>
            </w:r>
          </w:p>
        </w:tc>
        <w:tc>
          <w:tcPr>
            <w:tcW w:type="dxa" w:w="6192"/>
            <w:shd w:fill="FFFFFF"/>
            <w:tcMar>
              <w:top w:w="140" w:type="dxa"/>
              <w:bottom w:w="140" w:type="dxa"/>
              <w:left w:w="140" w:type="dxa"/>
              <w:right w:w="140" w:type="dxa"/>
            </w:tcMar>
          </w:tcPr>
          <w:p>
            <w:r>
              <w:rPr>
                <w:rFonts w:ascii="Arial" w:hAnsi="Arial"/>
                <w:color w:val="2D3748"/>
                <w:sz w:val="22"/>
              </w:rPr>
              <w:t>Genesis Valdebenito &amp; Héctor Torres</w:t>
            </w:r>
          </w:p>
        </w:tc>
      </w:tr>
      <w:tr>
        <w:tc>
          <w:tcPr>
            <w:tcW w:type="dxa" w:w="3168"/>
            <w:shd w:fill="EDF2F7"/>
            <w:tcMar>
              <w:top w:w="140" w:type="dxa"/>
              <w:bottom w:w="140" w:type="dxa"/>
              <w:left w:w="140" w:type="dxa"/>
              <w:right w:w="140" w:type="dxa"/>
            </w:tcMar>
          </w:tcPr>
          <w:p>
            <w:r>
              <w:rPr>
                <w:rFonts w:ascii="Arial" w:hAnsi="Arial"/>
                <w:b/>
                <w:color w:val="1A202C"/>
                <w:sz w:val="22"/>
              </w:rPr>
              <w:t>Docente:</w:t>
            </w:r>
          </w:p>
        </w:tc>
        <w:tc>
          <w:tcPr>
            <w:tcW w:type="dxa" w:w="6192"/>
            <w:shd w:fill="FFFFFF"/>
            <w:tcMar>
              <w:top w:w="140" w:type="dxa"/>
              <w:bottom w:w="140" w:type="dxa"/>
              <w:left w:w="140" w:type="dxa"/>
              <w:right w:w="140" w:type="dxa"/>
            </w:tcMar>
          </w:tcPr>
          <w:p>
            <w:r>
              <w:rPr>
                <w:rFonts w:ascii="Arial" w:hAnsi="Arial"/>
                <w:color w:val="2D3748"/>
                <w:sz w:val="22"/>
              </w:rPr>
              <w:t>Francisco Andrés Macaya</w:t>
            </w:r>
          </w:p>
        </w:tc>
      </w:tr>
      <w:tr>
        <w:tc>
          <w:tcPr>
            <w:tcW w:type="dxa" w:w="3168"/>
            <w:shd w:fill="EDF2F7"/>
            <w:tcMar>
              <w:top w:w="140" w:type="dxa"/>
              <w:bottom w:w="140" w:type="dxa"/>
              <w:left w:w="140" w:type="dxa"/>
              <w:right w:w="140" w:type="dxa"/>
            </w:tcMar>
          </w:tcPr>
          <w:p>
            <w:r>
              <w:rPr>
                <w:rFonts w:ascii="Arial" w:hAnsi="Arial"/>
                <w:b/>
                <w:color w:val="1A202C"/>
                <w:sz w:val="22"/>
              </w:rPr>
              <w:t>Fecha:</w:t>
            </w:r>
          </w:p>
        </w:tc>
        <w:tc>
          <w:tcPr>
            <w:tcW w:type="dxa" w:w="6192"/>
            <w:shd w:fill="FFFFFF"/>
            <w:tcMar>
              <w:top w:w="140" w:type="dxa"/>
              <w:bottom w:w="140" w:type="dxa"/>
              <w:left w:w="140" w:type="dxa"/>
              <w:right w:w="140" w:type="dxa"/>
            </w:tcMar>
          </w:tcPr>
          <w:p>
            <w:r>
              <w:rPr>
                <w:rFonts w:ascii="Arial" w:hAnsi="Arial"/>
                <w:color w:val="2D3748"/>
                <w:sz w:val="22"/>
              </w:rPr>
              <w:t>09/09/2026</w:t>
            </w:r>
          </w:p>
        </w:tc>
      </w:tr>
    </w:tbl>
    <w:p>
      <w:r>
        <w:br w:type="page"/>
      </w:r>
    </w:p>
    <w:p>
      <w:pPr>
        <w:pStyle w:val="Heading1"/>
        <w:spacing w:before="320" w:after="120"/>
      </w:pPr>
      <w:r>
        <w:t>1. Contexto y problema organizacional</w:t>
      </w:r>
    </w:p>
    <w:p>
      <w:r>
        <w:t>En el contexto de la consultoría en Tecnologías de la Información (TI) y el desarrollo de software corporativo, la fase de descubrimiento o kickoff representa el hito más determinante para el éxito o fracaso de una iniciativa. Durante este periodo, las organizaciones se enfrentan al desafío de procesar ingentes volúmenes de información heterogénea proveniente de entrevistas a stakeholders, minutas de reunión desestructuradas, expedientes de licitación y especificaciones técnicas preliminares.</w:t>
      </w:r>
    </w:p>
    <w:p>
      <w:r>
        <w:t>Tradicionalmente, esta actividad depende por completo de la capacidad analítica manual de ingenieros de preventa y arquitectos de software, lo que introduce importantes brechas y problemas operacionales:</w:t>
      </w:r>
    </w:p>
    <w:p>
      <w:pPr>
        <w:pStyle w:val="ListBullet"/>
      </w:pPr>
      <w:r>
        <w:rPr>
          <w:b/>
        </w:rPr>
        <w:t xml:space="preserve">Riesgo Financiero por Alucinación Matemática: </w:t>
      </w:r>
      <w:r>
        <w:t>La evaluación de viabilidad económica (cálculo de VAN, TIR, ROI y periodos de recuperación) requiere precisión aritmética absoluta. Al utilizar Modelos de Lenguaje Grande (LLMs) convencionales mediante prompts directos, estos tienden a inventar cifras y flujos no convergentes, induciendo a decisiones de inversión erróneas.</w:t>
      </w:r>
    </w:p>
    <w:p>
      <w:pPr>
        <w:pStyle w:val="ListBullet"/>
      </w:pPr>
      <w:r>
        <w:rPr>
          <w:b/>
        </w:rPr>
        <w:t xml:space="preserve">Falta de Trazabilidad y Pérdida de Auditoría Documental: </w:t>
      </w:r>
      <w:r>
        <w:t>En consultorías de alto nivel, cada requerimiento funcional debe estar fundamentado en un acta de reunión o decisión formal de gerencia. La desconexión entre las minutas y el backlog resultante genera disputas contractuales y desviaciones de alcance (scope creep).</w:t>
      </w:r>
    </w:p>
    <w:p>
      <w:pPr>
        <w:pStyle w:val="ListBullet"/>
      </w:pPr>
      <w:r>
        <w:rPr>
          <w:b/>
        </w:rPr>
        <w:t xml:space="preserve">Degradación de Contexto y Sesgo de Atención: </w:t>
      </w:r>
      <w:r>
        <w:t>El análisis manual y los mega-prompts no estructurados provocan el fenómeno 'Lost in the Middle' (Liu et al., 2024), donde restricciones críticas de arquitectura, normativas legales o factores no funcionales quedan ignorados entre extensos anexos documentales.</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160" w:type="dxa"/>
            </w:tcMar>
            <w:tcBorders>
              <w:top w:val="none" w:sz="24" w:space="0" w:color="1B365D"/>
              <w:left w:val="single" w:sz="24" w:space="0" w:color="1B365D"/>
              <w:bottom w:val="none" w:sz="24" w:space="0" w:color="1B365D"/>
              <w:right w:val="none" w:sz="24" w:space="0" w:color="1B365D"/>
            </w:tcBorders>
          </w:tcPr>
          <w:p>
            <w:pPr>
              <w:spacing w:before="40" w:after="40" w:line="276" w:lineRule="auto"/>
            </w:pPr>
            <w:r>
              <w:rPr>
                <w:rFonts w:ascii="Arial" w:hAnsi="Arial"/>
                <w:b/>
                <w:color w:val="1B365D"/>
                <w:sz w:val="19"/>
              </w:rPr>
              <w:t xml:space="preserve">[SÍNTESIS DEL PROBLEMA ORGANIZACIONAL] </w:t>
            </w:r>
            <w:r>
              <w:rPr>
                <w:rFonts w:ascii="Arial" w:hAnsi="Arial"/>
                <w:color w:val="333333"/>
                <w:sz w:val="19"/>
              </w:rPr>
              <w:t>La problemática organizacional se sintetiza en la necesidad urgente de una solución agéntica que garantice tres pilares: (1) cero alucinaciones numéricas en viabilidad financiera, (2) trazabilidad estricta y auditable hacia las fuentes documentales, y (3) automatización rigurosa del paso desde el levantamiento estratégico hasta el backlog ágil.</w:t>
            </w:r>
          </w:p>
        </w:tc>
      </w:tr>
    </w:tbl>
    <w:p/>
    <w:p>
      <w:pPr>
        <w:pStyle w:val="Heading1"/>
        <w:spacing w:before="320" w:after="120"/>
      </w:pPr>
      <w:r>
        <w:t>2. Objetivos (General y específicos)</w:t>
      </w:r>
    </w:p>
    <w:p>
      <w:pPr>
        <w:pStyle w:val="Heading2"/>
      </w:pPr>
      <w:r>
        <w:t>2.1. Objetivo General</w:t>
      </w:r>
    </w:p>
    <w:p>
      <w:r>
        <w:t>Diseñar, implementar y validar KickoffAgent, una plataforma agéntica inteligente basada en la orquestación de Grandes Modelos de Lenguaje (LLMs), un pipeline de Generación Aumentada por Recuperación (RAG) semántico local y herramientas deterministas de cálculo financiero (Tool Calling), orientada al levantamiento estratégico (FODA/PESTEL), formulación formal de requerimientos bajo el estándar IEEE 830, estructuración ágil de backlog y consulta trazable de proyectos de software.</w:t>
      </w:r>
    </w:p>
    <w:p>
      <w:pPr>
        <w:pStyle w:val="Heading2"/>
      </w:pPr>
      <w:r>
        <w:t>2.2. Objetivos Específicos</w:t>
      </w:r>
    </w:p>
    <w:p>
      <w:pPr>
        <w:pStyle w:val="ListBullet"/>
      </w:pPr>
      <w:r>
        <w:rPr>
          <w:b/>
        </w:rPr>
        <w:t xml:space="preserve">Formulación y Optimización de Prompts: </w:t>
      </w:r>
      <w:r>
        <w:t>Diseñar y justificar una arquitectura modular de micro-prompts especializados (00A, 00B, 01, 02 y 03) con roles analíticos senior, contratos JSON estrictos y directivas anti-alucinación explícitas.</w:t>
      </w:r>
    </w:p>
    <w:p>
      <w:pPr>
        <w:pStyle w:val="ListBullet"/>
      </w:pPr>
      <w:r>
        <w:rPr>
          <w:b/>
        </w:rPr>
        <w:t xml:space="preserve">Implementación del Pipeline RAG Local: </w:t>
      </w:r>
      <w:r>
        <w:t>Construir un pipeline de indexación y recuperación vectorial utilizando FastEmbed (BAAI/bge-small-en-v1.5) y ChromaDB local persistente, garantizando soberanía de datos y baja latencia de inferencia.</w:t>
      </w:r>
    </w:p>
    <w:p>
      <w:pPr>
        <w:pStyle w:val="ListBullet"/>
      </w:pPr>
      <w:r>
        <w:rPr>
          <w:b/>
        </w:rPr>
        <w:t xml:space="preserve">Modelado y Diagramación Arquitectónica: </w:t>
      </w:r>
      <w:r>
        <w:t>Elaborar la representación estructural y el flujo de control end-to-end del sistema, formalizando la interacción entre el Agente de Levantamiento, el Agente de Backlog y el Módulo RAG Orquestador con sus compuertas de decisión.</w:t>
      </w:r>
    </w:p>
    <w:p>
      <w:pPr>
        <w:pStyle w:val="ListBullet"/>
      </w:pPr>
      <w:r>
        <w:rPr>
          <w:b/>
        </w:rPr>
        <w:t xml:space="preserve">Integración Determinista de Tool Calling: </w:t>
      </w:r>
      <w:r>
        <w:t>Implementar la herramienta matemática calcular_metricas_financieras basada en numpy-financial y validación tipada con Pydantic, erradicando alucinaciones probabilísticas en cómputos de VAN, TIR, ROI y PRI.</w:t>
      </w:r>
    </w:p>
    <w:p>
      <w:pPr>
        <w:pStyle w:val="ListBullet"/>
      </w:pPr>
      <w:r>
        <w:rPr>
          <w:b/>
        </w:rPr>
        <w:t xml:space="preserve">Control de Calidad, Trazabilidad y Validación: </w:t>
      </w:r>
      <w:r>
        <w:t>Establecer directivas de Grounding estricto con citas obligatorias de fuentes [Doc.pdf, p.X], respuestas de rechazo (Refusal) ante falta de contexto y validación empírica en casos reales de consultoría TI.</w:t>
      </w:r>
    </w:p>
    <w:p>
      <w:pPr>
        <w:pStyle w:val="Heading1"/>
        <w:spacing w:before="320" w:after="120"/>
      </w:pPr>
      <w:r>
        <w:t>3. Fuentes de datos</w:t>
      </w:r>
    </w:p>
    <w:p>
      <w:r>
        <w:t>KickoffAgent procesa un corpus documental heterogéneo representativo del ciclo inicial de consultoría y contratación tecnológica. Las fuentes de datos se gestionan con esquemas de metadatos que aseguran trazabilidad biunívoca en todo el pipeline:</w:t>
      </w:r>
    </w:p>
    <w:tbl>
      <w:tblPr>
        <w:tblW w:type="auto" w:w="0"/>
        <w:jc w:val="center"/>
        <w:tblLayout w:type="fixed"/>
        <w:tblLook w:firstColumn="1" w:firstRow="1" w:lastColumn="0" w:lastRow="0" w:noHBand="0" w:noVBand="1" w:val="04A0"/>
        <w:tblBorders>
          <w:top w:val="single" w:sz="6" w:space="0" w:color="CBD5E0"/>
          <w:left w:val="none"/>
          <w:bottom w:val="single" w:sz="6" w:space="0" w:color="CBD5E0"/>
          <w:right w:val="none"/>
          <w:insideH w:val="single" w:sz="6" w:space="0" w:color="CBD5E0"/>
          <w:insideV w:val="none"/>
        </w:tblBorders>
      </w:tblPr>
      <w:tblGrid>
        <w:gridCol w:w="2340"/>
        <w:gridCol w:w="2340"/>
        <w:gridCol w:w="2340"/>
        <w:gridCol w:w="2340"/>
      </w:tblGrid>
      <w:tr>
        <w:tc>
          <w:tcPr>
            <w:tcW w:type="dxa" w:w="2160"/>
            <w:shd w:fill="1B365D"/>
            <w:tcMar>
              <w:top w:w="140" w:type="dxa"/>
              <w:bottom w:w="140" w:type="dxa"/>
              <w:left w:w="140" w:type="dxa"/>
              <w:right w:w="140" w:type="dxa"/>
            </w:tcMar>
          </w:tcPr>
          <w:p>
            <w:pPr>
              <w:spacing w:before="40" w:after="40"/>
            </w:pPr>
            <w:r>
              <w:rPr>
                <w:rFonts w:ascii="Arial" w:hAnsi="Arial"/>
                <w:b/>
                <w:color w:val="FFFFFF"/>
                <w:sz w:val="19"/>
              </w:rPr>
              <w:t>Tipo de Documento</w:t>
            </w:r>
          </w:p>
        </w:tc>
        <w:tc>
          <w:tcPr>
            <w:tcW w:type="dxa" w:w="2160"/>
            <w:shd w:fill="1B365D"/>
            <w:tcMar>
              <w:top w:w="140" w:type="dxa"/>
              <w:bottom w:w="140" w:type="dxa"/>
              <w:left w:w="140" w:type="dxa"/>
              <w:right w:w="140" w:type="dxa"/>
            </w:tcMar>
          </w:tcPr>
          <w:p>
            <w:pPr>
              <w:spacing w:before="40" w:after="40"/>
            </w:pPr>
            <w:r>
              <w:rPr>
                <w:rFonts w:ascii="Arial" w:hAnsi="Arial"/>
                <w:b/>
                <w:color w:val="FFFFFF"/>
                <w:sz w:val="19"/>
              </w:rPr>
              <w:t>Formato / Ingesta</w:t>
            </w:r>
          </w:p>
        </w:tc>
        <w:tc>
          <w:tcPr>
            <w:tcW w:type="dxa" w:w="3312"/>
            <w:shd w:fill="1B365D"/>
            <w:tcMar>
              <w:top w:w="140" w:type="dxa"/>
              <w:bottom w:w="140" w:type="dxa"/>
              <w:left w:w="140" w:type="dxa"/>
              <w:right w:w="140" w:type="dxa"/>
            </w:tcMar>
          </w:tcPr>
          <w:p>
            <w:pPr>
              <w:spacing w:before="40" w:after="40"/>
            </w:pPr>
            <w:r>
              <w:rPr>
                <w:rFonts w:ascii="Arial" w:hAnsi="Arial"/>
                <w:b/>
                <w:color w:val="FFFFFF"/>
                <w:sz w:val="19"/>
              </w:rPr>
              <w:t>Contenido Principal Extraído</w:t>
            </w:r>
          </w:p>
        </w:tc>
        <w:tc>
          <w:tcPr>
            <w:tcW w:type="dxa" w:w="1728"/>
            <w:shd w:fill="1B365D"/>
            <w:tcMar>
              <w:top w:w="140" w:type="dxa"/>
              <w:bottom w:w="140" w:type="dxa"/>
              <w:left w:w="140" w:type="dxa"/>
              <w:right w:w="140" w:type="dxa"/>
            </w:tcMar>
          </w:tcPr>
          <w:p>
            <w:pPr>
              <w:spacing w:before="40" w:after="40"/>
            </w:pPr>
            <w:r>
              <w:rPr>
                <w:rFonts w:ascii="Arial" w:hAnsi="Arial"/>
                <w:b/>
                <w:color w:val="FFFFFF"/>
                <w:sz w:val="19"/>
              </w:rPr>
              <w:t>Metadatos Asociados</w:t>
            </w:r>
          </w:p>
        </w:tc>
      </w:tr>
      <w:tr>
        <w:tc>
          <w:tcPr>
            <w:tcW w:type="dxa" w:w="2160"/>
            <w:shd w:fill="FFFFFF"/>
            <w:tcMar>
              <w:top w:w="100" w:type="dxa"/>
              <w:bottom w:w="100" w:type="dxa"/>
              <w:left w:w="140" w:type="dxa"/>
              <w:right w:w="140" w:type="dxa"/>
            </w:tcMar>
          </w:tcPr>
          <w:p>
            <w:pPr>
              <w:spacing w:before="40" w:after="40" w:line="276" w:lineRule="auto"/>
            </w:pPr>
            <w:r>
              <w:rPr>
                <w:rFonts w:ascii="Arial" w:hAnsi="Arial"/>
                <w:color w:val="2D3748"/>
                <w:sz w:val="18"/>
              </w:rPr>
              <w:t>Actas de Reunión de Kickoff</w:t>
            </w:r>
          </w:p>
        </w:tc>
        <w:tc>
          <w:tcPr>
            <w:tcW w:type="dxa" w:w="2160"/>
            <w:shd w:fill="FFFFFF"/>
            <w:tcMar>
              <w:top w:w="100" w:type="dxa"/>
              <w:bottom w:w="100" w:type="dxa"/>
              <w:left w:w="140" w:type="dxa"/>
              <w:right w:w="140" w:type="dxa"/>
            </w:tcMar>
          </w:tcPr>
          <w:p>
            <w:pPr>
              <w:spacing w:before="40" w:after="40" w:line="276" w:lineRule="auto"/>
            </w:pPr>
            <w:r>
              <w:rPr>
                <w:rFonts w:ascii="Arial" w:hAnsi="Arial"/>
                <w:color w:val="2D3748"/>
                <w:sz w:val="18"/>
              </w:rPr>
              <w:t>PDF / Texto estructurado (PyPDFLoader)</w:t>
            </w:r>
          </w:p>
        </w:tc>
        <w:tc>
          <w:tcPr>
            <w:tcW w:type="dxa" w:w="3312"/>
            <w:shd w:fill="FFFFFF"/>
            <w:tcMar>
              <w:top w:w="100" w:type="dxa"/>
              <w:bottom w:w="100" w:type="dxa"/>
              <w:left w:w="140" w:type="dxa"/>
              <w:right w:w="140" w:type="dxa"/>
            </w:tcMar>
          </w:tcPr>
          <w:p>
            <w:pPr>
              <w:spacing w:before="40" w:after="40" w:line="276" w:lineRule="auto"/>
            </w:pPr>
            <w:r>
              <w:rPr>
                <w:rFonts w:ascii="Arial" w:hAnsi="Arial"/>
                <w:color w:val="2D3748"/>
                <w:sz w:val="18"/>
              </w:rPr>
              <w:t>Presupuestos máximos, flujos de caja proyectados, tasas de descuento y visión gerencial.</w:t>
            </w:r>
          </w:p>
        </w:tc>
        <w:tc>
          <w:tcPr>
            <w:tcW w:type="dxa" w:w="1728"/>
            <w:shd w:fill="FFFFFF"/>
            <w:tcMar>
              <w:top w:w="100" w:type="dxa"/>
              <w:bottom w:w="100" w:type="dxa"/>
              <w:left w:w="140" w:type="dxa"/>
              <w:right w:w="140" w:type="dxa"/>
            </w:tcMar>
          </w:tcPr>
          <w:p>
            <w:pPr>
              <w:spacing w:before="40" w:after="40" w:line="276" w:lineRule="auto"/>
            </w:pPr>
            <w:r>
              <w:rPr>
                <w:rFonts w:ascii="Arial" w:hAnsi="Arial"/>
                <w:color w:val="2D3748"/>
                <w:sz w:val="18"/>
              </w:rPr>
              <w:t>{source: 'Acta_Reunion_01.pdf', fase: 'finanzas'}</w:t>
            </w:r>
          </w:p>
        </w:tc>
      </w:tr>
      <w:tr>
        <w:tc>
          <w:tcPr>
            <w:tcW w:type="dxa" w:w="2160"/>
            <w:shd w:fill="F8FAFC"/>
            <w:tcMar>
              <w:top w:w="100" w:type="dxa"/>
              <w:bottom w:w="100" w:type="dxa"/>
              <w:left w:w="140" w:type="dxa"/>
              <w:right w:w="140" w:type="dxa"/>
            </w:tcMar>
          </w:tcPr>
          <w:p>
            <w:pPr>
              <w:spacing w:before="40" w:after="40" w:line="276" w:lineRule="auto"/>
            </w:pPr>
            <w:r>
              <w:rPr>
                <w:rFonts w:ascii="Arial" w:hAnsi="Arial"/>
                <w:color w:val="2D3748"/>
                <w:sz w:val="18"/>
              </w:rPr>
              <w:t>Especificación Técnica Preliminar</w:t>
            </w:r>
          </w:p>
        </w:tc>
        <w:tc>
          <w:tcPr>
            <w:tcW w:type="dxa" w:w="2160"/>
            <w:shd w:fill="F8FAFC"/>
            <w:tcMar>
              <w:top w:w="100" w:type="dxa"/>
              <w:bottom w:w="100" w:type="dxa"/>
              <w:left w:w="140" w:type="dxa"/>
              <w:right w:w="140" w:type="dxa"/>
            </w:tcMar>
          </w:tcPr>
          <w:p>
            <w:pPr>
              <w:spacing w:before="40" w:after="40" w:line="276" w:lineRule="auto"/>
            </w:pPr>
            <w:r>
              <w:rPr>
                <w:rFonts w:ascii="Arial" w:hAnsi="Arial"/>
                <w:color w:val="2D3748"/>
                <w:sz w:val="18"/>
              </w:rPr>
              <w:t>PDF / Markdown estándar</w:t>
            </w:r>
          </w:p>
        </w:tc>
        <w:tc>
          <w:tcPr>
            <w:tcW w:type="dxa" w:w="3312"/>
            <w:shd w:fill="F8FAFC"/>
            <w:tcMar>
              <w:top w:w="100" w:type="dxa"/>
              <w:bottom w:w="100" w:type="dxa"/>
              <w:left w:w="140" w:type="dxa"/>
              <w:right w:w="140" w:type="dxa"/>
            </w:tcMar>
          </w:tcPr>
          <w:p>
            <w:pPr>
              <w:spacing w:before="40" w:after="40" w:line="276" w:lineRule="auto"/>
            </w:pPr>
            <w:r>
              <w:rPr>
                <w:rFonts w:ascii="Arial" w:hAnsi="Arial"/>
                <w:color w:val="2D3748"/>
                <w:sz w:val="18"/>
              </w:rPr>
              <w:t>Requerimientos funcionales base, estándares de arquitectura, protocolos de autenticación (OAuth2).</w:t>
            </w:r>
          </w:p>
        </w:tc>
        <w:tc>
          <w:tcPr>
            <w:tcW w:type="dxa" w:w="1728"/>
            <w:shd w:fill="F8FAFC"/>
            <w:tcMar>
              <w:top w:w="100" w:type="dxa"/>
              <w:bottom w:w="100" w:type="dxa"/>
              <w:left w:w="140" w:type="dxa"/>
              <w:right w:w="140" w:type="dxa"/>
            </w:tcMar>
          </w:tcPr>
          <w:p>
            <w:pPr>
              <w:spacing w:before="40" w:after="40" w:line="276" w:lineRule="auto"/>
            </w:pPr>
            <w:r>
              <w:rPr>
                <w:rFonts w:ascii="Arial" w:hAnsi="Arial"/>
                <w:color w:val="2D3748"/>
                <w:sz w:val="18"/>
              </w:rPr>
              <w:t>{source: 'Especificacion_IEEE830.pdf', fase: 'requerimientos'}</w:t>
            </w:r>
          </w:p>
        </w:tc>
      </w:tr>
      <w:tr>
        <w:tc>
          <w:tcPr>
            <w:tcW w:type="dxa" w:w="2160"/>
            <w:shd w:fill="FFFFFF"/>
            <w:tcMar>
              <w:top w:w="100" w:type="dxa"/>
              <w:bottom w:w="100" w:type="dxa"/>
              <w:left w:w="140" w:type="dxa"/>
              <w:right w:w="140" w:type="dxa"/>
            </w:tcMar>
          </w:tcPr>
          <w:p>
            <w:pPr>
              <w:spacing w:before="40" w:after="40" w:line="276" w:lineRule="auto"/>
            </w:pPr>
            <w:r>
              <w:rPr>
                <w:rFonts w:ascii="Arial" w:hAnsi="Arial"/>
                <w:color w:val="2D3748"/>
                <w:sz w:val="18"/>
              </w:rPr>
              <w:t>Cuestionario de Levantamiento</w:t>
            </w:r>
          </w:p>
        </w:tc>
        <w:tc>
          <w:tcPr>
            <w:tcW w:type="dxa" w:w="2160"/>
            <w:shd w:fill="FFFFFF"/>
            <w:tcMar>
              <w:top w:w="100" w:type="dxa"/>
              <w:bottom w:w="100" w:type="dxa"/>
              <w:left w:w="140" w:type="dxa"/>
              <w:right w:w="140" w:type="dxa"/>
            </w:tcMar>
          </w:tcPr>
          <w:p>
            <w:pPr>
              <w:spacing w:before="40" w:after="40" w:line="276" w:lineRule="auto"/>
            </w:pPr>
            <w:r>
              <w:rPr>
                <w:rFonts w:ascii="Arial" w:hAnsi="Arial"/>
                <w:color w:val="2D3748"/>
                <w:sz w:val="18"/>
              </w:rPr>
              <w:t>Formularios de cliente / Texto plano</w:t>
            </w:r>
          </w:p>
        </w:tc>
        <w:tc>
          <w:tcPr>
            <w:tcW w:type="dxa" w:w="3312"/>
            <w:shd w:fill="FFFFFF"/>
            <w:tcMar>
              <w:top w:w="100" w:type="dxa"/>
              <w:bottom w:w="100" w:type="dxa"/>
              <w:left w:w="140" w:type="dxa"/>
              <w:right w:w="140" w:type="dxa"/>
            </w:tcMar>
          </w:tcPr>
          <w:p>
            <w:pPr>
              <w:spacing w:before="40" w:after="40" w:line="276" w:lineRule="auto"/>
            </w:pPr>
            <w:r>
              <w:rPr>
                <w:rFonts w:ascii="Arial" w:hAnsi="Arial"/>
                <w:color w:val="2D3748"/>
                <w:sz w:val="18"/>
              </w:rPr>
              <w:t>Percepción de fortalezas, debilidades, amenazas de mercado y factores regulatorios externos.</w:t>
            </w:r>
          </w:p>
        </w:tc>
        <w:tc>
          <w:tcPr>
            <w:tcW w:type="dxa" w:w="1728"/>
            <w:shd w:fill="FFFFFF"/>
            <w:tcMar>
              <w:top w:w="100" w:type="dxa"/>
              <w:bottom w:w="100" w:type="dxa"/>
              <w:left w:w="140" w:type="dxa"/>
              <w:right w:w="140" w:type="dxa"/>
            </w:tcMar>
          </w:tcPr>
          <w:p>
            <w:pPr>
              <w:spacing w:before="40" w:after="40" w:line="276" w:lineRule="auto"/>
            </w:pPr>
            <w:r>
              <w:rPr>
                <w:rFonts w:ascii="Arial" w:hAnsi="Arial"/>
                <w:color w:val="2D3748"/>
                <w:sz w:val="18"/>
              </w:rPr>
              <w:t>{source: 'Cuestionario_Levantamiento.json', fase: 'estrategia'}</w:t>
            </w:r>
          </w:p>
        </w:tc>
      </w:tr>
      <w:tr>
        <w:tc>
          <w:tcPr>
            <w:tcW w:type="dxa" w:w="2160"/>
            <w:shd w:fill="F8FAFC"/>
            <w:tcMar>
              <w:top w:w="100" w:type="dxa"/>
              <w:bottom w:w="100" w:type="dxa"/>
              <w:left w:w="140" w:type="dxa"/>
              <w:right w:w="140" w:type="dxa"/>
            </w:tcMar>
          </w:tcPr>
          <w:p>
            <w:pPr>
              <w:spacing w:before="40" w:after="40" w:line="276" w:lineRule="auto"/>
            </w:pPr>
            <w:r>
              <w:rPr>
                <w:rFonts w:ascii="Arial" w:hAnsi="Arial"/>
                <w:color w:val="2D3748"/>
                <w:sz w:val="18"/>
              </w:rPr>
              <w:t>Evidencias Documentales de Apoyo</w:t>
            </w:r>
          </w:p>
        </w:tc>
        <w:tc>
          <w:tcPr>
            <w:tcW w:type="dxa" w:w="2160"/>
            <w:shd w:fill="F8FAFC"/>
            <w:tcMar>
              <w:top w:w="100" w:type="dxa"/>
              <w:bottom w:w="100" w:type="dxa"/>
              <w:left w:w="140" w:type="dxa"/>
              <w:right w:w="140" w:type="dxa"/>
            </w:tcMar>
          </w:tcPr>
          <w:p>
            <w:pPr>
              <w:spacing w:before="40" w:after="40" w:line="276" w:lineRule="auto"/>
            </w:pPr>
            <w:r>
              <w:rPr>
                <w:rFonts w:ascii="Arial" w:hAnsi="Arial"/>
                <w:color w:val="2D3748"/>
                <w:sz w:val="18"/>
              </w:rPr>
              <w:t>PDFs de políticas / SLA corporativo</w:t>
            </w:r>
          </w:p>
        </w:tc>
        <w:tc>
          <w:tcPr>
            <w:tcW w:type="dxa" w:w="3312"/>
            <w:shd w:fill="F8FAFC"/>
            <w:tcMar>
              <w:top w:w="100" w:type="dxa"/>
              <w:bottom w:w="100" w:type="dxa"/>
              <w:left w:w="140" w:type="dxa"/>
              <w:right w:w="140" w:type="dxa"/>
            </w:tcMar>
          </w:tcPr>
          <w:p>
            <w:pPr>
              <w:spacing w:before="40" w:after="40" w:line="276" w:lineRule="auto"/>
            </w:pPr>
            <w:r>
              <w:rPr>
                <w:rFonts w:ascii="Arial" w:hAnsi="Arial"/>
                <w:color w:val="2D3748"/>
                <w:sz w:val="18"/>
              </w:rPr>
              <w:t>Tiempos máximos de respuesta, metas de disponibilidad (99.9%) y normativas legales sectoriales.</w:t>
            </w:r>
          </w:p>
        </w:tc>
        <w:tc>
          <w:tcPr>
            <w:tcW w:type="dxa" w:w="1728"/>
            <w:shd w:fill="F8FAFC"/>
            <w:tcMar>
              <w:top w:w="100" w:type="dxa"/>
              <w:bottom w:w="100" w:type="dxa"/>
              <w:left w:w="140" w:type="dxa"/>
              <w:right w:w="140" w:type="dxa"/>
            </w:tcMar>
          </w:tcPr>
          <w:p>
            <w:pPr>
              <w:spacing w:before="40" w:after="40" w:line="276" w:lineRule="auto"/>
            </w:pPr>
            <w:r>
              <w:rPr>
                <w:rFonts w:ascii="Arial" w:hAnsi="Arial"/>
                <w:color w:val="2D3748"/>
                <w:sz w:val="18"/>
              </w:rPr>
              <w:t>{source: 'Anexo_SLA_Seguridad.pdf', fase: 'evidencia'}</w:t>
            </w:r>
          </w:p>
        </w:tc>
      </w:tr>
    </w:tbl>
    <w:p/>
    <w:p>
      <w:r>
        <w:t>Durante la fase de ingesta, cada fuente documental es transformada en una colección de instancias Document de LangChain, garantizando que el texto útil viaje permanentemente vinculado a sus atributos de origen (archivo, número de página y fase). Esto permite que cualquier respuesta emitida por el modelo RAG cite con certeza el documento sustentatorio.</w:t>
      </w:r>
    </w:p>
    <w:p>
      <w:pPr>
        <w:pStyle w:val="Heading1"/>
        <w:spacing w:before="320" w:after="120"/>
      </w:pPr>
      <w:r>
        <w:t>4. Solución propuesta y arquitectura</w:t>
      </w:r>
    </w:p>
    <w:p>
      <w:r>
        <w:t>La solución propuesta articula una arquitectura modular desacoplada en tres subsistemas funcionales, diseñada para transformar insumos desestructurados en artefactos formales de ingeniería de software y decisiones financieras verificables. La arquitectura se encuentra formalizada en los archivos docs/01_arquitectura_kickoffagent.drawio y docs/02_flujo_kickoffagent.drawio.</w:t>
      </w:r>
    </w:p>
    <w:p>
      <w:pPr>
        <w:pStyle w:val="Heading2"/>
      </w:pPr>
      <w:r>
        <w:t>4.1. Módulos del Sistema y Responsabilidades</w:t>
      </w:r>
    </w:p>
    <w:tbl>
      <w:tblPr>
        <w:tblW w:type="auto" w:w="0"/>
        <w:jc w:val="center"/>
        <w:tblLayout w:type="fixed"/>
        <w:tblLook w:firstColumn="1" w:firstRow="1" w:lastColumn="0" w:lastRow="0" w:noHBand="0" w:noVBand="1" w:val="04A0"/>
        <w:tblBorders>
          <w:top w:val="single" w:sz="6" w:space="0" w:color="CBD5E0"/>
          <w:left w:val="none"/>
          <w:bottom w:val="single" w:sz="6" w:space="0" w:color="CBD5E0"/>
          <w:right w:val="none"/>
          <w:insideH w:val="single" w:sz="6" w:space="0" w:color="CBD5E0"/>
          <w:insideV w:val="none"/>
        </w:tblBorders>
      </w:tblPr>
      <w:tblGrid>
        <w:gridCol w:w="2340"/>
        <w:gridCol w:w="2340"/>
        <w:gridCol w:w="2340"/>
        <w:gridCol w:w="2340"/>
      </w:tblGrid>
      <w:tr>
        <w:tc>
          <w:tcPr>
            <w:tcW w:type="dxa" w:w="2160"/>
            <w:shd w:fill="1B365D"/>
            <w:tcMar>
              <w:top w:w="140" w:type="dxa"/>
              <w:bottom w:w="140" w:type="dxa"/>
              <w:left w:w="140" w:type="dxa"/>
              <w:right w:w="140" w:type="dxa"/>
            </w:tcMar>
          </w:tcPr>
          <w:p>
            <w:pPr>
              <w:spacing w:before="40" w:after="40"/>
            </w:pPr>
            <w:r>
              <w:rPr>
                <w:rFonts w:ascii="Arial" w:hAnsi="Arial"/>
                <w:b/>
                <w:color w:val="FFFFFF"/>
                <w:sz w:val="19"/>
              </w:rPr>
              <w:t>Módulo Arquitectónico</w:t>
            </w:r>
          </w:p>
        </w:tc>
        <w:tc>
          <w:tcPr>
            <w:tcW w:type="dxa" w:w="2880"/>
            <w:shd w:fill="1B365D"/>
            <w:tcMar>
              <w:top w:w="140" w:type="dxa"/>
              <w:bottom w:w="140" w:type="dxa"/>
              <w:left w:w="140" w:type="dxa"/>
              <w:right w:w="140" w:type="dxa"/>
            </w:tcMar>
          </w:tcPr>
          <w:p>
            <w:pPr>
              <w:spacing w:before="40" w:after="40"/>
            </w:pPr>
            <w:r>
              <w:rPr>
                <w:rFonts w:ascii="Arial" w:hAnsi="Arial"/>
                <w:b/>
                <w:color w:val="FFFFFF"/>
                <w:sz w:val="19"/>
              </w:rPr>
              <w:t>Componentes Principales</w:t>
            </w:r>
          </w:p>
        </w:tc>
        <w:tc>
          <w:tcPr>
            <w:tcW w:type="dxa" w:w="2880"/>
            <w:shd w:fill="1B365D"/>
            <w:tcMar>
              <w:top w:w="140" w:type="dxa"/>
              <w:bottom w:w="140" w:type="dxa"/>
              <w:left w:w="140" w:type="dxa"/>
              <w:right w:w="140" w:type="dxa"/>
            </w:tcMar>
          </w:tcPr>
          <w:p>
            <w:pPr>
              <w:spacing w:before="40" w:after="40"/>
            </w:pPr>
            <w:r>
              <w:rPr>
                <w:rFonts w:ascii="Arial" w:hAnsi="Arial"/>
                <w:b/>
                <w:color w:val="FFFFFF"/>
                <w:sz w:val="19"/>
              </w:rPr>
              <w:t>Entradas / Salidas</w:t>
            </w:r>
          </w:p>
        </w:tc>
        <w:tc>
          <w:tcPr>
            <w:tcW w:type="dxa" w:w="1440"/>
            <w:shd w:fill="1B365D"/>
            <w:tcMar>
              <w:top w:w="140" w:type="dxa"/>
              <w:bottom w:w="140" w:type="dxa"/>
              <w:left w:w="140" w:type="dxa"/>
              <w:right w:w="140" w:type="dxa"/>
            </w:tcMar>
          </w:tcPr>
          <w:p>
            <w:pPr>
              <w:spacing w:before="40" w:after="40"/>
            </w:pPr>
            <w:r>
              <w:rPr>
                <w:rFonts w:ascii="Arial" w:hAnsi="Arial"/>
                <w:b/>
                <w:color w:val="FFFFFF"/>
                <w:sz w:val="19"/>
              </w:rPr>
              <w:t>Color Visual Draw.io</w:t>
            </w:r>
          </w:p>
        </w:tc>
      </w:tr>
      <w:tr>
        <w:tc>
          <w:tcPr>
            <w:tcW w:type="dxa" w:w="2160"/>
            <w:shd w:fill="FFFFFF"/>
            <w:tcMar>
              <w:top w:w="100" w:type="dxa"/>
              <w:bottom w:w="100" w:type="dxa"/>
              <w:left w:w="140" w:type="dxa"/>
              <w:right w:w="140" w:type="dxa"/>
            </w:tcMar>
          </w:tcPr>
          <w:p>
            <w:pPr>
              <w:spacing w:before="40" w:after="40" w:line="276" w:lineRule="auto"/>
            </w:pPr>
            <w:r>
              <w:rPr>
                <w:rFonts w:ascii="Arial" w:hAnsi="Arial"/>
                <w:color w:val="2D3748"/>
                <w:sz w:val="18"/>
              </w:rPr>
              <w:t>Módulo 1: Agente de Levantamiento Estratégico</w:t>
            </w:r>
          </w:p>
        </w:tc>
        <w:tc>
          <w:tcPr>
            <w:tcW w:type="dxa" w:w="2880"/>
            <w:shd w:fill="FFFFFF"/>
            <w:tcMar>
              <w:top w:w="100" w:type="dxa"/>
              <w:bottom w:w="100" w:type="dxa"/>
              <w:left w:w="140" w:type="dxa"/>
              <w:right w:w="140" w:type="dxa"/>
            </w:tcMar>
          </w:tcPr>
          <w:p>
            <w:pPr>
              <w:spacing w:before="40" w:after="40" w:line="276" w:lineRule="auto"/>
            </w:pPr>
            <w:r>
              <w:rPr>
                <w:rFonts w:ascii="Arial" w:hAnsi="Arial"/>
                <w:color w:val="2D3748"/>
                <w:sz w:val="18"/>
              </w:rPr>
              <w:t>• Síntesis FODA &amp; PESTEL (Prompt 00A)</w:t>
              <w:br/>
              <w:t>• Clasificador de Evidencia (Prompt 00B)</w:t>
              <w:br/>
              <w:t>• Generador de Documento de Antecedentes y Necesidades</w:t>
            </w:r>
          </w:p>
        </w:tc>
        <w:tc>
          <w:tcPr>
            <w:tcW w:type="dxa" w:w="2880"/>
            <w:shd w:fill="FFFFFF"/>
            <w:tcMar>
              <w:top w:w="100" w:type="dxa"/>
              <w:bottom w:w="100" w:type="dxa"/>
              <w:left w:w="140" w:type="dxa"/>
              <w:right w:w="140" w:type="dxa"/>
            </w:tcMar>
          </w:tcPr>
          <w:p>
            <w:pPr>
              <w:spacing w:before="40" w:after="40" w:line="276" w:lineRule="auto"/>
            </w:pPr>
            <w:r>
              <w:rPr>
                <w:rFonts w:ascii="Arial" w:hAnsi="Arial"/>
                <w:color w:val="2D3748"/>
                <w:sz w:val="18"/>
              </w:rPr>
              <w:t>Input: Cuestionario + Evidencias.</w:t>
              <w:br/>
              <w:t>Output: Documento estructurado Antecedentes &amp; Necesidades.</w:t>
            </w:r>
          </w:p>
        </w:tc>
        <w:tc>
          <w:tcPr>
            <w:tcW w:type="dxa" w:w="1440"/>
            <w:shd w:fill="FFFFFF"/>
            <w:tcMar>
              <w:top w:w="100" w:type="dxa"/>
              <w:bottom w:w="100" w:type="dxa"/>
              <w:left w:w="140" w:type="dxa"/>
              <w:right w:w="140" w:type="dxa"/>
            </w:tcMar>
          </w:tcPr>
          <w:p>
            <w:pPr>
              <w:spacing w:before="40" w:after="40" w:line="276" w:lineRule="auto"/>
            </w:pPr>
            <w:r>
              <w:rPr>
                <w:rFonts w:ascii="Arial" w:hAnsi="Arial"/>
                <w:color w:val="2D3748"/>
                <w:sz w:val="18"/>
              </w:rPr>
              <w:t>Verde Menta (#B7E4DC / #9FE1CB)</w:t>
            </w:r>
          </w:p>
        </w:tc>
      </w:tr>
      <w:tr>
        <w:tc>
          <w:tcPr>
            <w:tcW w:type="dxa" w:w="2160"/>
            <w:shd w:fill="F8FAFC"/>
            <w:tcMar>
              <w:top w:w="100" w:type="dxa"/>
              <w:bottom w:w="100" w:type="dxa"/>
              <w:left w:w="140" w:type="dxa"/>
              <w:right w:w="140" w:type="dxa"/>
            </w:tcMar>
          </w:tcPr>
          <w:p>
            <w:pPr>
              <w:spacing w:before="40" w:after="40" w:line="276" w:lineRule="auto"/>
            </w:pPr>
            <w:r>
              <w:rPr>
                <w:rFonts w:ascii="Arial" w:hAnsi="Arial"/>
                <w:color w:val="2D3748"/>
                <w:sz w:val="18"/>
              </w:rPr>
              <w:t>Módulo 2: Agente de Backlog y Planificación Ágil</w:t>
            </w:r>
          </w:p>
        </w:tc>
        <w:tc>
          <w:tcPr>
            <w:tcW w:type="dxa" w:w="2880"/>
            <w:shd w:fill="F8FAFC"/>
            <w:tcMar>
              <w:top w:w="100" w:type="dxa"/>
              <w:bottom w:w="100" w:type="dxa"/>
              <w:left w:w="140" w:type="dxa"/>
              <w:right w:w="140" w:type="dxa"/>
            </w:tcMar>
          </w:tcPr>
          <w:p>
            <w:pPr>
              <w:spacing w:before="40" w:after="40" w:line="276" w:lineRule="auto"/>
            </w:pPr>
            <w:r>
              <w:rPr>
                <w:rFonts w:ascii="Arial" w:hAnsi="Arial"/>
                <w:color w:val="2D3748"/>
                <w:sz w:val="18"/>
              </w:rPr>
              <w:t>• Extractor de Requerimientos IEEE 830 (Prompt 01)</w:t>
              <w:br/>
              <w:t>• Generador de Backlog Épicas-&gt;Historias-&gt;Sprints (Prompt 02)</w:t>
              <w:br/>
              <w:t>• Persistencia en Tablero de Gestión Ágil</w:t>
            </w:r>
          </w:p>
        </w:tc>
        <w:tc>
          <w:tcPr>
            <w:tcW w:type="dxa" w:w="2880"/>
            <w:shd w:fill="F8FAFC"/>
            <w:tcMar>
              <w:top w:w="100" w:type="dxa"/>
              <w:bottom w:w="100" w:type="dxa"/>
              <w:left w:w="140" w:type="dxa"/>
              <w:right w:w="140" w:type="dxa"/>
            </w:tcMar>
          </w:tcPr>
          <w:p>
            <w:pPr>
              <w:spacing w:before="40" w:after="40" w:line="276" w:lineRule="auto"/>
            </w:pPr>
            <w:r>
              <w:rPr>
                <w:rFonts w:ascii="Arial" w:hAnsi="Arial"/>
                <w:color w:val="2D3748"/>
                <w:sz w:val="18"/>
              </w:rPr>
              <w:t>Input: Doc Antecedentes &amp; Necesidades.</w:t>
              <w:br/>
              <w:t>Output: Backlog formalizado, Fibonacci, asignación de Sprints.</w:t>
            </w:r>
          </w:p>
        </w:tc>
        <w:tc>
          <w:tcPr>
            <w:tcW w:type="dxa" w:w="1440"/>
            <w:shd w:fill="F8FAFC"/>
            <w:tcMar>
              <w:top w:w="100" w:type="dxa"/>
              <w:bottom w:w="100" w:type="dxa"/>
              <w:left w:w="140" w:type="dxa"/>
              <w:right w:w="140" w:type="dxa"/>
            </w:tcMar>
          </w:tcPr>
          <w:p>
            <w:pPr>
              <w:spacing w:before="40" w:after="40" w:line="276" w:lineRule="auto"/>
            </w:pPr>
            <w:r>
              <w:rPr>
                <w:rFonts w:ascii="Arial" w:hAnsi="Arial"/>
                <w:color w:val="2D3748"/>
                <w:sz w:val="18"/>
              </w:rPr>
              <w:t>Verde Menta (#B7E4DC) / Morado (#8B5CF6)</w:t>
            </w:r>
          </w:p>
        </w:tc>
      </w:tr>
      <w:tr>
        <w:tc>
          <w:tcPr>
            <w:tcW w:type="dxa" w:w="2160"/>
            <w:shd w:fill="FFFFFF"/>
            <w:tcMar>
              <w:top w:w="100" w:type="dxa"/>
              <w:bottom w:w="100" w:type="dxa"/>
              <w:left w:w="140" w:type="dxa"/>
              <w:right w:w="140" w:type="dxa"/>
            </w:tcMar>
          </w:tcPr>
          <w:p>
            <w:pPr>
              <w:spacing w:before="40" w:after="40" w:line="276" w:lineRule="auto"/>
            </w:pPr>
            <w:r>
              <w:rPr>
                <w:rFonts w:ascii="Arial" w:hAnsi="Arial"/>
                <w:color w:val="2D3748"/>
                <w:sz w:val="18"/>
              </w:rPr>
              <w:t>Módulo 3: Módulo RAG y Orquestación Conversacional</w:t>
            </w:r>
          </w:p>
        </w:tc>
        <w:tc>
          <w:tcPr>
            <w:tcW w:type="dxa" w:w="2880"/>
            <w:shd w:fill="FFFFFF"/>
            <w:tcMar>
              <w:top w:w="100" w:type="dxa"/>
              <w:bottom w:w="100" w:type="dxa"/>
              <w:left w:w="140" w:type="dxa"/>
              <w:right w:w="140" w:type="dxa"/>
            </w:tcMar>
          </w:tcPr>
          <w:p>
            <w:pPr>
              <w:spacing w:before="40" w:after="40" w:line="276" w:lineRule="auto"/>
            </w:pPr>
            <w:r>
              <w:rPr>
                <w:rFonts w:ascii="Arial" w:hAnsi="Arial"/>
                <w:color w:val="2D3748"/>
                <w:sz w:val="18"/>
              </w:rPr>
              <w:t>• Orquestador LangGraph con Groq LPU (qwen/qwen3.8-27b)</w:t>
              <w:br/>
              <w:t>• Motor Vectorial ChromaDB + FastEmbed</w:t>
              <w:br/>
              <w:t>• Tool Calling Financiero (numpy-financial)</w:t>
              <w:br/>
              <w:t>• Evaluador de Fidelidad de Respuesta</w:t>
            </w:r>
          </w:p>
        </w:tc>
        <w:tc>
          <w:tcPr>
            <w:tcW w:type="dxa" w:w="2880"/>
            <w:shd w:fill="FFFFFF"/>
            <w:tcMar>
              <w:top w:w="100" w:type="dxa"/>
              <w:bottom w:w="100" w:type="dxa"/>
              <w:left w:w="140" w:type="dxa"/>
              <w:right w:w="140" w:type="dxa"/>
            </w:tcMar>
          </w:tcPr>
          <w:p>
            <w:pPr>
              <w:spacing w:before="40" w:after="40" w:line="276" w:lineRule="auto"/>
            </w:pPr>
            <w:r>
              <w:rPr>
                <w:rFonts w:ascii="Arial" w:hAnsi="Arial"/>
                <w:color w:val="2D3748"/>
                <w:sz w:val="18"/>
              </w:rPr>
              <w:t>Input: Consultas del consultor en lenguaje natural.</w:t>
              <w:br/>
              <w:t>Output: Respuestas grounded con citas y dictamen financiero.</w:t>
            </w:r>
          </w:p>
        </w:tc>
        <w:tc>
          <w:tcPr>
            <w:tcW w:type="dxa" w:w="1440"/>
            <w:shd w:fill="FFFFFF"/>
            <w:tcMar>
              <w:top w:w="100" w:type="dxa"/>
              <w:bottom w:w="100" w:type="dxa"/>
              <w:left w:w="140" w:type="dxa"/>
              <w:right w:w="140" w:type="dxa"/>
            </w:tcMar>
          </w:tcPr>
          <w:p>
            <w:pPr>
              <w:spacing w:before="40" w:after="40" w:line="276" w:lineRule="auto"/>
            </w:pPr>
            <w:r>
              <w:rPr>
                <w:rFonts w:ascii="Arial" w:hAnsi="Arial"/>
                <w:color w:val="2D3748"/>
                <w:sz w:val="18"/>
              </w:rPr>
              <w:t>Verde Menta (#B7E4DC) / Azul (#5B8DEF)</w:t>
            </w:r>
          </w:p>
        </w:tc>
      </w:tr>
    </w:tbl>
    <w:p/>
    <w:p>
      <w:pPr>
        <w:pStyle w:val="Heading2"/>
      </w:pPr>
      <w:r>
        <w:t>4.2. Diagrama Estructural de Integración de la Solución</w:t>
      </w:r>
    </w:p>
    <w:p>
      <w:r>
        <w:t>El siguiente diagrama de bloques refleja la integración entre los tres módulos. Las flechas continuas azules representan el flujo de transformación de datos principal, mientras que las líneas moradas punteadas denotan el bus de indexación de conocimiento, mediante el cual los análisis estratégicos y backlogs generados se indexan automáticamente en el almacén vectorial ChromaDB para enriquecer las consultas interactivas del consultor:</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E2E8F0"/>
              <w:left w:val="single" w:sz="6" w:space="0" w:color="E2E8F0"/>
              <w:bottom w:val="single" w:sz="6" w:space="0" w:color="E2E8F0"/>
              <w:right w:val="single" w:sz="6" w:space="0" w:color="E2E8F0"/>
            </w:tcBorders>
          </w:tcPr>
          <w:p>
            <w:pPr>
              <w:spacing w:before="40" w:after="80"/>
            </w:pPr>
            <w:r>
              <w:rPr>
                <w:rFonts w:ascii="Consolas" w:hAnsi="Consolas"/>
                <w:b/>
                <w:color w:val="718096"/>
                <w:sz w:val="17"/>
              </w:rPr>
              <w:t>/// BLOQUE: ARQUITECTURA DE INTEGRACIÓN — KICKOFFAGENT</w:t>
              <w:br/>
            </w:r>
            <w:r>
              <w:rPr>
                <w:rFonts w:ascii="Consolas" w:hAnsi="Consolas"/>
                <w:color w:val="1A202C"/>
                <w:sz w:val="17"/>
              </w:rPr>
              <w:t>+-------------------------------------------------------------------------------------------------------------+</w:t>
              <w:br/>
              <w:t>|                                ARQUITECTURA DE SOLUCIÓN — KICKOFFAGENT                                      |</w:t>
              <w:br/>
              <w:t>+-------------------------------------------------------------------------------------------------------------+</w:t>
              <w:br/>
              <w:br/>
              <w:t xml:space="preserve"> [STAKEHOLDER / CLIENTE: Cuestionario de Levantamiento + Archivos de Evidencia PDF]</w:t>
              <w:br/>
              <w:t xml:space="preserve">              │</w:t>
              <w:br/>
              <w:t xml:space="preserve">              ▼ (Flujo Principal de Transformación - Flechas Azules #5B8DEF)</w:t>
              <w:br/>
              <w:t xml:space="preserve"> +───────────────────────────────────────────────────────────────────────────+</w:t>
              <w:br/>
              <w:t xml:space="preserve"> │ MÓDULO 1: AGENTE DE LEVANTAMIENTO ESTRATÉGICO                             │</w:t>
              <w:br/>
              <w:t xml:space="preserve"> │   ├── Prompt 00A: Extracción y Síntesis FODA / PESTEL                     │</w:t>
              <w:br/>
              <w:t xml:space="preserve"> │   ├── Prompt 00B: Clasificador de Evidencias de Apoyo                     │</w:t>
              <w:br/>
              <w:t xml:space="preserve"> │   └── Generación de Documento Consolidado: Antecedentes y Necesidades     │</w:t>
              <w:br/>
              <w:t xml:space="preserve"> +─────────────────────────────────────┬─────────────────────────────────────+</w:t>
              <w:br/>
              <w:t xml:space="preserve">                                       │</w:t>
              <w:br/>
              <w:t xml:space="preserve">                                       ├ - - - - - - - - - - - - - - - - - - - - - - - - - - - - - - - -┐</w:t>
              <w:br/>
              <w:t xml:space="preserve">                                       ▼                                                                 │ (Indexación</w:t>
              <w:br/>
              <w:t xml:space="preserve"> +───────────────────────────────────────────────────────────────────────────+                           │  Semántica</w:t>
              <w:br/>
              <w:t xml:space="preserve"> │ MÓDULO 2: AGENTE DE BACKLOG Y PLANIFICACIÓN ÁGIL                          │                           │  Punteada</w:t>
              <w:br/>
              <w:t xml:space="preserve"> │   ├── Prompt 01: Extracción de Requerimientos Funcionales/No Funcionales  │                           │  Morado</w:t>
              <w:br/>
              <w:t xml:space="preserve"> │   ├── Prompt 02: Desglose Épicas -&gt; Historias (BDD) -&gt; Sprints (Fibonacci)│                           │  #8B5CF6)</w:t>
              <w:br/>
              <w:t xml:space="preserve"> │   └── Persistencia y Formalización en Tablero Ágil                        │                           │</w:t>
              <w:br/>
              <w:t xml:space="preserve"> +─────────────────────────────────────┬─────────────────────────────────────+                           │</w:t>
              <w:br/>
              <w:t xml:space="preserve">                                       │                                                                 │</w:t>
              <w:br/>
              <w:t xml:space="preserve">                                       ├ - - - - - - - - - - - - - - - - - - - - - - - - - - - - - - - -┤</w:t>
              <w:br/>
              <w:t xml:space="preserve">                                       ▼                                                                 │</w:t>
              <w:br/>
              <w:t xml:space="preserve"> +────────────────────────────────────────────────────────────────────────────────────────────────────+  │</w:t>
              <w:br/>
              <w:t xml:space="preserve"> │ MÓDULO 3: MÓDULO RAG Y ORQUESTACIÓN CONVERSACIONAL                                                 │  │</w:t>
              <w:br/>
              <w:t xml:space="preserve"> │                                                                                                    │  │</w:t>
              <w:br/>
              <w:t xml:space="preserve"> │   +─────────────────────────────────────────+          +─────────────────────────────────────────+ │  │</w:t>
              <w:br/>
              <w:t xml:space="preserve"> │   │ ALMACÉN VECTORIAL (ChromaDB Persistente)│ ◄- - - - ┤ CHUNKS INDEXADOS: Actas, FODA, Backlog  │ ◄-─┘</w:t>
              <w:br/>
              <w:t xml:space="preserve"> │   │ FastEmbed BAAI/bge-small-en-v1.5        │          +─────────────────────────────────────────+ │</w:t>
              <w:br/>
              <w:t xml:space="preserve"> │   +────────────────────┬────────────────────+                                                      │</w:t>
              <w:br/>
              <w:t xml:space="preserve"> │                        │ (Top-K=3 Fragmentos)                                                      │</w:t>
              <w:br/>
              <w:t xml:space="preserve"> │                        ▼                                                                           │</w:t>
              <w:br/>
              <w:t xml:space="preserve"> │   +─────────────────────────────────────────+          +─────────────────────────────────────────+ │</w:t>
              <w:br/>
              <w:t xml:space="preserve"> │   │ ORQUESTADOR AGÉNTICO (LangGraph)        │ ───────► │ TOOL DETERMINISTA FINANCIERA            │ │</w:t>
              <w:br/>
              <w:t xml:space="preserve"> │   │ Groq LPU (qwen/qwen3.8-27b)             │ ◄─────── │ numpy-financial (VAN, TIR, ROI, PRI)    │ │</w:t>
              <w:br/>
              <w:t xml:space="preserve"> │   +────────────────────┬────────────────────+          +─────────────────────────────────────────+ │</w:t>
              <w:br/>
              <w:t xml:space="preserve"> +────────────────────────┼───────────────────────────────────────────────────────────────────────────+</w:t>
              <w:br/>
              <w:t xml:space="preserve">                          │</w:t>
              <w:br/>
              <w:t xml:space="preserve">                          ▼</w:t>
              <w:br/>
              <w:t xml:space="preserve">            [CONSULTOR SENIOR: Consultas Interactivas con Citas y Dictamen de Viabilidad]</w:t>
            </w:r>
          </w:p>
        </w:tc>
      </w:tr>
    </w:tbl>
    <w:p/>
    <w:p>
      <w:pPr>
        <w:pStyle w:val="Heading2"/>
      </w:pPr>
      <w:r>
        <w:t>4.3. Flujo de Control End-to-End con Bifurcaciones y Retroalimentación</w:t>
      </w:r>
    </w:p>
    <w:p>
      <w:r>
        <w:t>El ciclo operacional de KickoffAgent (reflejado en docs/02_flujo_kickoffagent.drawio) integra compuertas de decisión condicional y un bucle de ajuste continuo:</w:t>
      </w:r>
    </w:p>
    <w:p>
      <w:pPr>
        <w:pStyle w:val="ListBullet"/>
      </w:pPr>
      <w:r>
        <w:rPr>
          <w:b/>
        </w:rPr>
        <w:t xml:space="preserve">Bifurcación de Evidencia: </w:t>
      </w:r>
      <w:r>
        <w:t>Tras la síntesis inicial FODA/PESTEL, el sistema evalúa si se suministraron anexos de soporte. De existir, se activa el Clasificador de Evidencia (00B) para alimentar el documento consolidado; de lo contrario, se continúa de forma directa.</w:t>
      </w:r>
    </w:p>
    <w:p>
      <w:pPr>
        <w:pStyle w:val="ListBullet"/>
      </w:pPr>
      <w:r>
        <w:rPr>
          <w:b/>
        </w:rPr>
        <w:t xml:space="preserve">Compuerta de Calidad de Requisitos y Loop de Ajuste: </w:t>
      </w:r>
      <w:r>
        <w:t>Al formalizar los requerimientos IEEE 830, si se detecta ambigüedad o falta de sustento en los antecedentes, el sistema dispara un bucle de retorno punteado solicitando al analista ajustar el cuestionario de levantamiento antes de descomponer el backlog.</w:t>
      </w:r>
    </w:p>
    <w:p>
      <w:pPr>
        <w:pStyle w:val="ListBullet"/>
      </w:pPr>
      <w:r>
        <w:rPr>
          <w:b/>
        </w:rPr>
        <w:t xml:space="preserve">Ruteo Inteligente de Herramientas: </w:t>
      </w:r>
      <w:r>
        <w:t>En la fase conversacional, el LLM clasifica la intención: si la consulta es técnica, invoca la recuperación RAG; si involucra inversión, ahorro o rentabilidad, invoca la herramienta financiera determinista.</w:t>
      </w:r>
    </w:p>
    <w:p>
      <w:pPr>
        <w:pStyle w:val="Heading1"/>
        <w:spacing w:before="320" w:after="120"/>
      </w:pPr>
      <w:r>
        <w:t>5. Prompts optimizados</w:t>
      </w:r>
    </w:p>
    <w:p>
      <w:r>
        <w:t>En KickoffAgent, la ingeniería de prompts se estructura bajo el principio de micro-responsabilidad encadenada. Cada prompt cuenta con un rol profesional explícito, directivas estrictas de no-alucinación y contratos de interfaz en JSON estricto para permitir la interoperabilidad programática a lo largo de todo el pipeline:</w:t>
      </w:r>
    </w:p>
    <w:p>
      <w:pPr>
        <w:pStyle w:val="Heading2"/>
      </w:pPr>
      <w:r>
        <w:t>5.1. Prompt 00A y 00B: Levantamiento FODA/PESTEL y Clasificador de Evidencia</w:t>
      </w:r>
    </w:p>
    <w:p>
      <w:r>
        <w:t>Ubicados en prompts/00_levantamiento_foda_pestel.md, estos prompts separan dos tareas cognitivas incompatibles: la síntesis global y la clasificación documental unitaria. El Prompt 00A extrae factores estratégicos en un esquema canónico, exigiendo arrays vacíos ante información no respaldada:</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E2E8F0"/>
              <w:left w:val="single" w:sz="6" w:space="0" w:color="E2E8F0"/>
              <w:bottom w:val="single" w:sz="6" w:space="0" w:color="E2E8F0"/>
              <w:right w:val="single" w:sz="6" w:space="0" w:color="E2E8F0"/>
            </w:tcBorders>
          </w:tcPr>
          <w:p>
            <w:pPr>
              <w:spacing w:before="40" w:after="80"/>
            </w:pPr>
            <w:r>
              <w:rPr>
                <w:rFonts w:ascii="Consolas" w:hAnsi="Consolas"/>
                <w:b/>
                <w:color w:val="718096"/>
                <w:sz w:val="17"/>
              </w:rPr>
              <w:t>/// BLOQUE: PROMPT 00A — EXTRACTOR FODA/PESTEL</w:t>
              <w:br/>
            </w:r>
            <w:r>
              <w:rPr>
                <w:rFonts w:ascii="Consolas" w:hAnsi="Consolas"/>
                <w:color w:val="1A202C"/>
                <w:sz w:val="17"/>
              </w:rPr>
              <w:t>SISTEMA:</w:t>
              <w:br/>
              <w:t>Eres un consultor estratégico senior especializado en levantamiento de proyectos TI para firmas de consultoría.</w:t>
              <w:br/>
              <w:t>Tu única tarea es analizar las respuestas del cuestionario de levantamiento que se te entrega y extraer información estructurada.</w:t>
              <w:br/>
              <w:br/>
              <w:t>REGLAS ESTRICTAS:</w:t>
              <w:br/>
              <w:t>1. Extrae ÚNICAMENTE información que esté explícitamente presente en el cuestionario. NO inventes, NO infieras, NO completes con conocimiento general.</w:t>
              <w:br/>
              <w:t>2. Si un campo no tiene sustento en el cuestionario, devuelve un array vacío [] para ese campo.</w:t>
              <w:br/>
              <w:t>3. Responde EXCLUSIVAMENTE con el objeto JSON indicado. Sin texto adicional, sin markdown, sin explicaciones.</w:t>
              <w:br/>
              <w:t>4. No normalices ni parafrasees en exceso: conserva el lenguaje del cliente siempre que sea posible.</w:t>
              <w:br/>
              <w:br/>
              <w:t>FORMATO DE SALIDA (JSON estricto):</w:t>
              <w:br/>
              <w:t>{</w:t>
              <w:br/>
              <w:t xml:space="preserve">  "foda": {"fortalezas": [], "oportunidades": [], "debilidades": [], "amenazas": []},</w:t>
              <w:br/>
              <w:t xml:space="preserve">  "pestel": {"politico": [], "economico": [], "social": [], "tecnologico": [], "ecologico": [], "legal": []},</w:t>
              <w:br/>
              <w:t xml:space="preserve">  "antecedentes": [],</w:t>
              <w:br/>
              <w:t xml:space="preserve">  "necesidades": []</w:t>
              <w:br/>
              <w:t>}</w:t>
            </w:r>
          </w:p>
        </w:tc>
      </w:tr>
    </w:tbl>
    <w:p/>
    <w:p>
      <w:r>
        <w:t>Por su parte, el Prompt 00B opera como un clasificador atómico sobre fragmentos recuperados por el RAG, categorizando cada fragmento de evidencia en una o varias dimensiones (FODA-, PESTEL-, Antecedentes, Necesidades u Otro). Esta modularidad permite paralelizar la catalogación de evidencia en lotes sin degradar la precisión del modelo.</w:t>
      </w:r>
    </w:p>
    <w:p>
      <w:pPr>
        <w:pStyle w:val="Heading2"/>
      </w:pPr>
      <w:r>
        <w:t>5.2. Prompt 01: Extracción de Requerimientos Funcionales y No Funcionales (IEEE 830)</w:t>
      </w:r>
    </w:p>
    <w:p>
      <w:r>
        <w:t>En prompts/01_extraccion_rf_rnf.md, el modelo adopta la figura de Analista Senior de Requerimientos. A partir del documento consolidado de antecedentes, extrae la problemática, objetivos del sistema, requerimientos funcionales (RF) y requerimientos no funcionales (RNF), asignando identificadores formales y criterios de verificación objetivos:</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E2E8F0"/>
              <w:left w:val="single" w:sz="6" w:space="0" w:color="E2E8F0"/>
              <w:bottom w:val="single" w:sz="6" w:space="0" w:color="E2E8F0"/>
              <w:right w:val="single" w:sz="6" w:space="0" w:color="E2E8F0"/>
            </w:tcBorders>
          </w:tcPr>
          <w:p>
            <w:pPr>
              <w:spacing w:before="40" w:after="80"/>
            </w:pPr>
            <w:r>
              <w:rPr>
                <w:rFonts w:ascii="Consolas" w:hAnsi="Consolas"/>
                <w:b/>
                <w:color w:val="718096"/>
                <w:sz w:val="17"/>
              </w:rPr>
              <w:t>/// BLOQUE: PROMPT 01 — REQUERIMIENTOS IEEE 830</w:t>
              <w:br/>
            </w:r>
            <w:r>
              <w:rPr>
                <w:rFonts w:ascii="Consolas" w:hAnsi="Consolas"/>
                <w:color w:val="1A202C"/>
                <w:sz w:val="17"/>
              </w:rPr>
              <w:t>SISTEMA:</w:t>
              <w:br/>
              <w:t>Eres un analista senior de requerimientos de software especializado en el estándar IEEE 830.</w:t>
              <w:br/>
              <w:t>Tu tarea es transformar el documento de antecedentes y necesidades del proyecto en una especificación estructurada de requerimientos.</w:t>
              <w:br/>
              <w:br/>
              <w:t>REGLAS ESTRICTAS:</w:t>
              <w:br/>
              <w:t>1. No inventes requerimientos que no estén sustentados en los antecedentes o necesidades provistas.</w:t>
              <w:br/>
              <w:t>2. Los requerimientos funcionales (RF) deben describir QUÉ debe hacer el sistema, no CÓMO implementarlo.</w:t>
              <w:br/>
              <w:t>3. Los requerimientos no funcionales (RNF) deben ser medibles o verificables (rendimiento, seguridad, disponibilidad, etc.).</w:t>
              <w:br/>
              <w:t>4. Responde EXCLUSIVAMENTE con el objeto JSON indicado.</w:t>
              <w:br/>
              <w:br/>
              <w:t>FORMATO DE SALIDA (JSON estricto):</w:t>
              <w:br/>
              <w:t>{</w:t>
              <w:br/>
              <w:t xml:space="preserve">  "problematica": "&lt;descripción del problema de negocio&gt;",</w:t>
              <w:br/>
              <w:t xml:space="preserve">  "objetivos": ["&lt;objetivo 1&gt;", "&lt;objetivo 2&gt;"],</w:t>
              <w:br/>
              <w:t xml:space="preserve">  "requerimientos_funcionales": [</w:t>
              <w:br/>
              <w:t xml:space="preserve">    {"id": "RF-01", "nombre": "...", "descripcion": "...", "prioridad": "Alta|Media|Baja", "criterio_verificacion": "..."}</w:t>
              <w:br/>
              <w:t xml:space="preserve">  ],</w:t>
              <w:br/>
              <w:t xml:space="preserve">  "requerimientos_no_funcionales": [</w:t>
              <w:br/>
              <w:t xml:space="preserve">    {"id": "RNF-01", "tipo": "Seguridad|Rendimiento|Disponibilidad|...", "descripcion": "...", "metrica": "..."}</w:t>
              <w:br/>
              <w:t xml:space="preserve">  ]</w:t>
              <w:br/>
              <w:t>}</w:t>
            </w:r>
          </w:p>
        </w:tc>
      </w:tr>
    </w:tbl>
    <w:p/>
    <w:p>
      <w:pPr>
        <w:pStyle w:val="Heading2"/>
      </w:pPr>
      <w:r>
        <w:t>5.3. Prompt 02: Desagregación Ágil en Épicas, Historias y Sprints</w:t>
      </w:r>
    </w:p>
    <w:p>
      <w:r>
        <w:t>En prompts/02_generacion_backlog.md, el agente actúa bajo el rol de Product Owner y Agile Lead. Transforma cada RF formal en Historias de Usuario con la sintaxis 'Como [rol], quiero [acción], para [beneficio]', incorpora criterios de aceptación BDD (Given / When / Then), asigna puntos de historia mediante la escala de Fibonacci (1 a 13) y organiza la distribución del trabajo en sprints balanceados de dos semanas.</w:t>
      </w:r>
    </w:p>
    <w:p>
      <w:pPr>
        <w:pStyle w:val="Heading2"/>
      </w:pPr>
      <w:r>
        <w:t>5.4. Prompt 03 y System Prompt Operacional: Grounding y Rechazo Explícito</w:t>
      </w:r>
    </w:p>
    <w:p>
      <w:r>
        <w:t>Tanto en prompts/03_rag_respuesta.md como en el system_prompt embebido en kickoff_agent.py, se implementan las directivas que rigen la consulta interactiva con el consultor:</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E2E8F0"/>
              <w:left w:val="single" w:sz="6" w:space="0" w:color="E2E8F0"/>
              <w:bottom w:val="single" w:sz="6" w:space="0" w:color="E2E8F0"/>
              <w:right w:val="single" w:sz="6" w:space="0" w:color="E2E8F0"/>
            </w:tcBorders>
          </w:tcPr>
          <w:p>
            <w:pPr>
              <w:spacing w:before="40" w:after="80"/>
            </w:pPr>
            <w:r>
              <w:rPr>
                <w:rFonts w:ascii="Consolas" w:hAnsi="Consolas"/>
                <w:b/>
                <w:color w:val="718096"/>
                <w:sz w:val="17"/>
              </w:rPr>
              <w:t>/// BLOQUE: SYSTEM PROMPT OPERACIONAL</w:t>
              <w:br/>
            </w:r>
            <w:r>
              <w:rPr>
                <w:rFonts w:ascii="Consolas" w:hAnsi="Consolas"/>
                <w:color w:val="1A202C"/>
                <w:sz w:val="17"/>
              </w:rPr>
              <w:t>Eres 'KickoffAgent', un asistente senior de consultoría e ingeniería de software.</w:t>
              <w:br/>
              <w:t>Tu misión es guiar la planificación estratégica, viabilidad financiera y levantamiento de requerimientos bajo IEEE 830.</w:t>
              <w:br/>
              <w:br/>
              <w:t>REGLAS DE OPERACIÓN ESTRICTAS:</w:t>
              <w:br/>
              <w:t>1. Grounding y Citas: Responde basándote ÚNICAMENTE en los documentos recuperados mediante 'consultar_documentacion_proyecto'. Siempre cita el archivo de origen (ej: [Acta_Reunion_01.pdf]).</w:t>
              <w:br/>
              <w:t>2. Rigor Matemático: NUNCA calcules el VAN, TIR o flujos de caja manualmente. Siempre utiliza la herramienta 'calcular_metricas_financieras' extrayendo primero los datos necesarios.</w:t>
              <w:br/>
              <w:t>3. Formato de Salida:</w:t>
              <w:br/>
              <w:t xml:space="preserve">   - Para requerimientos: Estructura en formato IEEE 830 / Historias de Usuario (Como / Quiero / Para).</w:t>
              <w:br/>
              <w:t xml:space="preserve">   - Para finanzas: Entrega una tabla comparativa con VAN, TIR, ROI y la recomendación técnica formal.</w:t>
              <w:br/>
              <w:t>4. Respuesta de Rechazo: Si la documentación recuperada no contiene datos suficientes, responde formalmente indicando qué información falta en lugar de especular.</w:t>
            </w:r>
          </w:p>
        </w:tc>
      </w:tr>
    </w:tbl>
    <w:p/>
    <w:p>
      <w:pPr>
        <w:pStyle w:val="Heading1"/>
        <w:spacing w:before="320" w:after="120"/>
      </w:pPr>
      <w:r>
        <w:t>6. Pipeline RAG</w:t>
      </w:r>
    </w:p>
    <w:p>
      <w:r>
        <w:t>El pipeline de Generación Aumentada por Recuperación (RAG) de KickoffAgent fue diseñado con foco en la autonomía de ejecución local, evitando dependencias pesadas de GPU y garantizando la confidencialidad de la documentación técnica de clientes de consultoría.</w:t>
      </w:r>
    </w:p>
    <w:tbl>
      <w:tblPr>
        <w:tblW w:type="auto" w:w="0"/>
        <w:jc w:val="center"/>
        <w:tblLayout w:type="fixed"/>
        <w:tblLook w:firstColumn="1" w:firstRow="1" w:lastColumn="0" w:lastRow="0" w:noHBand="0" w:noVBand="1" w:val="04A0"/>
        <w:tblBorders>
          <w:top w:val="single" w:sz="6" w:space="0" w:color="CBD5E0"/>
          <w:left w:val="none"/>
          <w:bottom w:val="single" w:sz="6" w:space="0" w:color="CBD5E0"/>
          <w:right w:val="none"/>
          <w:insideH w:val="single" w:sz="6" w:space="0" w:color="CBD5E0"/>
          <w:insideV w:val="none"/>
        </w:tblBorders>
      </w:tblPr>
      <w:tblGrid>
        <w:gridCol w:w="2340"/>
        <w:gridCol w:w="2340"/>
        <w:gridCol w:w="2340"/>
        <w:gridCol w:w="2340"/>
      </w:tblGrid>
      <w:tr>
        <w:tc>
          <w:tcPr>
            <w:tcW w:type="dxa" w:w="2160"/>
            <w:shd w:fill="1B365D"/>
            <w:tcMar>
              <w:top w:w="140" w:type="dxa"/>
              <w:bottom w:w="140" w:type="dxa"/>
              <w:left w:w="140" w:type="dxa"/>
              <w:right w:w="140" w:type="dxa"/>
            </w:tcMar>
          </w:tcPr>
          <w:p>
            <w:pPr>
              <w:spacing w:before="40" w:after="40"/>
            </w:pPr>
            <w:r>
              <w:rPr>
                <w:rFonts w:ascii="Arial" w:hAnsi="Arial"/>
                <w:b/>
                <w:color w:val="FFFFFF"/>
                <w:sz w:val="19"/>
              </w:rPr>
              <w:t>Etapa del Pipeline</w:t>
            </w:r>
          </w:p>
        </w:tc>
        <w:tc>
          <w:tcPr>
            <w:tcW w:type="dxa" w:w="2592"/>
            <w:shd w:fill="1B365D"/>
            <w:tcMar>
              <w:top w:w="140" w:type="dxa"/>
              <w:bottom w:w="140" w:type="dxa"/>
              <w:left w:w="140" w:type="dxa"/>
              <w:right w:w="140" w:type="dxa"/>
            </w:tcMar>
          </w:tcPr>
          <w:p>
            <w:pPr>
              <w:spacing w:before="40" w:after="40"/>
            </w:pPr>
            <w:r>
              <w:rPr>
                <w:rFonts w:ascii="Arial" w:hAnsi="Arial"/>
                <w:b/>
                <w:color w:val="FFFFFF"/>
                <w:sz w:val="19"/>
              </w:rPr>
              <w:t>Tecnología / Parámetro</w:t>
            </w:r>
          </w:p>
        </w:tc>
        <w:tc>
          <w:tcPr>
            <w:tcW w:type="dxa" w:w="2448"/>
            <w:shd w:fill="1B365D"/>
            <w:tcMar>
              <w:top w:w="140" w:type="dxa"/>
              <w:bottom w:w="140" w:type="dxa"/>
              <w:left w:w="140" w:type="dxa"/>
              <w:right w:w="140" w:type="dxa"/>
            </w:tcMar>
          </w:tcPr>
          <w:p>
            <w:pPr>
              <w:spacing w:before="40" w:after="40"/>
            </w:pPr>
            <w:r>
              <w:rPr>
                <w:rFonts w:ascii="Arial" w:hAnsi="Arial"/>
                <w:b/>
                <w:color w:val="FFFFFF"/>
                <w:sz w:val="19"/>
              </w:rPr>
              <w:t>Configuración Aplicada</w:t>
            </w:r>
          </w:p>
        </w:tc>
        <w:tc>
          <w:tcPr>
            <w:tcW w:type="dxa" w:w="2160"/>
            <w:shd w:fill="1B365D"/>
            <w:tcMar>
              <w:top w:w="140" w:type="dxa"/>
              <w:bottom w:w="140" w:type="dxa"/>
              <w:left w:w="140" w:type="dxa"/>
              <w:right w:w="140" w:type="dxa"/>
            </w:tcMar>
          </w:tcPr>
          <w:p>
            <w:pPr>
              <w:spacing w:before="40" w:after="40"/>
            </w:pPr>
            <w:r>
              <w:rPr>
                <w:rFonts w:ascii="Arial" w:hAnsi="Arial"/>
                <w:b/>
                <w:color w:val="FFFFFF"/>
                <w:sz w:val="19"/>
              </w:rPr>
              <w:t>Propósito de Ingeniería</w:t>
            </w:r>
          </w:p>
        </w:tc>
      </w:tr>
      <w:tr>
        <w:tc>
          <w:tcPr>
            <w:tcW w:type="dxa" w:w="2160"/>
            <w:shd w:fill="FFFFFF"/>
            <w:tcMar>
              <w:top w:w="100" w:type="dxa"/>
              <w:bottom w:w="100" w:type="dxa"/>
              <w:left w:w="140" w:type="dxa"/>
              <w:right w:w="140" w:type="dxa"/>
            </w:tcMar>
          </w:tcPr>
          <w:p>
            <w:pPr>
              <w:spacing w:before="40" w:after="40" w:line="276" w:lineRule="auto"/>
            </w:pPr>
            <w:r>
              <w:rPr>
                <w:rFonts w:ascii="Arial" w:hAnsi="Arial"/>
                <w:color w:val="2D3748"/>
                <w:sz w:val="18"/>
              </w:rPr>
              <w:t>Carga Documental</w:t>
            </w:r>
          </w:p>
        </w:tc>
        <w:tc>
          <w:tcPr>
            <w:tcW w:type="dxa" w:w="2592"/>
            <w:shd w:fill="FFFFFF"/>
            <w:tcMar>
              <w:top w:w="100" w:type="dxa"/>
              <w:bottom w:w="100" w:type="dxa"/>
              <w:left w:w="140" w:type="dxa"/>
              <w:right w:w="140" w:type="dxa"/>
            </w:tcMar>
          </w:tcPr>
          <w:p>
            <w:pPr>
              <w:spacing w:before="40" w:after="40" w:line="276" w:lineRule="auto"/>
            </w:pPr>
            <w:r>
              <w:rPr>
                <w:rFonts w:ascii="Arial" w:hAnsi="Arial"/>
                <w:color w:val="2D3748"/>
                <w:sz w:val="18"/>
              </w:rPr>
              <w:t>PyPDFLoader / Document</w:t>
            </w:r>
          </w:p>
        </w:tc>
        <w:tc>
          <w:tcPr>
            <w:tcW w:type="dxa" w:w="2448"/>
            <w:shd w:fill="FFFFFF"/>
            <w:tcMar>
              <w:top w:w="100" w:type="dxa"/>
              <w:bottom w:w="100" w:type="dxa"/>
              <w:left w:w="140" w:type="dxa"/>
              <w:right w:w="140" w:type="dxa"/>
            </w:tcMar>
          </w:tcPr>
          <w:p>
            <w:pPr>
              <w:spacing w:before="40" w:after="40" w:line="276" w:lineRule="auto"/>
            </w:pPr>
            <w:r>
              <w:rPr>
                <w:rFonts w:ascii="Arial" w:hAnsi="Arial"/>
                <w:color w:val="2D3748"/>
                <w:sz w:val="18"/>
              </w:rPr>
              <w:t>Extracción de texto + metadata</w:t>
            </w:r>
          </w:p>
        </w:tc>
        <w:tc>
          <w:tcPr>
            <w:tcW w:type="dxa" w:w="2160"/>
            <w:shd w:fill="FFFFFF"/>
            <w:tcMar>
              <w:top w:w="100" w:type="dxa"/>
              <w:bottom w:w="100" w:type="dxa"/>
              <w:left w:w="140" w:type="dxa"/>
              <w:right w:w="140" w:type="dxa"/>
            </w:tcMar>
          </w:tcPr>
          <w:p>
            <w:pPr>
              <w:spacing w:before="40" w:after="40" w:line="276" w:lineRule="auto"/>
            </w:pPr>
            <w:r>
              <w:rPr>
                <w:rFonts w:ascii="Arial" w:hAnsi="Arial"/>
                <w:color w:val="2D3748"/>
                <w:sz w:val="18"/>
              </w:rPr>
              <w:t>Normalización de contenido y preservación de fuentes bibliográficas.</w:t>
            </w:r>
          </w:p>
        </w:tc>
      </w:tr>
      <w:tr>
        <w:tc>
          <w:tcPr>
            <w:tcW w:type="dxa" w:w="2160"/>
            <w:shd w:fill="F8FAFC"/>
            <w:tcMar>
              <w:top w:w="100" w:type="dxa"/>
              <w:bottom w:w="100" w:type="dxa"/>
              <w:left w:w="140" w:type="dxa"/>
              <w:right w:w="140" w:type="dxa"/>
            </w:tcMar>
          </w:tcPr>
          <w:p>
            <w:pPr>
              <w:spacing w:before="40" w:after="40" w:line="276" w:lineRule="auto"/>
            </w:pPr>
            <w:r>
              <w:rPr>
                <w:rFonts w:ascii="Arial" w:hAnsi="Arial"/>
                <w:color w:val="2D3748"/>
                <w:sz w:val="18"/>
              </w:rPr>
              <w:t>Chunking Jerárquico</w:t>
            </w:r>
          </w:p>
        </w:tc>
        <w:tc>
          <w:tcPr>
            <w:tcW w:type="dxa" w:w="2592"/>
            <w:shd w:fill="F8FAFC"/>
            <w:tcMar>
              <w:top w:w="100" w:type="dxa"/>
              <w:bottom w:w="100" w:type="dxa"/>
              <w:left w:w="140" w:type="dxa"/>
              <w:right w:w="140" w:type="dxa"/>
            </w:tcMar>
          </w:tcPr>
          <w:p>
            <w:pPr>
              <w:spacing w:before="40" w:after="40" w:line="276" w:lineRule="auto"/>
            </w:pPr>
            <w:r>
              <w:rPr>
                <w:rFonts w:ascii="Arial" w:hAnsi="Arial"/>
                <w:color w:val="2D3748"/>
                <w:sz w:val="18"/>
              </w:rPr>
              <w:t>RecursiveCharacterTextSplitter</w:t>
            </w:r>
          </w:p>
        </w:tc>
        <w:tc>
          <w:tcPr>
            <w:tcW w:type="dxa" w:w="2448"/>
            <w:shd w:fill="F8FAFC"/>
            <w:tcMar>
              <w:top w:w="100" w:type="dxa"/>
              <w:bottom w:w="100" w:type="dxa"/>
              <w:left w:w="140" w:type="dxa"/>
              <w:right w:w="140" w:type="dxa"/>
            </w:tcMar>
          </w:tcPr>
          <w:p>
            <w:pPr>
              <w:spacing w:before="40" w:after="40" w:line="276" w:lineRule="auto"/>
            </w:pPr>
            <w:r>
              <w:rPr>
                <w:rFonts w:ascii="Arial" w:hAnsi="Arial"/>
                <w:color w:val="2D3748"/>
                <w:sz w:val="18"/>
              </w:rPr>
              <w:t>chunk_size=700, overlap=120, separators=['\n## ', '\n\n', '\n', ' ']</w:t>
            </w:r>
          </w:p>
        </w:tc>
        <w:tc>
          <w:tcPr>
            <w:tcW w:type="dxa" w:w="2160"/>
            <w:shd w:fill="F8FAFC"/>
            <w:tcMar>
              <w:top w:w="100" w:type="dxa"/>
              <w:bottom w:w="100" w:type="dxa"/>
              <w:left w:w="140" w:type="dxa"/>
              <w:right w:w="140" w:type="dxa"/>
            </w:tcMar>
          </w:tcPr>
          <w:p>
            <w:pPr>
              <w:spacing w:before="40" w:after="40" w:line="276" w:lineRule="auto"/>
            </w:pPr>
            <w:r>
              <w:rPr>
                <w:rFonts w:ascii="Arial" w:hAnsi="Arial"/>
                <w:color w:val="2D3748"/>
                <w:sz w:val="18"/>
              </w:rPr>
              <w:t>Evita la mutilación de cláusulas IEEE 830 y preserva contexto entre bloques continuos.</w:t>
            </w:r>
          </w:p>
        </w:tc>
      </w:tr>
      <w:tr>
        <w:tc>
          <w:tcPr>
            <w:tcW w:type="dxa" w:w="2160"/>
            <w:shd w:fill="FFFFFF"/>
            <w:tcMar>
              <w:top w:w="100" w:type="dxa"/>
              <w:bottom w:w="100" w:type="dxa"/>
              <w:left w:w="140" w:type="dxa"/>
              <w:right w:w="140" w:type="dxa"/>
            </w:tcMar>
          </w:tcPr>
          <w:p>
            <w:pPr>
              <w:spacing w:before="40" w:after="40" w:line="276" w:lineRule="auto"/>
            </w:pPr>
            <w:r>
              <w:rPr>
                <w:rFonts w:ascii="Arial" w:hAnsi="Arial"/>
                <w:color w:val="2D3748"/>
                <w:sz w:val="18"/>
              </w:rPr>
              <w:t>Modelo de Embeddings</w:t>
            </w:r>
          </w:p>
        </w:tc>
        <w:tc>
          <w:tcPr>
            <w:tcW w:type="dxa" w:w="2592"/>
            <w:shd w:fill="FFFFFF"/>
            <w:tcMar>
              <w:top w:w="100" w:type="dxa"/>
              <w:bottom w:w="100" w:type="dxa"/>
              <w:left w:w="140" w:type="dxa"/>
              <w:right w:w="140" w:type="dxa"/>
            </w:tcMar>
          </w:tcPr>
          <w:p>
            <w:pPr>
              <w:spacing w:before="40" w:after="40" w:line="276" w:lineRule="auto"/>
            </w:pPr>
            <w:r>
              <w:rPr>
                <w:rFonts w:ascii="Arial" w:hAnsi="Arial"/>
                <w:color w:val="2D3748"/>
                <w:sz w:val="18"/>
              </w:rPr>
              <w:t>FastEmbed (CPU ONNX)</w:t>
            </w:r>
          </w:p>
        </w:tc>
        <w:tc>
          <w:tcPr>
            <w:tcW w:type="dxa" w:w="2448"/>
            <w:shd w:fill="FFFFFF"/>
            <w:tcMar>
              <w:top w:w="100" w:type="dxa"/>
              <w:bottom w:w="100" w:type="dxa"/>
              <w:left w:w="140" w:type="dxa"/>
              <w:right w:w="140" w:type="dxa"/>
            </w:tcMar>
          </w:tcPr>
          <w:p>
            <w:pPr>
              <w:spacing w:before="40" w:after="40" w:line="276" w:lineRule="auto"/>
            </w:pPr>
            <w:r>
              <w:rPr>
                <w:rFonts w:ascii="Arial" w:hAnsi="Arial"/>
                <w:color w:val="2D3748"/>
                <w:sz w:val="18"/>
              </w:rPr>
              <w:t>BAAI/bge-small-en-v1.5 (384 dim)</w:t>
            </w:r>
          </w:p>
        </w:tc>
        <w:tc>
          <w:tcPr>
            <w:tcW w:type="dxa" w:w="2160"/>
            <w:shd w:fill="FFFFFF"/>
            <w:tcMar>
              <w:top w:w="100" w:type="dxa"/>
              <w:bottom w:w="100" w:type="dxa"/>
              <w:left w:w="140" w:type="dxa"/>
              <w:right w:w="140" w:type="dxa"/>
            </w:tcMar>
          </w:tcPr>
          <w:p>
            <w:pPr>
              <w:spacing w:before="40" w:after="40" w:line="276" w:lineRule="auto"/>
            </w:pPr>
            <w:r>
              <w:rPr>
                <w:rFonts w:ascii="Arial" w:hAnsi="Arial"/>
                <w:color w:val="2D3748"/>
                <w:sz w:val="18"/>
              </w:rPr>
              <w:t>Vectorización densa ultra-rápida sin necesidad de PyTorch ni consumo de tokens externos.</w:t>
            </w:r>
          </w:p>
        </w:tc>
      </w:tr>
      <w:tr>
        <w:tc>
          <w:tcPr>
            <w:tcW w:type="dxa" w:w="2160"/>
            <w:shd w:fill="F8FAFC"/>
            <w:tcMar>
              <w:top w:w="100" w:type="dxa"/>
              <w:bottom w:w="100" w:type="dxa"/>
              <w:left w:w="140" w:type="dxa"/>
              <w:right w:w="140" w:type="dxa"/>
            </w:tcMar>
          </w:tcPr>
          <w:p>
            <w:pPr>
              <w:spacing w:before="40" w:after="40" w:line="276" w:lineRule="auto"/>
            </w:pPr>
            <w:r>
              <w:rPr>
                <w:rFonts w:ascii="Arial" w:hAnsi="Arial"/>
                <w:color w:val="2D3748"/>
                <w:sz w:val="18"/>
              </w:rPr>
              <w:t>Almacén Vectorial</w:t>
            </w:r>
          </w:p>
        </w:tc>
        <w:tc>
          <w:tcPr>
            <w:tcW w:type="dxa" w:w="2592"/>
            <w:shd w:fill="F8FAFC"/>
            <w:tcMar>
              <w:top w:w="100" w:type="dxa"/>
              <w:bottom w:w="100" w:type="dxa"/>
              <w:left w:w="140" w:type="dxa"/>
              <w:right w:w="140" w:type="dxa"/>
            </w:tcMar>
          </w:tcPr>
          <w:p>
            <w:pPr>
              <w:spacing w:before="40" w:after="40" w:line="276" w:lineRule="auto"/>
            </w:pPr>
            <w:r>
              <w:rPr>
                <w:rFonts w:ascii="Arial" w:hAnsi="Arial"/>
                <w:color w:val="2D3748"/>
                <w:sz w:val="18"/>
              </w:rPr>
              <w:t>ChromaDB Local Persistente</w:t>
            </w:r>
          </w:p>
        </w:tc>
        <w:tc>
          <w:tcPr>
            <w:tcW w:type="dxa" w:w="2448"/>
            <w:shd w:fill="F8FAFC"/>
            <w:tcMar>
              <w:top w:w="100" w:type="dxa"/>
              <w:bottom w:w="100" w:type="dxa"/>
              <w:left w:w="140" w:type="dxa"/>
              <w:right w:w="140" w:type="dxa"/>
            </w:tcMar>
          </w:tcPr>
          <w:p>
            <w:pPr>
              <w:spacing w:before="40" w:after="40" w:line="276" w:lineRule="auto"/>
            </w:pPr>
            <w:r>
              <w:rPr>
                <w:rFonts w:ascii="Arial" w:hAnsi="Arial"/>
                <w:color w:val="2D3748"/>
                <w:sz w:val="18"/>
              </w:rPr>
              <w:t>Colección: 'kickoff_agent_knowledge'</w:t>
            </w:r>
          </w:p>
        </w:tc>
        <w:tc>
          <w:tcPr>
            <w:tcW w:type="dxa" w:w="2160"/>
            <w:shd w:fill="F8FAFC"/>
            <w:tcMar>
              <w:top w:w="100" w:type="dxa"/>
              <w:bottom w:w="100" w:type="dxa"/>
              <w:left w:w="140" w:type="dxa"/>
              <w:right w:w="140" w:type="dxa"/>
            </w:tcMar>
          </w:tcPr>
          <w:p>
            <w:pPr>
              <w:spacing w:before="40" w:after="40" w:line="276" w:lineRule="auto"/>
            </w:pPr>
            <w:r>
              <w:rPr>
                <w:rFonts w:ascii="Arial" w:hAnsi="Arial"/>
                <w:color w:val="2D3748"/>
                <w:sz w:val="18"/>
              </w:rPr>
              <w:t>Indexación basada en HNSW con métrica de similitud de coseno para búsqueda eficiente.</w:t>
            </w:r>
          </w:p>
        </w:tc>
      </w:tr>
      <w:tr>
        <w:tc>
          <w:tcPr>
            <w:tcW w:type="dxa" w:w="2160"/>
            <w:shd w:fill="FFFFFF"/>
            <w:tcMar>
              <w:top w:w="100" w:type="dxa"/>
              <w:bottom w:w="100" w:type="dxa"/>
              <w:left w:w="140" w:type="dxa"/>
              <w:right w:w="140" w:type="dxa"/>
            </w:tcMar>
          </w:tcPr>
          <w:p>
            <w:pPr>
              <w:spacing w:before="40" w:after="40" w:line="276" w:lineRule="auto"/>
            </w:pPr>
            <w:r>
              <w:rPr>
                <w:rFonts w:ascii="Arial" w:hAnsi="Arial"/>
                <w:color w:val="2D3748"/>
                <w:sz w:val="18"/>
              </w:rPr>
              <w:t>Motor de Retrieval</w:t>
            </w:r>
          </w:p>
        </w:tc>
        <w:tc>
          <w:tcPr>
            <w:tcW w:type="dxa" w:w="2592"/>
            <w:shd w:fill="FFFFFF"/>
            <w:tcMar>
              <w:top w:w="100" w:type="dxa"/>
              <w:bottom w:w="100" w:type="dxa"/>
              <w:left w:w="140" w:type="dxa"/>
              <w:right w:w="140" w:type="dxa"/>
            </w:tcMar>
          </w:tcPr>
          <w:p>
            <w:pPr>
              <w:spacing w:before="40" w:after="40" w:line="276" w:lineRule="auto"/>
            </w:pPr>
            <w:r>
              <w:rPr>
                <w:rFonts w:ascii="Arial" w:hAnsi="Arial"/>
                <w:color w:val="2D3748"/>
                <w:sz w:val="18"/>
              </w:rPr>
              <w:t>Chroma.as_retriever()</w:t>
            </w:r>
          </w:p>
        </w:tc>
        <w:tc>
          <w:tcPr>
            <w:tcW w:type="dxa" w:w="2448"/>
            <w:shd w:fill="FFFFFF"/>
            <w:tcMar>
              <w:top w:w="100" w:type="dxa"/>
              <w:bottom w:w="100" w:type="dxa"/>
              <w:left w:w="140" w:type="dxa"/>
              <w:right w:w="140" w:type="dxa"/>
            </w:tcMar>
          </w:tcPr>
          <w:p>
            <w:pPr>
              <w:spacing w:before="40" w:after="40" w:line="276" w:lineRule="auto"/>
            </w:pPr>
            <w:r>
              <w:rPr>
                <w:rFonts w:ascii="Arial" w:hAnsi="Arial"/>
                <w:color w:val="2D3748"/>
                <w:sz w:val="18"/>
              </w:rPr>
              <w:t>search_kwargs={'k': 3}</w:t>
            </w:r>
          </w:p>
        </w:tc>
        <w:tc>
          <w:tcPr>
            <w:tcW w:type="dxa" w:w="2160"/>
            <w:shd w:fill="FFFFFF"/>
            <w:tcMar>
              <w:top w:w="100" w:type="dxa"/>
              <w:bottom w:w="100" w:type="dxa"/>
              <w:left w:w="140" w:type="dxa"/>
              <w:right w:w="140" w:type="dxa"/>
            </w:tcMar>
          </w:tcPr>
          <w:p>
            <w:pPr>
              <w:spacing w:before="40" w:after="40" w:line="276" w:lineRule="auto"/>
            </w:pPr>
            <w:r>
              <w:rPr>
                <w:rFonts w:ascii="Arial" w:hAnsi="Arial"/>
                <w:color w:val="2D3748"/>
                <w:sz w:val="18"/>
              </w:rPr>
              <w:t>Recuperación de los 3 fragmentos más representativos para inyección controlada en el prompt.</w:t>
            </w:r>
          </w:p>
        </w:tc>
      </w:tr>
    </w:tbl>
    <w:p/>
    <w:p>
      <w:r>
        <w:t>La integración del retriever como herramienta (consultar_documentacion_proyecto) permite que el orquestador agéntico decida de forma dinámica cuándo y cuántas veces consultar el almacén documental durante el curso de una sesión, devolviendo el contexto formateado con separadores legibles de fuente (ej. '--- Fuente: Acta_Reunion_01.pdf ---').</w:t>
      </w:r>
    </w:p>
    <w:p>
      <w:pPr>
        <w:pStyle w:val="Heading1"/>
        <w:spacing w:before="320" w:after="120"/>
      </w:pPr>
      <w:r>
        <w:t>7. Control de calidad y trazabilidad</w:t>
      </w:r>
    </w:p>
    <w:p>
      <w:r>
        <w:t>El control de calidad en KickoffAgent se articula mediante la combinación de mecanismos deterministas, contratos tipados y directivas operacionales de auditoría estricta:</w:t>
      </w:r>
    </w:p>
    <w:p>
      <w:pPr>
        <w:pStyle w:val="Heading2"/>
      </w:pPr>
      <w:r>
        <w:t>7.1. Cero Alucinaciones Financieras mediante Tool Calling Determinista</w:t>
      </w:r>
    </w:p>
    <w:p>
      <w:r>
        <w:t>La evaluación económica se delega en la herramienta calcular_metricas_financieras. Un esquema tipado Pydantic (FinancialEvalInput) valida que la inversión inicial, los flujos secuenciales y la tasa de descuento sean numéricos antes de invocar la librería numpy-financial:</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single" w:sz="6" w:space="0" w:color="E2E8F0"/>
              <w:left w:val="single" w:sz="6" w:space="0" w:color="E2E8F0"/>
              <w:bottom w:val="single" w:sz="6" w:space="0" w:color="E2E8F0"/>
              <w:right w:val="single" w:sz="6" w:space="0" w:color="E2E8F0"/>
            </w:tcBorders>
          </w:tcPr>
          <w:p>
            <w:pPr>
              <w:spacing w:before="40" w:after="80"/>
            </w:pPr>
            <w:r>
              <w:rPr>
                <w:rFonts w:ascii="Consolas" w:hAnsi="Consolas"/>
                <w:b/>
                <w:color w:val="718096"/>
                <w:sz w:val="17"/>
              </w:rPr>
              <w:t>/// BLOQUE: TOOL FINANCIERA DETERMINISTA — NUMPY-FINANCIAL</w:t>
              <w:br/>
            </w:r>
            <w:r>
              <w:rPr>
                <w:rFonts w:ascii="Consolas" w:hAnsi="Consolas"/>
                <w:color w:val="1A202C"/>
                <w:sz w:val="17"/>
              </w:rPr>
              <w:t>class FinancialEvalInput(BaseModel):</w:t>
              <w:br/>
              <w:t xml:space="preserve">    inversion_inicial: float = Field(description="Inversión inicial requerida (valor positivo).")</w:t>
              <w:br/>
              <w:t xml:space="preserve">    flujos_caja: List[float] = Field(description="Lista secuencial de flujos netos proyectados.")</w:t>
              <w:br/>
              <w:t xml:space="preserve">    tasa_descuento: float = Field(description="Tasa de descuento anual en formato decimal (ej: 0.10).")</w:t>
              <w:br/>
              <w:br/>
              <w:t>@tool(args_schema=FinancialEvalInput)</w:t>
              <w:br/>
              <w:t>def calcular_metricas_financieras(inversion_inicial: float, flujos_caja: List[float], tasa_descuento: float) -&gt; dict:</w:t>
              <w:br/>
              <w:t xml:space="preserve">    cash_flows = [-abs(inversion_inicial)] + flujos_caja</w:t>
              <w:br/>
              <w:t xml:space="preserve">    van = npf.npv(tasa_descuento, cash_flows)</w:t>
              <w:br/>
              <w:t xml:space="preserve">    try:</w:t>
              <w:br/>
              <w:t xml:space="preserve">        tir = npf.irr(cash_flows)</w:t>
              <w:br/>
              <w:t xml:space="preserve">        tir_pct = f"{round(tir * 100, 2)}%" if tir is not None else "No calculable"</w:t>
              <w:br/>
              <w:t xml:space="preserve">    except Exception:</w:t>
              <w:br/>
              <w:t xml:space="preserve">        tir_pct = "No convergente"</w:t>
              <w:br/>
              <w:br/>
              <w:t xml:space="preserve">    beneficio_neto = sum(flujos_caja) - abs(inversion_inicial)</w:t>
              <w:br/>
              <w:t xml:space="preserve">    roi = (beneficio_neto / abs(inversion_inicial)) * 100</w:t>
              <w:br/>
              <w:t xml:space="preserve">    </w:t>
              <w:br/>
              <w:t xml:space="preserve">    acumulado = -abs(inversion_inicial)</w:t>
              <w:br/>
              <w:t xml:space="preserve">    pri_periodos = "Supera el horizonte evaluado"</w:t>
              <w:br/>
              <w:t xml:space="preserve">    for i, f in enumerate(flujos_caja, start=1):</w:t>
              <w:br/>
              <w:t xml:space="preserve">        acumulado += f</w:t>
              <w:br/>
              <w:t xml:space="preserve">        if acumulado &gt;= 0:</w:t>
              <w:br/>
              <w:t xml:space="preserve">            pri_periodos = f"{i} periodos"</w:t>
              <w:br/>
              <w:t xml:space="preserve">            break</w:t>
              <w:br/>
              <w:br/>
              <w:t xml:space="preserve">    return {</w:t>
              <w:br/>
              <w:t xml:space="preserve">        "inversion_inicial": inversion_inicial,</w:t>
              <w:br/>
              <w:t xml:space="preserve">        "van": round(float(van), 2),</w:t>
              <w:br/>
              <w:t xml:space="preserve">        "tir": tir_pct,</w:t>
              <w:br/>
              <w:t xml:space="preserve">        "roi_porcentual": f"{round(roi, 2)}%",</w:t>
              <w:br/>
              <w:t xml:space="preserve">        "pri_estimado": pri_periodos,</w:t>
              <w:br/>
              <w:t xml:space="preserve">        "conclusion_tecnica": ("Proyecto Financieramente Viable (VAN &gt; 0)" if van &gt; 0 else "Proyecto No Viable (VAN &lt;= 0)")</w:t>
              <w:br/>
              <w:t xml:space="preserve">    }</w:t>
            </w:r>
          </w:p>
        </w:tc>
      </w:tr>
    </w:tbl>
    <w:p/>
    <w:p>
      <w:pPr>
        <w:pStyle w:val="Heading2"/>
      </w:pPr>
      <w:r>
        <w:t>7.2. Trazabilidad de Requerimientos y Evaluación Empírica</w:t>
      </w:r>
    </w:p>
    <w:p>
      <w:r>
        <w:t>En la validación experimental del sistema, se corroboró la precisión tanto de la consulta RAG como de la calculadora financiera:</w:t>
      </w:r>
    </w:p>
    <w:tbl>
      <w:tblPr>
        <w:tblW w:type="auto" w:w="0"/>
        <w:jc w:val="center"/>
        <w:tblLayout w:type="fixed"/>
        <w:tblLook w:firstColumn="1" w:firstRow="1" w:lastColumn="0" w:lastRow="0" w:noHBand="0" w:noVBand="1" w:val="04A0"/>
        <w:tblBorders>
          <w:top w:val="single" w:sz="6" w:space="0" w:color="CBD5E0"/>
          <w:left w:val="none"/>
          <w:bottom w:val="single" w:sz="6" w:space="0" w:color="CBD5E0"/>
          <w:right w:val="none"/>
          <w:insideH w:val="single" w:sz="6" w:space="0" w:color="CBD5E0"/>
          <w:insideV w:val="none"/>
        </w:tblBorders>
      </w:tblPr>
      <w:tblGrid>
        <w:gridCol w:w="2340"/>
        <w:gridCol w:w="2340"/>
        <w:gridCol w:w="2340"/>
        <w:gridCol w:w="2340"/>
      </w:tblGrid>
      <w:tr>
        <w:tc>
          <w:tcPr>
            <w:tcW w:type="dxa" w:w="2160"/>
            <w:shd w:fill="1B365D"/>
            <w:tcMar>
              <w:top w:w="140" w:type="dxa"/>
              <w:bottom w:w="140" w:type="dxa"/>
              <w:left w:w="140" w:type="dxa"/>
              <w:right w:w="140" w:type="dxa"/>
            </w:tcMar>
          </w:tcPr>
          <w:p>
            <w:pPr>
              <w:spacing w:before="40" w:after="40"/>
            </w:pPr>
            <w:r>
              <w:rPr>
                <w:rFonts w:ascii="Arial" w:hAnsi="Arial"/>
                <w:b/>
                <w:color w:val="FFFFFF"/>
                <w:sz w:val="19"/>
              </w:rPr>
              <w:t>Prueba / Capacidad</w:t>
            </w:r>
          </w:p>
        </w:tc>
        <w:tc>
          <w:tcPr>
            <w:tcW w:type="dxa" w:w="2592"/>
            <w:shd w:fill="1B365D"/>
            <w:tcMar>
              <w:top w:w="140" w:type="dxa"/>
              <w:bottom w:w="140" w:type="dxa"/>
              <w:left w:w="140" w:type="dxa"/>
              <w:right w:w="140" w:type="dxa"/>
            </w:tcMar>
          </w:tcPr>
          <w:p>
            <w:pPr>
              <w:spacing w:before="40" w:after="40"/>
            </w:pPr>
            <w:r>
              <w:rPr>
                <w:rFonts w:ascii="Arial" w:hAnsi="Arial"/>
                <w:b/>
                <w:color w:val="FFFFFF"/>
                <w:sz w:val="19"/>
              </w:rPr>
              <w:t>Entrada / Consulta</w:t>
            </w:r>
          </w:p>
        </w:tc>
        <w:tc>
          <w:tcPr>
            <w:tcW w:type="dxa" w:w="2736"/>
            <w:shd w:fill="1B365D"/>
            <w:tcMar>
              <w:top w:w="140" w:type="dxa"/>
              <w:bottom w:w="140" w:type="dxa"/>
              <w:left w:w="140" w:type="dxa"/>
              <w:right w:w="140" w:type="dxa"/>
            </w:tcMar>
          </w:tcPr>
          <w:p>
            <w:pPr>
              <w:spacing w:before="40" w:after="40"/>
            </w:pPr>
            <w:r>
              <w:rPr>
                <w:rFonts w:ascii="Arial" w:hAnsi="Arial"/>
                <w:b/>
                <w:color w:val="FFFFFF"/>
                <w:sz w:val="19"/>
              </w:rPr>
              <w:t>Resultado Obtenido</w:t>
            </w:r>
          </w:p>
        </w:tc>
        <w:tc>
          <w:tcPr>
            <w:tcW w:type="dxa" w:w="1872"/>
            <w:shd w:fill="1B365D"/>
            <w:tcMar>
              <w:top w:w="140" w:type="dxa"/>
              <w:bottom w:w="140" w:type="dxa"/>
              <w:left w:w="140" w:type="dxa"/>
              <w:right w:w="140" w:type="dxa"/>
            </w:tcMar>
          </w:tcPr>
          <w:p>
            <w:pPr>
              <w:spacing w:before="40" w:after="40"/>
            </w:pPr>
            <w:r>
              <w:rPr>
                <w:rFonts w:ascii="Arial" w:hAnsi="Arial"/>
                <w:b/>
                <w:color w:val="FFFFFF"/>
                <w:sz w:val="19"/>
              </w:rPr>
              <w:t>Verificación de Trazabilidad</w:t>
            </w:r>
          </w:p>
        </w:tc>
      </w:tr>
      <w:tr>
        <w:tc>
          <w:tcPr>
            <w:tcW w:type="dxa" w:w="2160"/>
            <w:shd w:fill="FFFFFF"/>
            <w:tcMar>
              <w:top w:w="100" w:type="dxa"/>
              <w:bottom w:w="100" w:type="dxa"/>
              <w:left w:w="140" w:type="dxa"/>
              <w:right w:w="140" w:type="dxa"/>
            </w:tcMar>
          </w:tcPr>
          <w:p>
            <w:pPr>
              <w:spacing w:before="40" w:after="40" w:line="276" w:lineRule="auto"/>
            </w:pPr>
            <w:r>
              <w:rPr>
                <w:rFonts w:ascii="Arial" w:hAnsi="Arial"/>
                <w:color w:val="2D3748"/>
                <w:sz w:val="18"/>
              </w:rPr>
              <w:t>Test 1: Requerimientos IEEE 830</w:t>
            </w:r>
          </w:p>
        </w:tc>
        <w:tc>
          <w:tcPr>
            <w:tcW w:type="dxa" w:w="2592"/>
            <w:shd w:fill="FFFFFF"/>
            <w:tcMar>
              <w:top w:w="100" w:type="dxa"/>
              <w:bottom w:w="100" w:type="dxa"/>
              <w:left w:w="140" w:type="dxa"/>
              <w:right w:w="140" w:type="dxa"/>
            </w:tcMar>
          </w:tcPr>
          <w:p>
            <w:pPr>
              <w:spacing w:before="40" w:after="40" w:line="276" w:lineRule="auto"/>
            </w:pPr>
            <w:r>
              <w:rPr>
                <w:rFonts w:ascii="Arial" w:hAnsi="Arial"/>
                <w:color w:val="2D3748"/>
                <w:sz w:val="18"/>
              </w:rPr>
              <w:t>¿Cuáles son los requerimientos funcionales aprobados y en qué documento se basan?</w:t>
            </w:r>
          </w:p>
        </w:tc>
        <w:tc>
          <w:tcPr>
            <w:tcW w:type="dxa" w:w="2736"/>
            <w:shd w:fill="FFFFFF"/>
            <w:tcMar>
              <w:top w:w="100" w:type="dxa"/>
              <w:bottom w:w="100" w:type="dxa"/>
              <w:left w:w="140" w:type="dxa"/>
              <w:right w:w="140" w:type="dxa"/>
            </w:tcMar>
          </w:tcPr>
          <w:p>
            <w:pPr>
              <w:spacing w:before="40" w:after="40" w:line="276" w:lineRule="auto"/>
            </w:pPr>
            <w:r>
              <w:rPr>
                <w:rFonts w:ascii="Arial" w:hAnsi="Arial"/>
                <w:color w:val="2D3748"/>
                <w:sz w:val="18"/>
              </w:rPr>
              <w:t>Extracción correcta de RF-01 (OAuth2) y RF-02 (Exportación PDF/Excel en &lt;3s) junto con RNF-01 (Disponibilidad 99.9%).</w:t>
            </w:r>
          </w:p>
        </w:tc>
        <w:tc>
          <w:tcPr>
            <w:tcW w:type="dxa" w:w="1872"/>
            <w:shd w:fill="FFFFFF"/>
            <w:tcMar>
              <w:top w:w="100" w:type="dxa"/>
              <w:bottom w:w="100" w:type="dxa"/>
              <w:left w:w="140" w:type="dxa"/>
              <w:right w:w="140" w:type="dxa"/>
            </w:tcMar>
          </w:tcPr>
          <w:p>
            <w:pPr>
              <w:spacing w:before="40" w:after="40" w:line="276" w:lineRule="auto"/>
            </w:pPr>
            <w:r>
              <w:rPr>
                <w:rFonts w:ascii="Arial" w:hAnsi="Arial"/>
                <w:color w:val="2D3748"/>
                <w:sz w:val="18"/>
              </w:rPr>
              <w:t>Cita formal obligatoria a [Especificacion_IEEE830.pdf]. Zero alucinaciones.</w:t>
            </w:r>
          </w:p>
        </w:tc>
      </w:tr>
      <w:tr>
        <w:tc>
          <w:tcPr>
            <w:tcW w:type="dxa" w:w="2160"/>
            <w:shd w:fill="F8FAFC"/>
            <w:tcMar>
              <w:top w:w="100" w:type="dxa"/>
              <w:bottom w:w="100" w:type="dxa"/>
              <w:left w:w="140" w:type="dxa"/>
              <w:right w:w="140" w:type="dxa"/>
            </w:tcMar>
          </w:tcPr>
          <w:p>
            <w:pPr>
              <w:spacing w:before="40" w:after="40" w:line="276" w:lineRule="auto"/>
            </w:pPr>
            <w:r>
              <w:rPr>
                <w:rFonts w:ascii="Arial" w:hAnsi="Arial"/>
                <w:color w:val="2D3748"/>
                <w:sz w:val="18"/>
              </w:rPr>
              <w:t>Test 2: Evaluación Financiera</w:t>
            </w:r>
          </w:p>
        </w:tc>
        <w:tc>
          <w:tcPr>
            <w:tcW w:type="dxa" w:w="2592"/>
            <w:shd w:fill="F8FAFC"/>
            <w:tcMar>
              <w:top w:w="100" w:type="dxa"/>
              <w:bottom w:w="100" w:type="dxa"/>
              <w:left w:w="140" w:type="dxa"/>
              <w:right w:w="140" w:type="dxa"/>
            </w:tcMar>
          </w:tcPr>
          <w:p>
            <w:pPr>
              <w:spacing w:before="40" w:after="40" w:line="276" w:lineRule="auto"/>
            </w:pPr>
            <w:r>
              <w:rPr>
                <w:rFonts w:ascii="Arial" w:hAnsi="Arial"/>
                <w:color w:val="2D3748"/>
                <w:sz w:val="18"/>
              </w:rPr>
              <w:t>Revisa los documentos del proyecto, busca los datos de inversión y evalúa si es viable.</w:t>
            </w:r>
          </w:p>
        </w:tc>
        <w:tc>
          <w:tcPr>
            <w:tcW w:type="dxa" w:w="2736"/>
            <w:shd w:fill="F8FAFC"/>
            <w:tcMar>
              <w:top w:w="100" w:type="dxa"/>
              <w:bottom w:w="100" w:type="dxa"/>
              <w:left w:w="140" w:type="dxa"/>
              <w:right w:w="140" w:type="dxa"/>
            </w:tcMar>
          </w:tcPr>
          <w:p>
            <w:pPr>
              <w:spacing w:before="40" w:after="40" w:line="276" w:lineRule="auto"/>
            </w:pPr>
            <w:r>
              <w:rPr>
                <w:rFonts w:ascii="Arial" w:hAnsi="Arial"/>
                <w:color w:val="2D3748"/>
                <w:sz w:val="18"/>
              </w:rPr>
              <w:t>Extracción de I₀=$12.000.000 CLP, flujos [$4.5M, $5.0M, $6.2M], tasa 10%. Cálculo: VAN=+$369.646,96, TIR=11,73%, ROI=30,83%, PRI=3 periodos.</w:t>
            </w:r>
          </w:p>
        </w:tc>
        <w:tc>
          <w:tcPr>
            <w:tcW w:type="dxa" w:w="1872"/>
            <w:shd w:fill="F8FAFC"/>
            <w:tcMar>
              <w:top w:w="100" w:type="dxa"/>
              <w:bottom w:w="100" w:type="dxa"/>
              <w:left w:w="140" w:type="dxa"/>
              <w:right w:w="140" w:type="dxa"/>
            </w:tcMar>
          </w:tcPr>
          <w:p>
            <w:pPr>
              <w:spacing w:before="40" w:after="40" w:line="276" w:lineRule="auto"/>
            </w:pPr>
            <w:r>
              <w:rPr>
                <w:rFonts w:ascii="Arial" w:hAnsi="Arial"/>
                <w:color w:val="2D3748"/>
                <w:sz w:val="18"/>
              </w:rPr>
              <w:t>Datos originados en [Acta_Reunion_01.pdf]. Dictamen: Proyecto Financieramente Viable.</w:t>
            </w:r>
          </w:p>
        </w:tc>
      </w:tr>
    </w:tbl>
    <w:p/>
    <w:p>
      <w:pPr>
        <w:pStyle w:val="Heading1"/>
        <w:spacing w:before="320" w:after="120"/>
      </w:pPr>
      <w:r>
        <w:t>8. Restricciones y limitaciones</w:t>
      </w:r>
    </w:p>
    <w:p>
      <w:r>
        <w:t>El diseño de KickoffAgent contempla las siguientes restricciones técnicas, operativas y metodológicas:</w:t>
      </w:r>
    </w:p>
    <w:p>
      <w:pPr>
        <w:pStyle w:val="ListBullet"/>
      </w:pPr>
      <w:r>
        <w:rPr>
          <w:b/>
        </w:rPr>
        <w:t xml:space="preserve">Infraestructura y Cuotas de API: </w:t>
      </w:r>
      <w:r>
        <w:t>El modelo de razonamiento principal opera sobre la infraestructura Groq (qwen/qwen3.8-27b), sujeta a límites de tasa de peticiones por minuto (RPM) y tokens por minuto (TPM). Si bien garantiza latencias menores a 400ms, requiere conexión a Internet para el servicio de inferencia.</w:t>
      </w:r>
    </w:p>
    <w:p>
      <w:pPr>
        <w:pStyle w:val="ListBullet"/>
      </w:pPr>
      <w:r>
        <w:rPr>
          <w:b/>
        </w:rPr>
        <w:t xml:space="preserve">Limitaciones Matemáticas de Flujos Atípicos: </w:t>
      </w:r>
      <w:r>
        <w:t>El cálculo de la TIR asume una tasa de descuento constante y una serie convencional de flujos con un único cambio de signo. En series no convencionales con múltiples cambios de signo (que generan múltiples tasas internas) o flujos permanentemente negativos, la herramienta captura la excepción y retorna formalmente 'No convergente'.</w:t>
      </w:r>
    </w:p>
    <w:p>
      <w:pPr>
        <w:pStyle w:val="ListBullet"/>
      </w:pPr>
      <w:r>
        <w:rPr>
          <w:b/>
        </w:rPr>
        <w:t xml:space="preserve">Ventana de Contexto y Tamaño de Chunks: </w:t>
      </w:r>
      <w:r>
        <w:t>El chunk_size de 700 tokens y Top-K=3 acota el contexto recuperado a ~2.100 caracteres. Si bien previene alucinaciones y distracción, documentos con requerimientos extensos redactados en tablas complejas pueden requerir reensamblado previo.</w:t>
      </w:r>
    </w:p>
    <w:p>
      <w:pPr>
        <w:pStyle w:val="ListBullet"/>
      </w:pPr>
      <w:r>
        <w:rPr>
          <w:b/>
        </w:rPr>
        <w:t xml:space="preserve">Seguridad y Soberanía de Datos: </w:t>
      </w:r>
      <w:r>
        <w:t>Las credenciales corporativas (GROQ_API_KEY) están aisladas mediante archivos .env no versionados. Los embeddings y la base vectorial se ejecutan 100% de forma local en la máquina del consultor, resguardando la propiedad intelectual del cliente.</w:t>
      </w:r>
    </w:p>
    <w:p>
      <w:pPr>
        <w:pStyle w:val="Heading1"/>
        <w:spacing w:before="320" w:after="120"/>
      </w:pPr>
      <w:r>
        <w:t>9. Conclusiones</w:t>
      </w:r>
    </w:p>
    <w:p>
      <w:r>
        <w:t>La concepción y materialización de KickoffAgent valida con éxito la efectividad de los sistemas agénticos modernos aplicados a la ingeniería de software y la consultoría tecnológica. Las principales conclusiones del proyecto son:</w:t>
      </w:r>
    </w:p>
    <w:p>
      <w:pPr>
        <w:pStyle w:val="ListBullet"/>
      </w:pPr>
      <w:r>
        <w:rPr>
          <w:b/>
        </w:rPr>
        <w:t xml:space="preserve">Eliminación Total de la Alucinación Numérica: </w:t>
      </w:r>
      <w:r>
        <w:t>La delegación de operaciones matemáticas en librerías deterministas (numpy-financial) mediante Tool Calling tipado demostró ser la única estrategia viable para certificar métricas financieras críticas como VAN y TIR en contextos corporativos.</w:t>
      </w:r>
    </w:p>
    <w:p>
      <w:pPr>
        <w:pStyle w:val="ListBullet"/>
      </w:pPr>
      <w:r>
        <w:rPr>
          <w:b/>
        </w:rPr>
        <w:t xml:space="preserve">Eficacia de la Arquitectura de Micro-Prompts: </w:t>
      </w:r>
      <w:r>
        <w:t>La segmentación de responsabilidades en prompts especializados (00A, 00B, 01, 02 y 03) superó ampliamente a los prompts monolíticos tradicionales, permitiendo generar salidas en JSON estricto altamente confiables y estructuradas bajo normas IEEE 830 y marcos Ágiles.</w:t>
      </w:r>
    </w:p>
    <w:p>
      <w:pPr>
        <w:pStyle w:val="ListBullet"/>
      </w:pPr>
      <w:r>
        <w:rPr>
          <w:b/>
        </w:rPr>
        <w:t xml:space="preserve">Eficiencia del Pipeline RAG Local: </w:t>
      </w:r>
      <w:r>
        <w:t>La combinación de FastEmbed (ONNX Runtime) y ChromaDB local eliminó los costes recurrentes de embeddings y la necesidad de infraestructura GPU pesada, manteniendo una excelente capacidad de recuperación semántica (Top-K=3) y respuesta en milisegundos.</w:t>
      </w:r>
    </w:p>
    <w:p>
      <w:pPr>
        <w:pStyle w:val="ListBullet"/>
      </w:pPr>
      <w:r>
        <w:rPr>
          <w:b/>
        </w:rPr>
        <w:t xml:space="preserve">Trazabilidad y Auditoría en Consultoría: </w:t>
      </w:r>
      <w:r>
        <w:t>La exigencia de citas explícitas de fuentes documentales y el soporte de respuestas de rechazo (Refusal) dotan a KickoffAgent del rigor metodológico necesario para actuar como un copiloto confiable para equipos de preventa y arquitectura de software.</w:t>
      </w:r>
    </w:p>
    <w:p>
      <w:pPr>
        <w:pStyle w:val="Heading1"/>
        <w:spacing w:before="320" w:after="120"/>
      </w:pPr>
      <w:r>
        <w:t>10. Referencias</w:t>
      </w:r>
    </w:p>
    <w:p>
      <w:pPr>
        <w:spacing w:after="120" w:line="276" w:lineRule="auto"/>
        <w:ind w:left="720" w:hanging="720"/>
      </w:pPr>
      <w:r>
        <w:rPr>
          <w:rFonts w:ascii="Arial" w:hAnsi="Arial"/>
          <w:color w:val="2D3748"/>
          <w:sz w:val="19"/>
        </w:rPr>
        <w:t>Chase, H. (2023). LangChain: Building applications with LLMs through composability. GitHub repository. https://github.com/langchain-ai/langchain</w:t>
      </w:r>
    </w:p>
    <w:p>
      <w:pPr>
        <w:spacing w:after="120" w:line="276" w:lineRule="auto"/>
        <w:ind w:left="720" w:hanging="720"/>
      </w:pPr>
      <w:r>
        <w:rPr>
          <w:rFonts w:ascii="Arial" w:hAnsi="Arial"/>
          <w:color w:val="2D3748"/>
          <w:sz w:val="19"/>
        </w:rPr>
        <w:t>IEEE Computer Society. (1998). IEEE Recommended Practice for Software Requirements Specifications (IEEE Std 830-1998). Institute of Electrical and Electronics Engineers. https://doi.org/10.1109/IEEESTD.1998.88286</w:t>
      </w:r>
    </w:p>
    <w:p>
      <w:pPr>
        <w:spacing w:after="120" w:line="276" w:lineRule="auto"/>
        <w:ind w:left="720" w:hanging="720"/>
      </w:pPr>
      <w:r>
        <w:rPr>
          <w:rFonts w:ascii="Arial" w:hAnsi="Arial"/>
          <w:color w:val="2D3748"/>
          <w:sz w:val="19"/>
        </w:rPr>
        <w:t>Lewis, P., Perez, E., Piktus, A., Petroni, F., Karpukhin, V., Goyal, N., Küttler, H., Lewis, M., Yih, W., Rocktäschel, T., Riedel, S., &amp; Kiela, D. (2020). Retrieval-augmented generation for knowledge-intensive NLP tasks. Advances in Neural Information Processing Systems, 33, 9459–9474. https://doi.org/10.48550/arXiv.2005.11401</w:t>
      </w:r>
    </w:p>
    <w:p>
      <w:pPr>
        <w:spacing w:after="120" w:line="276" w:lineRule="auto"/>
        <w:ind w:left="720" w:hanging="720"/>
      </w:pPr>
      <w:r>
        <w:rPr>
          <w:rFonts w:ascii="Arial" w:hAnsi="Arial"/>
          <w:color w:val="2D3748"/>
          <w:sz w:val="19"/>
        </w:rPr>
        <w:t>Liu, N. F., Lin, K., Hewitt, J., Paranjape, A., Bevilacqua, M., Petroni, F., &amp; Liang, P. (2024). Lost in the middle: How language models use long contexts. Transactions of the Association for Computational Linguistics, 12, 157–173. https://doi.org/10.1162/tacl_a_00638</w:t>
      </w:r>
    </w:p>
    <w:p>
      <w:pPr>
        <w:spacing w:after="120" w:line="276" w:lineRule="auto"/>
        <w:ind w:left="720" w:hanging="720"/>
      </w:pPr>
      <w:r>
        <w:rPr>
          <w:rFonts w:ascii="Arial" w:hAnsi="Arial"/>
          <w:color w:val="2D3748"/>
          <w:sz w:val="19"/>
        </w:rPr>
        <w:t>Qwen Team. (2024). Qwen2 technical report. arXiv preprint arXiv:2407.10671. https://doi.org/10.48550/arXiv.2407.10671</w:t>
      </w:r>
    </w:p>
    <w:p>
      <w:pPr>
        <w:spacing w:after="120" w:line="276" w:lineRule="auto"/>
        <w:ind w:left="720" w:hanging="720"/>
      </w:pPr>
      <w:r>
        <w:rPr>
          <w:rFonts w:ascii="Arial" w:hAnsi="Arial"/>
          <w:color w:val="2D3748"/>
          <w:sz w:val="19"/>
        </w:rPr>
        <w:t>Schwaber, K., &amp; Sutherland, J. (2020). The Scrum Guide: The Definitive Guide to Scrum: The Rules of the Game. Scrum.org. https://scrumguides.org/</w:t>
      </w:r>
    </w:p>
    <w:p>
      <w:pPr>
        <w:spacing w:after="120" w:line="276" w:lineRule="auto"/>
        <w:ind w:left="720" w:hanging="720"/>
      </w:pPr>
      <w:r>
        <w:rPr>
          <w:rFonts w:ascii="Arial" w:hAnsi="Arial"/>
          <w:color w:val="2D3748"/>
          <w:sz w:val="19"/>
        </w:rPr>
        <w:t>Wang, L., Ma, C., Feng, X., Zhang, Z., Hao, J., &amp; Chen, W. (2024). A survey on large language model based autonomous agents. Frontiers of Computer Science, 18(6), 186345. https://doi.org/10.1007/s11704-024-40231-1</w:t>
      </w:r>
    </w:p>
    <w:p>
      <w:pPr>
        <w:spacing w:after="120" w:line="276" w:lineRule="auto"/>
        <w:ind w:left="720" w:hanging="720"/>
      </w:pPr>
      <w:r>
        <w:rPr>
          <w:rFonts w:ascii="Arial" w:hAnsi="Arial"/>
          <w:color w:val="2D3748"/>
          <w:sz w:val="19"/>
        </w:rPr>
        <w:t>Xiao, S., Liu, Z., Zhang, P., &amp; Muennighoff, N. (2023). C-pack: Packaged resources to advance general Chinese embedding (BAAI/bge models). arXiv preprint arXiv:2309.07597. https://doi.org/10.48550/arXiv.2309.07597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