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0A1F52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000250" cy="704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COTIZACIÓN — INFRAESTRUCTURA SUPABASE (PLAN EQUIPO)</w:t>
            </w:r>
          </w:p>
        </w:tc>
      </w:tr>
    </w:tbl>
    <w:p>
      <w:pPr>
        <w:spacing w:after="120"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Proyecto: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INOVA WMS · 5S · ETO — Operación Bavaria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Preparado por: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INOVA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     Fecha: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3 de agosto de 2026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Moneda: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USD (dólares) · Facturación mensual por organización · Precios sin IVA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A1F52"/>
          <w:sz w:val="26"/>
          <w:szCs w:val="26"/>
        </w:rPr>
        <w:t xml:space="preserve">1. Resumen ejecutivo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Esta cotización corresponde al plan Equipo (Team) de Supabase, orientado a aplicaciones en producción que requieren certificaciones de seguridad (SOC2 e ISO 27001), inicio de sesión corporativo (SSO/SAML), soporte prioritario con SLA y backups extendidos. Para la operación de Bavaria (alto flujo de movimientos y cero tolerancia a demoras) se incluyen los add-ons de cómputo dedicado y recuperación a un punto en el tiempo (PITR), que son los que determinan la velocidad y la protección de los datos.</w:t>
      </w:r>
    </w:p>
    <w:p>
      <w:pPr>
        <w:spacing w:after="16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20"/>
          <w:szCs w:val="20"/>
        </w:rPr>
        <w:t xml:space="preserve">Importante: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la velocidad NO la da el nivel de plan sino el tamaño de cómputo, los índices de la base y el pooler de conexiones. El plan Equipo se elige por cumplimiento y seguridad, no por rapidez.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A1F52"/>
          <w:sz w:val="26"/>
          <w:szCs w:val="26"/>
        </w:rPr>
        <w:t xml:space="preserve">2. Plan base — Equipo (Team)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shd w:fill="0A1F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2340"/>
            <w:shd w:fill="0A1F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Precio</w:t>
            </w:r>
          </w:p>
        </w:tc>
        <w:tc>
          <w:tcPr>
            <w:tcW w:type="dxa" w:w="2340"/>
            <w:shd w:fill="0A1F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Plan Equipo (mensual)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USD 599 / mes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Primer proyecto incluido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Proyecto adicional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desde USD 10 / mes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Por cada proyecto extra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Crédito de cómputo incluido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USD 10 / mes por proyecto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Cubre una instancia Micro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A1F52"/>
          <w:sz w:val="26"/>
          <w:szCs w:val="26"/>
        </w:rPr>
        <w:t xml:space="preserve">3. Recursos incluidos y tarifa de excedente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El plan Equipo incluye todo lo del plan Pro. Los recursos vienen con una cuota incluida; si se supera, se cobra por consumo (overage) a las tarifas de la derecha.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400"/>
        <w:gridCol w:w="2980"/>
        <w:gridCol w:w="2980"/>
      </w:tblGrid>
      <w:tr>
        <w:trPr>
          <w:tblHeader/>
        </w:trPr>
        <w:tc>
          <w:tcPr>
            <w:tcW w:type="dxa" w:w="3400"/>
            <w:shd w:fill="0A1F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2980"/>
            <w:shd w:fill="0A1F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Incluido</w:t>
            </w:r>
          </w:p>
        </w:tc>
        <w:tc>
          <w:tcPr>
            <w:tcW w:type="dxa" w:w="2980"/>
            <w:shd w:fill="0A1F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Excedente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Usuarios activos mensuales (MAU)</w:t>
            </w:r>
          </w:p>
        </w:tc>
        <w:tc>
          <w:tcPr>
            <w:tcW w:type="dxa" w:w="2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100.000</w:t>
            </w:r>
          </w:p>
        </w:tc>
        <w:tc>
          <w:tcPr>
            <w:tcW w:type="dxa" w:w="2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USD 0,00325 por MAU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Tamaño de base de datos (disco)</w:t>
            </w:r>
          </w:p>
        </w:tc>
        <w:tc>
          <w:tcPr>
            <w:tcW w:type="dxa" w:w="2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8 GB por proyecto</w:t>
            </w:r>
          </w:p>
        </w:tc>
        <w:tc>
          <w:tcPr>
            <w:tcW w:type="dxa" w:w="2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USD 0,125 por GB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Salida de datos (egress)</w:t>
            </w:r>
          </w:p>
        </w:tc>
        <w:tc>
          <w:tcPr>
            <w:tcW w:type="dxa" w:w="2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250 GB</w:t>
            </w:r>
          </w:p>
        </w:tc>
        <w:tc>
          <w:tcPr>
            <w:tcW w:type="dxa" w:w="2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USD 0,09 por GB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Salida en caché</w:t>
            </w:r>
          </w:p>
        </w:tc>
        <w:tc>
          <w:tcPr>
            <w:tcW w:type="dxa" w:w="2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250 GB</w:t>
            </w:r>
          </w:p>
        </w:tc>
        <w:tc>
          <w:tcPr>
            <w:tcW w:type="dxa" w:w="2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USD 0,03 por GB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Almacenamiento de archivos</w:t>
            </w:r>
          </w:p>
        </w:tc>
        <w:tc>
          <w:tcPr>
            <w:tcW w:type="dxa" w:w="2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100 GB</w:t>
            </w:r>
          </w:p>
        </w:tc>
        <w:tc>
          <w:tcPr>
            <w:tcW w:type="dxa" w:w="2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USD 0,0213 por GB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Copias de seguridad (backups)</w:t>
            </w:r>
          </w:p>
        </w:tc>
        <w:tc>
          <w:tcPr>
            <w:tcW w:type="dxa" w:w="2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Diarias · retención 14 días</w:t>
            </w:r>
          </w:p>
        </w:tc>
        <w:tc>
          <w:tcPr>
            <w:tcW w:type="dxa" w:w="2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Incluido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Retención de registros (logs)</w:t>
            </w:r>
          </w:p>
        </w:tc>
        <w:tc>
          <w:tcPr>
            <w:tcW w:type="dxa" w:w="2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28 días</w:t>
            </w:r>
          </w:p>
        </w:tc>
        <w:tc>
          <w:tcPr>
            <w:tcW w:type="dxa" w:w="2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Incluido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Desagüe de logs (log drain)</w:t>
            </w:r>
          </w:p>
        </w:tc>
        <w:tc>
          <w:tcPr>
            <w:tcW w:type="dxa" w:w="2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—</w:t>
            </w:r>
          </w:p>
        </w:tc>
        <w:tc>
          <w:tcPr>
            <w:tcW w:type="dxa" w:w="29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USD 60 por desagüe, por proyecto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A1F52"/>
          <w:sz w:val="26"/>
          <w:szCs w:val="26"/>
        </w:rPr>
        <w:t xml:space="preserve">4. Funciones exclusivas del plan Equipo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0A1F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Función</w:t>
            </w:r>
          </w:p>
        </w:tc>
        <w:tc>
          <w:tcPr>
            <w:tcW w:type="dxa" w:w="5960"/>
            <w:shd w:fill="0A1F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incluye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SOC2 e ISO 27001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Certificaciones y reportes de seguridad exigidos por clientes corporativos.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SSO / SAML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Inicio de sesión único corporativo para el panel de control de Supabase.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Soporte prioritario + SLA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Atención por correo con prioridad y acuerdos de nivel de servicio (tiempos de respuesta).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Backups 14 días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Retención de copias diarias durante 14 días (vs. 7 en Pro).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Retención de logs 28 días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Historial de registros por 28 días (vs. 7 en Pro).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HIPAA (add-on)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Disponible como complemento de pago si se requiere para datos de salud.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Acceso de solo lectura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Acceso limitado al alcance del proyecto para auditoría/consulta.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A1F52"/>
          <w:sz w:val="26"/>
          <w:szCs w:val="26"/>
        </w:rPr>
        <w:t xml:space="preserve">5. Add-ons recomendados para alto volumen (Bavaria)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Estos complementos se activan sobre el plan Equipo y son los que garantizan velocidad y protección con gran flujo de movimientos. El crédito de USD 10/mes del plan cubre una instancia Micro; al subir de tamaño solo se paga la diferencia.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120"/>
        <w:gridCol w:w="2100"/>
        <w:gridCol w:w="4140"/>
      </w:tblGrid>
      <w:tr>
        <w:trPr>
          <w:tblHeader/>
        </w:trPr>
        <w:tc>
          <w:tcPr>
            <w:tcW w:type="dxa" w:w="3120"/>
            <w:shd w:fill="0A1F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Add-on</w:t>
            </w:r>
          </w:p>
        </w:tc>
        <w:tc>
          <w:tcPr>
            <w:tcW w:type="dxa" w:w="2100"/>
            <w:shd w:fill="0A1F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Precio (USD/mes)</w:t>
            </w:r>
          </w:p>
        </w:tc>
        <w:tc>
          <w:tcPr>
            <w:tcW w:type="dxa" w:w="4140"/>
            <w:shd w:fill="0A1F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Cómputo Micro (1 GB RAM)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10 (cubierto por crédito)</w:t>
            </w:r>
          </w:p>
        </w:tc>
        <w:tc>
          <w:tcPr>
            <w:tcW w:type="dxa" w:w="4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Base; solo para arranque/pruebas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Cómputo Small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15</w:t>
            </w:r>
          </w:p>
        </w:tc>
        <w:tc>
          <w:tcPr>
            <w:tcW w:type="dxa" w:w="4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Operación ligera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Cómputo Medium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60</w:t>
            </w:r>
          </w:p>
        </w:tc>
        <w:tc>
          <w:tcPr>
            <w:tcW w:type="dxa" w:w="4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Recomendado para arranque en Bavaria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Cómputo Large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110</w:t>
            </w:r>
          </w:p>
        </w:tc>
        <w:tc>
          <w:tcPr>
            <w:tcW w:type="dxa" w:w="4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Picos altos de movimiento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Cómputo XL / 2XL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210 / 410</w:t>
            </w:r>
          </w:p>
        </w:tc>
        <w:tc>
          <w:tcPr>
            <w:tcW w:type="dxa" w:w="4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Escalamiento mayor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PITR (recuperación a un punto en el tiempo)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100 por ventana de 7 días</w:t>
            </w:r>
          </w:p>
        </w:tc>
        <w:tc>
          <w:tcPr>
            <w:tcW w:type="dxa" w:w="4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Restaurar al minuto exacto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Réplica de lectura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= precio de una instancia de cómputo</w:t>
            </w:r>
          </w:p>
        </w:tc>
        <w:tc>
          <w:tcPr>
            <w:tcW w:type="dxa" w:w="41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Descarga los reportes/tableros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A1F52"/>
          <w:sz w:val="26"/>
          <w:szCs w:val="26"/>
        </w:rPr>
        <w:t xml:space="preserve">6. Escenarios de costo total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Valores mensuales estimados (plan + cómputo con crédito aplicado + PITR). No incluyen excedentes de uso, que solo se cobran si se superan las cuotas incluidas.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A1F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Escenario</w:t>
            </w:r>
          </w:p>
        </w:tc>
        <w:tc>
          <w:tcPr>
            <w:tcW w:type="dxa" w:w="3120"/>
            <w:shd w:fill="0A1F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Mensual (USD)</w:t>
            </w:r>
          </w:p>
        </w:tc>
        <w:tc>
          <w:tcPr>
            <w:tcW w:type="dxa" w:w="3120"/>
            <w:shd w:fill="0A1F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Anual (USD)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3D91"/>
                <w:sz w:val="19"/>
                <w:szCs w:val="19"/>
              </w:rPr>
              <w:t xml:space="preserve">A · Recomendado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749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8.988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   Equipo 599 + Medium (50 neto) + PITR 100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3D91"/>
                <w:sz w:val="19"/>
                <w:szCs w:val="19"/>
              </w:rPr>
              <w:t xml:space="preserve">B · Pico alto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799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9.588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   Equipo 599 + Large (100 neto) + PITR 100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B3D91"/>
                <w:sz w:val="19"/>
                <w:szCs w:val="19"/>
              </w:rPr>
              <w:t xml:space="preserve">C · Mínimo Equipo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604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7.248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   Equipo 599 + Small (5 neto), sin PITR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</w:tbl>
    <w:p>
      <w:pPr>
        <w:spacing w:after="16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0B3D91"/>
          <w:sz w:val="20"/>
          <w:szCs w:val="20"/>
        </w:rPr>
        <w:t xml:space="preserve">Recomendación INOVA: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Escenario A (Equipo + Cómputo Medium + PITR 7 días) ≈ USD 749/mes. Se puede subir a Large en picos y volver a bajar; el cómputo se ajusta cuando se necesite.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A1F52"/>
          <w:sz w:val="26"/>
          <w:szCs w:val="26"/>
        </w:rPr>
        <w:t xml:space="preserve">7. Glosario — qué significa cada término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0A1F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240"/>
            <w:shd w:fill="0A1F5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F52"/>
                <w:sz w:val="19"/>
                <w:szCs w:val="19"/>
              </w:rPr>
              <w:t xml:space="preserve">MAU (usuarios activos mensuales)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Cantidad de usuarios distintos que usan la app en el mes. Incluye 100.000; muy por encima de lo que necesita la operación.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F52"/>
                <w:sz w:val="19"/>
                <w:szCs w:val="19"/>
              </w:rPr>
              <w:t xml:space="preserve">Disco / tamaño de base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Espacio que ocupan tus datos (movimientos, rótulos, maestros). Incluye 8 GB por proyecto.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F52"/>
                <w:sz w:val="19"/>
                <w:szCs w:val="19"/>
              </w:rPr>
              <w:t xml:space="preserve">Egress (salida de datos)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Datos que salen de Supabase hacia la app/usuarios. Incluye 250 GB al mes.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F52"/>
                <w:sz w:val="19"/>
                <w:szCs w:val="19"/>
              </w:rPr>
              <w:t xml:space="preserve">Salida en caché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Datos servidos desde caché (más baratos). Incluye 250 GB.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F52"/>
                <w:sz w:val="19"/>
                <w:szCs w:val="19"/>
              </w:rPr>
              <w:t xml:space="preserve">Almacenamiento de archivos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Fotos, certificados, adjuntos. Incluye 100 GB.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F52"/>
                <w:sz w:val="19"/>
                <w:szCs w:val="19"/>
              </w:rPr>
              <w:t xml:space="preserve">Backups y retención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Copias automáticas de toda la base. Retención = cuántos días atrás puedes restaurar (14 en Equipo). Es una ventana móvil que se renueva a diario.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F52"/>
                <w:sz w:val="19"/>
                <w:szCs w:val="19"/>
              </w:rPr>
              <w:t xml:space="preserve">PITR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Recuperación a un punto en el tiempo: restaurar la base al minuto exacto (ej. justo antes de un borrado).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F52"/>
                <w:sz w:val="19"/>
                <w:szCs w:val="19"/>
              </w:rPr>
              <w:t xml:space="preserve">Cómputo (compute)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CPU y RAM del servidor de la base. Es lo que da velocidad y aguanta el flujo alto. Se escala por tamaños.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F52"/>
                <w:sz w:val="19"/>
                <w:szCs w:val="19"/>
              </w:rPr>
              <w:t xml:space="preserve">Réplica de lectura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Copia de la base solo para consultas/reportes, para que no compitan con las escrituras de recibo/despacho.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F52"/>
                <w:sz w:val="19"/>
                <w:szCs w:val="19"/>
              </w:rPr>
              <w:t xml:space="preserve">SSO / SAML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Inicio de sesión con la cuenta corporativa de la empresa (lo exige TI de grandes clientes).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F52"/>
                <w:sz w:val="19"/>
                <w:szCs w:val="19"/>
              </w:rPr>
              <w:t xml:space="preserve">SOC2 / ISO 27001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Certificaciones de seguridad de la información.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A1F52"/>
                <w:sz w:val="19"/>
                <w:szCs w:val="19"/>
              </w:rPr>
              <w:t xml:space="preserve">Log drain / retención de logs</w:t>
            </w:r>
          </w:p>
        </w:tc>
        <w:tc>
          <w:tcPr>
            <w:tcW w:type="dxa" w:w="6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9"/>
                <w:szCs w:val="19"/>
              </w:rPr>
              <w:t xml:space="preserve">Envío y conservación de registros de actividad del sistema (28 días en Equipo).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0A1F52"/>
          <w:sz w:val="26"/>
          <w:szCs w:val="26"/>
        </w:rPr>
        <w:t xml:space="preserve">8. Notas y condiciones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Precios en dólares (USD), sin IVA ni impuestos locales. Para pago en pesos, aplicar la TRM del día.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Facturación mensual por organización; los add-ons se activan y desactivan cuando se necesiten.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Los excedentes (MAU, egress, almacenamiento) se cobran solo si se superan las cuotas incluidas.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El rendimiento óptimo requiere, además del plan: subir el cómputo, los índices de base (ya entregados) y usar el pooler de conexiones (Supavisor).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Como respaldo adicional, se recomienda exportar la base (pg_dump) periódicamente y conservar el código y migraciones en Git.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19"/>
          <w:szCs w:val="19"/>
        </w:rPr>
        <w:t xml:space="preserve">Los precios de Supabase pueden variar; verificar en supabase.com/pricing al momento de contratar.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30b760db9cc7aba0cbf1bbaaa506862c7b8602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2026-08-03T15:55:08.626Z</dcterms:created>
  <dcterms:modified xsi:type="dcterms:W3CDTF">2026-08-03T15:55:08.626Z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