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Normalizing Unstructured Jakarta Addresses with Small Language Models: Deterministic Verification and Confidence-State Reporting</w:t>
      </w:r>
      <w:r w:rsidDel="00000000" w:rsidR="00000000" w:rsidRPr="00000000">
        <w:rPr>
          <w:rtl w:val="0"/>
        </w:rPr>
      </w:r>
    </w:p>
    <w:p w:rsidR="00000000" w:rsidDel="00000000" w:rsidP="00000000" w:rsidRDefault="00000000" w:rsidRPr="00000000" w14:paraId="00000002">
      <w:pPr>
        <w:spacing w:after="280" w:lineRule="auto"/>
        <w:jc w:val="center"/>
        <w:rPr>
          <w:rFonts w:ascii="Times New Roman" w:cs="Times New Roman" w:eastAsia="Times New Roman" w:hAnsi="Times New Roman"/>
          <w:sz w:val="20"/>
          <w:szCs w:val="20"/>
        </w:rPr>
        <w:sectPr>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03">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4">
      <w:pPr>
        <w:spacing w:after="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geospatial data is foundational to financial, e-commerce, and logistics systems [1]. In Indonesia, the urgency for precise addressing is underscored by the explosive growth of the e-commerce sector (nearly 500% between 2015 and 2019) [2], which has placed sustained pressure on last-mile delivery providers as the most expensive, inefficient, and polluting part of the logistics chain. This demand is especially critical in high-volume regions like Java, specifically West Java and Jakarta, where parcel delivery is heavily concentrated [2]. Indonesian addresses remain highly inconsistent due to the absence of national addressing standards [3] and the lack of centralized address governance [6]. Addresses are routinely written with idiosyncratic abbreviations (e.g., “Klp Gdng” for “Kelapa Gading”), local slang, and frequent omission of hierarchical components, leading to a reality where the majority of the address are incomplete. Even after the introduction of the national standard </w:t>
      </w:r>
      <w:r w:rsidDel="00000000" w:rsidR="00000000" w:rsidRPr="00000000">
        <w:rPr>
          <w:rFonts w:ascii="Times New Roman" w:cs="Times New Roman" w:eastAsia="Times New Roman" w:hAnsi="Times New Roman"/>
          <w:sz w:val="20"/>
          <w:szCs w:val="20"/>
          <w:shd w:fill="fff2cc" w:val="clear"/>
          <w:rtl w:val="0"/>
        </w:rPr>
        <w:t xml:space="preserve">SNI 9037:2021</w:t>
      </w:r>
      <w:r w:rsidDel="00000000" w:rsidR="00000000" w:rsidRPr="00000000">
        <w:rPr>
          <w:rFonts w:ascii="Times New Roman" w:cs="Times New Roman" w:eastAsia="Times New Roman" w:hAnsi="Times New Roman"/>
          <w:sz w:val="20"/>
          <w:szCs w:val="20"/>
          <w:rtl w:val="0"/>
        </w:rPr>
        <w:t xml:space="preserve">, a survey conducted in Mantrijeron, Yogyakarta revealed that only 70 out of 2,222 buildings (3.1%) conform to standardized addressing rules [4], with pathologies including one address shared across twelve distinct structures and “nested addresses” that conflate two administrative regions in one line.</w:t>
      </w:r>
    </w:p>
    <w:p w:rsidR="00000000" w:rsidDel="00000000" w:rsidP="00000000" w:rsidRDefault="00000000" w:rsidRPr="00000000" w14:paraId="00000005">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approaches do not transfer cleanly. Rule-based parsers and standard probabilistic tools fail on noisy text, they struggle with Out-Of-Address (OOA) terms such as phone numbers, account codes, or unrelated metadata interspersed within the address string [5]. Furthermore, standard address locators found in common software packages are not suitable for the Indonesian situation [6] because they cannot process essential micro-administrative components like Rukun Tetangga (RT), and Rukun Warga (RW). Large Language Models offer linguistic flexibility but are costly to deploy at scale and often trail behind specialized neural architectures in parsing precision, particularly when processing specific directional components [5, 18]. Moreover, they are prone to hallucinations such as modified word index, inferred but nonexistent administrative tags, and formatting failures like nested JSON that may appear semantically valid without external verification [5].</w:t>
      </w:r>
    </w:p>
    <w:p w:rsidR="00000000" w:rsidDel="00000000" w:rsidP="00000000" w:rsidRDefault="00000000" w:rsidRPr="00000000" w14:paraId="00000006">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This research concentrates on the DKI Jakarta region, a heavily populated metropolitan area characterized by a complex administrative hierarchy (Provinsi → Kota/Kabupaten → Kecamatan → Kelurahan → RT/RW). We frame the Jakarta normalization problem as a compound uncertainty problem: simultaneous structural irregularity in informal address text and structural incompleteness in the authoritative administrative reference data. We adopt the local term “data rumpang” for the latter: the Pergub-derived Jakarta street and landmark masters reveals 30.1% null kelurahan assignments, 34.2% null postal codes, and 266 landmark entries with no administrative anchor whatsoever. Any system designed for complete reference databases risks either silently failing or silently hallucinating.</w:t>
      </w:r>
    </w:p>
    <w:p w:rsidR="00000000" w:rsidDel="00000000" w:rsidP="00000000" w:rsidRDefault="00000000" w:rsidRPr="00000000" w14:paraId="00000007">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makes four primary contributions. (i) We formalize a two-error-mode framework that decomposes address-normalization failures into syntactic extraction errors (caused by informal and noisy input text) and semantic verification errors (caused by “data rumpang” in authoritative references). We operationalize this framework by engineering a 230,000-sample hybrid synthetic training corpus. This dataset is built using a rule-based pipeline to inject realistic administrative gaps from Jakarta's master data, combined with an external LLM used strictly to generate natural-language conversational prefixes (e.g., </w:t>
      </w:r>
      <w:r w:rsidDel="00000000" w:rsidR="00000000" w:rsidRPr="00000000">
        <w:rPr>
          <w:rFonts w:ascii="Times New Roman" w:cs="Times New Roman" w:eastAsia="Times New Roman" w:hAnsi="Times New Roman"/>
          <w:i w:val="1"/>
          <w:iCs w:val="1"/>
          <w:sz w:val="20"/>
          <w:szCs w:val="20"/>
          <w:rtl w:val="0"/>
        </w:rPr>
        <w:t xml:space="preserve">“tolong kirim ke…”, “alamatku ada di…”</w:t>
      </w:r>
      <w:r w:rsidDel="00000000" w:rsidR="00000000" w:rsidRPr="00000000">
        <w:rPr>
          <w:rFonts w:ascii="Times New Roman" w:cs="Times New Roman" w:eastAsia="Times New Roman" w:hAnsi="Times New Roman"/>
          <w:sz w:val="20"/>
          <w:szCs w:val="20"/>
          <w:rtl w:val="0"/>
        </w:rPr>
        <w:t xml:space="preserve">) and syntactic noise (e.g., typos and abbreviations). The framework therefore functions not only as a conceptual taxonomy but as the design specification for the training corpus that supervises Stage 1. (ii) We design a two-stage hybrid inference pipeline that pairs a QLoRA-fine-tuned Llama-3.1-8B model with a deterministic post-hoc verification module (AdminVerifier), governed by an explicit null-honesty principle that resolves each failure mode at the architectural stage suited to it. (iii) We introduce a four-state per-field confidence schema (Verified, Inferred, Unverifiable, Free-form) and report its empirical distribution as a first-class finding that characterizes the epistemic completeness of Jakarta's administrative reference data independently of the language model's performance. (iv) The approach supports a Proof of Sufficiency argument: a compact 8-billion-parameter SLM, paired with structured post-hoc grounding and supervised by a corpus engineered against the two-error-mode taxonomy, can achieve competitive performance while operating at substantially lower computational and privacy cost than large-scale general-purpose language models.</w:t>
      </w:r>
    </w:p>
    <w:p w:rsidR="00000000" w:rsidDel="00000000" w:rsidP="00000000" w:rsidRDefault="00000000" w:rsidRPr="00000000" w14:paraId="00000008">
      <w:pPr>
        <w:spacing w:after="0" w:line="252.00000000000003"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0" w:line="252.00000000000003"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00B">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Address Parsing and Domain-Adapted Language Models</w:t>
      </w:r>
      <w:r w:rsidDel="00000000" w:rsidR="00000000" w:rsidRPr="00000000">
        <w:rPr>
          <w:rtl w:val="0"/>
        </w:rPr>
      </w:r>
    </w:p>
    <w:p w:rsidR="00000000" w:rsidDel="00000000" w:rsidP="00000000" w:rsidRDefault="00000000" w:rsidRPr="00000000" w14:paraId="0000000C">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parsing has evolved from rule-based and statistical methods to domain-specific neural architectures. Deepparse [7], an open-source library leveraging Seq2Seq architectures with Bi-LSTM subword embeddings for multinational address parsing. Subsequent evaluations established a zero-shot transfer regime that achieved 64%–72% accuracy on Indonesian [12] addresses while utilizing attention mechanisms to improve the parsing of incomplete records. Wu et al. (Cainiao) introduced G2PTL [13], a pre-trained model that integrates Transformer-based semantic learning with Graphormer-based spatial encoding on 93 million addresses to achieve significant gains in geocoding, address parsing (AET/AEP), and arrival time estimation (PETA). In the Indian context, GeoIndia [8] applied Seq2Seq decoding with H3 hexagonal cell prediction to unstructured Indian e-commerce addresses, demonstrating the superiority of generative models like Flan-T5 in capturing regional nuances. Singh et al. [20] further enhanced spatial understanding by implementing a geo-spatially informed RoBERTa model with a distance-aware triplet loss, showing that scaling training margins based on real-world distance helps the model handle incomplete and noisy addresses more effectively. CNER-UAV study [14] on fine-grained Chinese address NER demonstrated that LLM zero-shot inference cannot substitute manual labeling for purpose-trained models on hierarchical address entities, thereby justifying the need for the domain-adapted SFT regime used in this work.</w:t>
      </w:r>
    </w:p>
    <w:p w:rsidR="00000000" w:rsidDel="00000000" w:rsidP="00000000" w:rsidRDefault="00000000" w:rsidRPr="00000000" w14:paraId="0000000D">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Masis and O’Connor [22] demonstrated that while LLMs struggle as standalone geographic knowledge bases, task-fine-tuned small LLMs (8B–14B parameters) can match or exceed the performance of much larger models in geocoding compositional location references. In a converging result, Hammami et al. [5] establish that fine-tuned encoders like XLM-RoBERTa-Large substantially outperform generative LLM baselines on noisy multinational financial addresses; similarly [18] reach the same conclusion on US addresses, demonstrating that BiLSTM-CRF outperforms GPT-3 on the noisy-address parsing task. Collectively, these results situate our Proof-of-Sufficiency argument within the current empirical state of SLM research.</w:t>
      </w:r>
    </w:p>
    <w:p w:rsidR="00000000" w:rsidDel="00000000" w:rsidP="00000000" w:rsidRDefault="00000000" w:rsidRPr="00000000" w14:paraId="0000000E">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  Generative Normalization and the Verification Gap</w:t>
      </w:r>
      <w:r w:rsidDel="00000000" w:rsidR="00000000" w:rsidRPr="00000000">
        <w:rPr>
          <w:rtl w:val="0"/>
        </w:rPr>
      </w:r>
    </w:p>
    <w:p w:rsidR="00000000" w:rsidDel="00000000" w:rsidP="00000000" w:rsidRDefault="00000000" w:rsidRPr="00000000" w14:paraId="0000000F">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Generative information extraction for address normalization has been instantiated across at least five architectural patterns. Canonical Retrieval-Augmented Generation (RAG) is pioneered by AddrLLM [1], which combines multi-instruction SFT (parsing, entity prediction, and rewriting) with address-centric vector retrieval over a nationwide Chinese address database. This paradigm is extended by AddrKG-LLM [10], which adds GraphSAGE-derived knowledge-graph embeddings and a hierarchy-aware contrastive learning objective to enforce schema-restricted decoding for sensitive medical records. GeoAgent [15], an agentic framework that leverages an LLM to dynamically invoke external map APIs as callable geospatial tools. Huang et al. [16] propose GTBERT-Pointer, a parameter-efficient framework that infuses geospatial gazetteer and hierarchical administrative knowledge into a BERT encoder through specialized adapters and an efficient global pointer mechanism. While Tarannum et al. [17] demonstrate that a 17-field schema can be parsed effectively using LLMs via structured prompting and rule-based validation without fine-tuning, Yin et al. [18] reveal that such generative approaches still underperform compared to fine-tuned BiLSTM-CRF models when handling low-quality address within a U.S. based benchmark. To address the structural unreliability inherent in these generative outputs, SLOT [23] introduces a model-agnostic framework that employs a fine-tuned Mistral-7B post-processor combined with constrained decoding to achieve 99.5% schema accuracy, providing a generalized structural layer that complements domain-specific verification strategies.</w:t>
      </w:r>
    </w:p>
    <w:p w:rsidR="00000000" w:rsidDel="00000000" w:rsidP="00000000" w:rsidRDefault="00000000" w:rsidRPr="00000000" w14:paraId="00000010">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Hu et al. [16] pair domain-adapted lightweight LLMs with external geocoder validation (GeoNames, Nominatim, ArcGIS) can outperform both rule-based parsers and general-purpose LLMs in toponym resolution, they assume comprehensive gazetteer coverage. This limitation is identified by the systematic review of Yin et al. [24] as a persistent bottleneck for next-generation systems. Wang et al. [21] take a training-time approach to the same hallucination concern, benchmarking twenty LLMs on geospatial knowledge and proposing Kahneman–Tversky Optimization for factuality alignment; our work addresses the same risk through a deterministic post-hoc grounding mechanism rather than an alignment-stage intervention. A separate line of recent work,  ReaGeo [11] proposes end-to-end generative geocoding via chain-of-thought reasoning and reinforcement-learning-based geohash prediction. However, its coordinate-level outputs do not provide the structured per-field address information required for administrative standards such as SNI 9037:2021.</w:t>
      </w:r>
    </w:p>
    <w:p w:rsidR="00000000" w:rsidDel="00000000" w:rsidP="00000000" w:rsidRDefault="00000000" w:rsidRPr="00000000" w14:paraId="00000011">
      <w:pPr>
        <w:spacing w:after="0" w:line="252.00000000000003"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verification stage differs architecturally from all of these patterns: it operates entirely post-hoc on the model's structured output, performs no vector retrieval, never modifies the model's input or hidden state, and uses deterministic indexed lookup. We therefore refer to Stage 2 as Deterministic Administrative Database Grounding rather than RAG.</w:t>
      </w:r>
    </w:p>
    <w:p w:rsidR="00000000" w:rsidDel="00000000" w:rsidP="00000000" w:rsidRDefault="00000000" w:rsidRPr="00000000" w14:paraId="00000012">
      <w:pPr>
        <w:spacing w:after="4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  Indonesian Context and Rumpang Data</w:t>
      </w:r>
      <w:r w:rsidDel="00000000" w:rsidR="00000000" w:rsidRPr="00000000">
        <w:rPr>
          <w:rtl w:val="0"/>
        </w:rPr>
      </w:r>
    </w:p>
    <w:p w:rsidR="00000000" w:rsidDel="00000000" w:rsidP="00000000" w:rsidRDefault="00000000" w:rsidRPr="00000000" w14:paraId="00000013">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Empirical surveys of Indonesian addressing reveal extremely low compliance with national standards [4] find that only 3.1% of buildings in their Yogyakarta survey site conform to SNI 9037:2021, with pathologies including shared addresses across multiple structures and addresses that conflate multiple administrative boundaries. While Sutanta's earlier work on geocoding frameworks for urban Indonesia [6] identify institutional roots and the inadequacy of imported ArcGIS-style locators for Indonesian context. Recent attempts by Ansori et al. to resolve indigenous Bali Banjar addresses [19], which combines Levenshtein, Partial Ratio, and Token Sort Ratio fuzzy matching with domain-rule filtering to achieve 95% convergence on a Bali test set without any predefined gazetteer. Their setting differs from this work because Bali Banjar addresses do not require resolution to the national Kelurahan/Kecamatan hierarchy targeted here, and their fuzzy-only approach cannot handle the syntactic chaos (RT/RW formatting, code-switching, dense abbreviation) characteristic of Jakarta informal addresses for which the SLM stage of the present work is specifically designed. This work treats incomplete reference data (rumpang data) as a core design constraint through the null-honesty principle and the four-state per-field schema, where missing information is explicitly reported rather than hidden.</w:t>
      </w:r>
    </w:p>
    <w:p w:rsidR="00000000" w:rsidDel="00000000" w:rsidP="00000000" w:rsidRDefault="00000000" w:rsidRPr="00000000" w14:paraId="00000014">
      <w:pPr>
        <w:spacing w:after="0" w:line="252.00000000000003" w:lineRule="auto"/>
        <w:ind w:firstLine="27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8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References</w:t>
      </w:r>
      <w:r w:rsidDel="00000000" w:rsidR="00000000" w:rsidRPr="00000000">
        <w:rPr>
          <w:rtl w:val="0"/>
        </w:rPr>
      </w:r>
    </w:p>
    <w:p w:rsidR="00000000" w:rsidDel="00000000" w:rsidP="00000000" w:rsidRDefault="00000000" w:rsidRPr="00000000" w14:paraId="00000016">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 Q. Yang et al., “AddrLLM: Address Rewriting via Large Language Model on Nationwide Logistics Data,” arXiv:2411.13584, Nov. 2024.</w:t>
      </w:r>
      <w:r w:rsidDel="00000000" w:rsidR="00000000" w:rsidRPr="00000000">
        <w:rPr>
          <w:rtl w:val="0"/>
        </w:rPr>
      </w:r>
    </w:p>
    <w:p w:rsidR="00000000" w:rsidDel="00000000" w:rsidP="00000000" w:rsidRDefault="00000000" w:rsidRPr="00000000" w14:paraId="00000017">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 I. Surjandari, R. Rindrasari, and A. Dhini, “Evaluation of Efficiency in Logistics Company: An Analysis of Last-Mile Delivery,” Evergreen, vol. 10, no. 2, pp. 649–657, 2023.</w:t>
      </w:r>
      <w:r w:rsidDel="00000000" w:rsidR="00000000" w:rsidRPr="00000000">
        <w:rPr>
          <w:rtl w:val="0"/>
        </w:rPr>
      </w:r>
    </w:p>
    <w:p w:rsidR="00000000" w:rsidDel="00000000" w:rsidP="00000000" w:rsidRDefault="00000000" w:rsidRPr="00000000" w14:paraId="00000018">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 H. Sutanta, N. P. P. Chintya, and Z. Syarafina, “Issues and Challenges in Developing Geocoded Address in Indonesia,” AIP Conf. Proc., vol. 1755, p. 070010, 2016.</w:t>
      </w:r>
      <w:r w:rsidDel="00000000" w:rsidR="00000000" w:rsidRPr="00000000">
        <w:rPr>
          <w:rtl w:val="0"/>
        </w:rPr>
      </w:r>
    </w:p>
    <w:p w:rsidR="00000000" w:rsidDel="00000000" w:rsidP="00000000" w:rsidRDefault="00000000" w:rsidRPr="00000000" w14:paraId="00000019">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[4] P. R. M. Aprinia and H. Sutanta, “Survei dan Pembuatan SIG Alamat Berkode Lokasi untuk Kalurahan Mantrijeron, Yogyakarta,” JGISE, vol. 7, no. 2, p. 208, 2024.</w:t>
      </w:r>
      <w:r w:rsidDel="00000000" w:rsidR="00000000" w:rsidRPr="00000000">
        <w:rPr>
          <w:rtl w:val="0"/>
        </w:rPr>
      </w:r>
    </w:p>
    <w:p w:rsidR="00000000" w:rsidDel="00000000" w:rsidP="00000000" w:rsidRDefault="00000000" w:rsidRPr="00000000" w14:paraId="0000001A">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[5] H. Hammami, L. Baligand, and B. Petrovski, “Fighting Crime with Transformers: Empirical Analysis of Address Parsing Methods in Payment Data,” arXiv:2404.05632, 2024.</w:t>
      </w:r>
      <w:r w:rsidDel="00000000" w:rsidR="00000000" w:rsidRPr="00000000">
        <w:rPr>
          <w:rtl w:val="0"/>
        </w:rPr>
      </w:r>
    </w:p>
    <w:p w:rsidR="00000000" w:rsidDel="00000000" w:rsidP="00000000" w:rsidRDefault="00000000" w:rsidRPr="00000000" w14:paraId="0000001B">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[6] H. Sutanta, “Developing Address Model and Geocoding Framework for Urban Area in Indonesia,” 2023.</w:t>
      </w:r>
      <w:r w:rsidDel="00000000" w:rsidR="00000000" w:rsidRPr="00000000">
        <w:rPr>
          <w:rtl w:val="0"/>
        </w:rPr>
      </w:r>
    </w:p>
    <w:p w:rsidR="00000000" w:rsidDel="00000000" w:rsidP="00000000" w:rsidRDefault="00000000" w:rsidRPr="00000000" w14:paraId="0000001C">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[7] D. Beauchemin and M. Yassine, “Deepparse: An Extendable and Fine-Tunable State-of-the-Art Library for Parsing Multinational Street Addresses,” in Proc. NLP-OSS 2023, pp. 19–24.</w:t>
      </w:r>
      <w:r w:rsidDel="00000000" w:rsidR="00000000" w:rsidRPr="00000000">
        <w:rPr>
          <w:rtl w:val="0"/>
        </w:rPr>
      </w:r>
    </w:p>
    <w:p w:rsidR="00000000" w:rsidDel="00000000" w:rsidP="00000000" w:rsidRDefault="00000000" w:rsidRPr="00000000" w14:paraId="0000001D">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[8] B. Singhal et al., “GeoIndia: A Seq2Seq Geocoding Approach for Indian Addresses,” in Proc. EMNLP Industry Track, 2024, pp. 395–407.</w:t>
      </w:r>
      <w:r w:rsidDel="00000000" w:rsidR="00000000" w:rsidRPr="00000000">
        <w:rPr>
          <w:rtl w:val="0"/>
        </w:rPr>
      </w:r>
    </w:p>
    <w:p w:rsidR="00000000" w:rsidDel="00000000" w:rsidP="00000000" w:rsidRDefault="00000000" w:rsidRPr="00000000" w14:paraId="0000001E">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[9] Y. Hu, J. Kersten, F. Klan, and F. T. Farzana, “Toponym Resolution Leveraging Lightweight Language Models and External Geo-Knowledge,” Int. J. Geographical Information Science, 2024.</w:t>
      </w:r>
      <w:r w:rsidDel="00000000" w:rsidR="00000000" w:rsidRPr="00000000">
        <w:rPr>
          <w:rtl w:val="0"/>
        </w:rPr>
      </w:r>
    </w:p>
    <w:p w:rsidR="00000000" w:rsidDel="00000000" w:rsidP="00000000" w:rsidRDefault="00000000" w:rsidRPr="00000000" w14:paraId="0000001F">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[10] J. Li, X. Pan, and Y. Jia, “Patient Address Parsing via KG-aware Contrastive Learning and Constrained On-Prem LLM Inference (AddrKG-LLM),” Scientific Reports, 2026.</w:t>
      </w:r>
      <w:r w:rsidDel="00000000" w:rsidR="00000000" w:rsidRPr="00000000">
        <w:rPr>
          <w:rtl w:val="0"/>
        </w:rPr>
      </w:r>
    </w:p>
    <w:p w:rsidR="00000000" w:rsidDel="00000000" w:rsidP="00000000" w:rsidRDefault="00000000" w:rsidRPr="00000000" w14:paraId="00000020">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[11] ReaGeo: End-to-End Geocoding via Chain-of-Thought Reasoning and Reinforcement-Learning-Based Geohash Prediction, arXiv:2604.21357, 2026.</w:t>
      </w:r>
      <w:r w:rsidDel="00000000" w:rsidR="00000000" w:rsidRPr="00000000">
        <w:rPr>
          <w:rtl w:val="0"/>
        </w:rPr>
      </w:r>
    </w:p>
    <w:p w:rsidR="00000000" w:rsidDel="00000000" w:rsidP="00000000" w:rsidRDefault="00000000" w:rsidRPr="00000000" w14:paraId="00000021">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[12] M. Yassine, D. Beauchemin, F. Laviolette, and L. Lamontagne, “Multinational Address Parsing: A Zero-Shot Evaluation,” arXiv:2112.04008, 2021.</w:t>
      </w:r>
      <w:r w:rsidDel="00000000" w:rsidR="00000000" w:rsidRPr="00000000">
        <w:rPr>
          <w:rtl w:val="0"/>
        </w:rPr>
      </w:r>
    </w:p>
    <w:p w:rsidR="00000000" w:rsidDel="00000000" w:rsidP="00000000" w:rsidRDefault="00000000" w:rsidRPr="00000000" w14:paraId="00000022">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[13] L. Wu et al., “G2PTL: A Pre-trained Model for Delivery Address and its Applications in Logistics Systems,” in Proc. ACM KDD, 2023.</w:t>
      </w:r>
      <w:r w:rsidDel="00000000" w:rsidR="00000000" w:rsidRPr="00000000">
        <w:rPr>
          <w:rtl w:val="0"/>
        </w:rPr>
      </w:r>
    </w:p>
    <w:p w:rsidR="00000000" w:rsidDel="00000000" w:rsidP="00000000" w:rsidRDefault="00000000" w:rsidRPr="00000000" w14:paraId="00000023">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[14] Y. Yao, S. Luo, H. Zhao, G. Deng, and L. Song, “Can LLM Substitute Human Labeling? A Case Study of Fine-grained Chinese Address Entity Recognition for UAV Delivery,” in Proc. ACM WWW, 2024.</w:t>
      </w:r>
      <w:r w:rsidDel="00000000" w:rsidR="00000000" w:rsidRPr="00000000">
        <w:rPr>
          <w:rtl w:val="0"/>
        </w:rPr>
      </w:r>
    </w:p>
    <w:p w:rsidR="00000000" w:rsidDel="00000000" w:rsidP="00000000" w:rsidRDefault="00000000" w:rsidRPr="00000000" w14:paraId="00000024">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[15] C. Huang, S. Chen, Z. Li, J. Qu, Y. Xiao, J. Liu, and Z. Chen, “GeoAgent: To Empower LLMs Using Geospatial Tools for Address Standardization,” in Findings of ACL, 2024, pp. 6048–6063.</w:t>
      </w:r>
      <w:r w:rsidDel="00000000" w:rsidR="00000000" w:rsidRPr="00000000">
        <w:rPr>
          <w:rtl w:val="0"/>
        </w:rPr>
      </w:r>
    </w:p>
    <w:p w:rsidR="00000000" w:rsidDel="00000000" w:rsidP="00000000" w:rsidRDefault="00000000" w:rsidRPr="00000000" w14:paraId="00000025">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[16] J. Huang, S. Liu, Y. Qiao, and Y. Wu, “Gazetteer- and Type-Enhanced Chinese Address Parsing BERT with an Efficient Global Pointer,” Int. J. Digital Earth, vol. 18, no. 2, p. 2594917, 2025.</w:t>
      </w:r>
      <w:r w:rsidDel="00000000" w:rsidR="00000000" w:rsidRPr="00000000">
        <w:rPr>
          <w:rtl w:val="0"/>
        </w:rPr>
      </w:r>
    </w:p>
    <w:p w:rsidR="00000000" w:rsidDel="00000000" w:rsidP="00000000" w:rsidRDefault="00000000" w:rsidRPr="00000000" w14:paraId="00000026">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[17] A. Tarannum, M. A. Mohammed, M. C. Cakmak, S. Al Mandalawi, and J. Talburt, “A System for Name and Address Parsing with Large Language Models,” Springer / ITNG 2024.</w:t>
      </w:r>
      <w:r w:rsidDel="00000000" w:rsidR="00000000" w:rsidRPr="00000000">
        <w:rPr>
          <w:rtl w:val="0"/>
        </w:rPr>
      </w:r>
    </w:p>
    <w:p w:rsidR="00000000" w:rsidDel="00000000" w:rsidP="00000000" w:rsidRDefault="00000000" w:rsidRPr="00000000" w14:paraId="00000027">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[18] Z. Yin, D. Li, and D. W. Goldberg, “Is ChatGPT a Game Changer for Geocoding — A Benchmark for Geocoding Address Parsing Techniques,” in Proc. ACM SIGSPATIAL, 2024.</w:t>
      </w:r>
      <w:r w:rsidDel="00000000" w:rsidR="00000000" w:rsidRPr="00000000">
        <w:rPr>
          <w:rtl w:val="0"/>
        </w:rPr>
      </w:r>
    </w:p>
    <w:p w:rsidR="00000000" w:rsidDel="00000000" w:rsidP="00000000" w:rsidRDefault="00000000" w:rsidRPr="00000000" w14:paraId="00000028">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[19] M. I. Ansori, W. Anggraeni, and R. A. Vinarti, “Integration of Fuzzy Matching and Domain Rules for Identifying Bali’s Indigenous Banjar-Based Addresses in Last-Mile Delivery Without Predefined Gazetteers,” ETASR, vol. 16, no. 1, pp. 32276–32284, 2026.</w:t>
      </w:r>
      <w:r w:rsidDel="00000000" w:rsidR="00000000" w:rsidRPr="00000000">
        <w:rPr>
          <w:rtl w:val="0"/>
        </w:rPr>
      </w:r>
    </w:p>
    <w:p w:rsidR="00000000" w:rsidDel="00000000" w:rsidP="00000000" w:rsidRDefault="00000000" w:rsidRPr="00000000" w14:paraId="00000029">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[20] U. Singh, R. S. Devanapalli, G. Bellala, and V. Goel, “Geo-Spatially Informed Models for Geocoding Unstructured Addresses,” in Proc. COLING Industry Track, 2025, pp. 236–242.</w:t>
      </w:r>
      <w:r w:rsidDel="00000000" w:rsidR="00000000" w:rsidRPr="00000000">
        <w:rPr>
          <w:rtl w:val="0"/>
        </w:rPr>
      </w:r>
    </w:p>
    <w:p w:rsidR="00000000" w:rsidDel="00000000" w:rsidP="00000000" w:rsidRDefault="00000000" w:rsidRPr="00000000" w14:paraId="0000002A">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[21] S. Wang, J. Feng, T. Liu, D. Pei, and Y. Li, “Mitigating Geospatial Knowledge Hallucination in Large Language Models: Benchmarking and Dynamic Factuality Aligning,” in Findings of EMNLP, 2025, pp. 870–888.</w:t>
      </w:r>
      <w:r w:rsidDel="00000000" w:rsidR="00000000" w:rsidRPr="00000000">
        <w:rPr>
          <w:rtl w:val="0"/>
        </w:rPr>
      </w:r>
    </w:p>
    <w:p w:rsidR="00000000" w:rsidDel="00000000" w:rsidP="00000000" w:rsidRDefault="00000000" w:rsidRPr="00000000" w14:paraId="0000002B">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[22] T. Masis and B. O'Connor, “Coordinates from Context: Using LLMs to Ground Complex Location References,” in Proc. EACL (Volume 1: Long Papers), 2026, pp. 1591–1606.</w:t>
      </w:r>
      <w:r w:rsidDel="00000000" w:rsidR="00000000" w:rsidRPr="00000000">
        <w:rPr>
          <w:rtl w:val="0"/>
        </w:rPr>
      </w:r>
    </w:p>
    <w:p w:rsidR="00000000" w:rsidDel="00000000" w:rsidP="00000000" w:rsidRDefault="00000000" w:rsidRPr="00000000" w14:paraId="0000002C">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[23] D. Y.-B. Wang, Z. Shen, S. S. Mishra, Z. Xu, Y. Teng, and H. Ding, “SLOT: Structuring the Output of Large Language Models,” arXiv:2505.04016, 2025.</w:t>
      </w:r>
      <w:r w:rsidDel="00000000" w:rsidR="00000000" w:rsidRPr="00000000">
        <w:rPr>
          <w:rtl w:val="0"/>
        </w:rPr>
      </w:r>
    </w:p>
    <w:p w:rsidR="00000000" w:rsidDel="00000000" w:rsidP="00000000" w:rsidRDefault="00000000" w:rsidRPr="00000000" w14:paraId="0000002D">
      <w:pPr>
        <w:spacing w:after="0" w:line="240" w:lineRule="auto"/>
        <w:ind w:left="31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[24] Z. Yin, D. W. Goldberg, B. Lin, B. Zhou, D. Li, A. Ma, et al., “Toward Building Next-Generation Geocoding Systems: A Systematic Review,” preprint, 2025.</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NOVELTY SUMMARY</w:t>
      </w:r>
    </w:p>
    <w:p w:rsidR="00000000" w:rsidDel="00000000" w:rsidP="00000000" w:rsidRDefault="00000000" w:rsidRPr="00000000" w14:paraId="00000030">
      <w:pPr>
        <w:numPr>
          <w:ilvl w:val="0"/>
          <w:numId w:val="1"/>
        </w:numPr>
        <w:spacing w:after="0" w:afterAutospacing="0" w:before="2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[N1] </w:t>
      </w:r>
      <w:r w:rsidDel="00000000" w:rsidR="00000000" w:rsidRPr="00000000">
        <w:rPr>
          <w:rFonts w:ascii="Nunito" w:cs="Nunito" w:eastAsia="Nunito" w:hAnsi="Nunito"/>
          <w:sz w:val="20"/>
          <w:szCs w:val="20"/>
          <w:rtl w:val="0"/>
        </w:rPr>
        <w:t xml:space="preserve">Two-error-mode framework: syntactic extraction errors + semantic verification errors</w:t>
      </w:r>
    </w:p>
    <w:p w:rsidR="00000000" w:rsidDel="00000000" w:rsidP="00000000" w:rsidRDefault="00000000" w:rsidRPr="00000000" w14:paraId="00000031">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[N2] </w:t>
      </w:r>
      <w:r w:rsidDel="00000000" w:rsidR="00000000" w:rsidRPr="00000000">
        <w:rPr>
          <w:rFonts w:ascii="Nunito" w:cs="Nunito" w:eastAsia="Nunito" w:hAnsi="Nunito"/>
          <w:sz w:val="20"/>
          <w:szCs w:val="20"/>
          <w:rtl w:val="0"/>
        </w:rPr>
        <w:t xml:space="preserve">Deterministic AdminVerifier: indexed exact lookup, post-hoc —&gt; bukan RAG</w:t>
      </w:r>
    </w:p>
    <w:p w:rsidR="00000000" w:rsidDel="00000000" w:rsidP="00000000" w:rsidRDefault="00000000" w:rsidRPr="00000000" w14:paraId="00000032">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[N3] </w:t>
      </w:r>
      <w:r w:rsidDel="00000000" w:rsidR="00000000" w:rsidRPr="00000000">
        <w:rPr>
          <w:rFonts w:ascii="Nunito" w:cs="Nunito" w:eastAsia="Nunito" w:hAnsi="Nunito"/>
          <w:sz w:val="20"/>
          <w:szCs w:val="20"/>
          <w:rtl w:val="0"/>
        </w:rPr>
        <w:t xml:space="preserve">4-state per-field confidence: {Verified, Inferred, Unverifiable, Free-form}</w:t>
      </w:r>
    </w:p>
    <w:p w:rsidR="00000000" w:rsidDel="00000000" w:rsidP="00000000" w:rsidRDefault="00000000" w:rsidRPr="00000000" w14:paraId="00000033">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[N4] </w:t>
      </w:r>
      <w:r w:rsidDel="00000000" w:rsidR="00000000" w:rsidRPr="00000000">
        <w:rPr>
          <w:rFonts w:ascii="Nunito" w:cs="Nunito" w:eastAsia="Nunito" w:hAnsi="Nunito"/>
          <w:sz w:val="20"/>
          <w:szCs w:val="20"/>
          <w:rtl w:val="0"/>
        </w:rPr>
        <w:t xml:space="preserve">Null-honesty principle: explicit Unverifiable output, tidak hallucinate</w:t>
      </w:r>
    </w:p>
    <w:p w:rsidR="00000000" w:rsidDel="00000000" w:rsidP="00000000" w:rsidRDefault="00000000" w:rsidRPr="00000000" w14:paraId="00000034">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[N5] </w:t>
      </w:r>
      <w:r w:rsidDel="00000000" w:rsidR="00000000" w:rsidRPr="00000000">
        <w:rPr>
          <w:rFonts w:ascii="Nunito" w:cs="Nunito" w:eastAsia="Nunito" w:hAnsi="Nunito"/>
          <w:sz w:val="20"/>
          <w:szCs w:val="20"/>
          <w:rtl w:val="0"/>
        </w:rPr>
        <w:t xml:space="preserve">Data rumpang sebagai design constraint (~30% null kelurahan Jakarta DB)</w:t>
      </w:r>
    </w:p>
    <w:p w:rsidR="00000000" w:rsidDel="00000000" w:rsidP="00000000" w:rsidRDefault="00000000" w:rsidRPr="00000000" w14:paraId="00000035">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[N6] </w:t>
      </w:r>
      <w:r w:rsidDel="00000000" w:rsidR="00000000" w:rsidRPr="00000000">
        <w:rPr>
          <w:rFonts w:ascii="Nunito" w:cs="Nunito" w:eastAsia="Nunito" w:hAnsi="Nunito"/>
          <w:sz w:val="20"/>
          <w:szCs w:val="20"/>
          <w:rtl w:val="0"/>
        </w:rPr>
        <w:t xml:space="preserve">230K hybrid synthetic corpus: rule-based gap injection + LLM noise generation</w:t>
      </w:r>
    </w:p>
    <w:p w:rsidR="00000000" w:rsidDel="00000000" w:rsidP="00000000" w:rsidRDefault="00000000" w:rsidRPr="00000000" w14:paraId="00000036">
      <w:pPr>
        <w:numPr>
          <w:ilvl w:val="0"/>
          <w:numId w:val="1"/>
        </w:numPr>
        <w:spacing w:after="0" w:afterAutospacing="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[N7] </w:t>
      </w:r>
      <w:r w:rsidDel="00000000" w:rsidR="00000000" w:rsidRPr="00000000">
        <w:rPr>
          <w:rFonts w:ascii="Nunito" w:cs="Nunito" w:eastAsia="Nunito" w:hAnsi="Nunito"/>
          <w:sz w:val="20"/>
          <w:szCs w:val="20"/>
          <w:rtl w:val="0"/>
        </w:rPr>
        <w:t xml:space="preserve">Proof of Sufficiency: Llama-3.1-8B QLoRA + AdminVerifier vs LLM besar</w:t>
      </w:r>
    </w:p>
    <w:p w:rsidR="00000000" w:rsidDel="00000000" w:rsidP="00000000" w:rsidRDefault="00000000" w:rsidRPr="00000000" w14:paraId="00000037">
      <w:pPr>
        <w:numPr>
          <w:ilvl w:val="0"/>
          <w:numId w:val="1"/>
        </w:numPr>
        <w:spacing w:after="20" w:before="0" w:beforeAutospacing="0" w:line="276" w:lineRule="auto"/>
        <w:ind w:left="360"/>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[N8] </w:t>
      </w:r>
      <w:r w:rsidDel="00000000" w:rsidR="00000000" w:rsidRPr="00000000">
        <w:rPr>
          <w:rFonts w:ascii="Nunito" w:cs="Nunito" w:eastAsia="Nunito" w:hAnsi="Nunito"/>
          <w:sz w:val="20"/>
          <w:szCs w:val="20"/>
          <w:rtl w:val="0"/>
        </w:rPr>
        <w:t xml:space="preserve">Indonesian-specific: Jakarta RT/RW hierarchy + OOA term handling</w:t>
      </w:r>
      <w:r w:rsidDel="00000000" w:rsidR="00000000" w:rsidRPr="00000000">
        <w:rPr>
          <w:rtl w:val="0"/>
        </w:rPr>
      </w:r>
    </w:p>
    <w:sectPr>
      <w:type w:val="continuous"/>
      <w:pgSz w:h="15840" w:w="12240" w:orient="portrait"/>
      <w:pgMar w:bottom="1440" w:top="1080" w:left="900" w:right="900" w:header="720" w:footer="720"/>
      <w:cols w:equalWidth="0" w:num="1">
        <w:col w:space="0" w:w="10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