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Dynamics Corp — Company Overview</w:t>
      </w:r>
    </w:p>
    <w:p>
      <w:pPr>
        <w:pStyle w:val="Heading1"/>
      </w:pPr>
      <w:r>
        <w:t>About Us</w:t>
      </w:r>
    </w:p>
    <w:p>
      <w:r>
        <w:rPr>
          <w:b w:val="0"/>
          <w:i w:val="0"/>
        </w:rPr>
        <w:t>Meridian Dynamics Corp (MDC) is a mid-sized industrial technology company headquartered in Austin, Texas, with regional offices in Chicago, Illinois and Krakow, Poland. Founded in 2009, the company designs, manufactures, and services precision automation equipment for the aerospace, automotive, and renewable-energy sectors. MDC employs approximately 2,400 people worldwide and reported revenue of $412 million in the most recently completed fiscal year.</w:t>
      </w:r>
    </w:p>
    <w:p>
      <w:r>
        <w:rPr>
          <w:b w:val="0"/>
          <w:i w:val="0"/>
        </w:rPr>
        <w:t>The company is organized into four primary business units: Industrial Automation, Renewable Systems, Aftermarket Services, and Digital Solutions. Digital Solutions, the newest business unit, was formed to house the company's internal software and data initiatives, including the enterprise knowledge platform this document set supports.</w:t>
      </w:r>
    </w:p>
    <w:p>
      <w:pPr>
        <w:pStyle w:val="Heading1"/>
      </w:pPr>
      <w:r>
        <w:t>Leadership</w:t>
      </w:r>
    </w:p>
    <w:p>
      <w:r>
        <w:rPr>
          <w:b w:val="0"/>
          <w:i w:val="0"/>
        </w:rPr>
        <w:t>Meridian Dynamics is led by Chief Executive Officer Tom Reyes, who joined the company in 2018 after previously serving as COO of a competing firm. Reyes reports to the Board of Directors and holds ultimate sign-off authority on all capital expenditures above $250,000.</w:t>
      </w:r>
    </w:p>
    <w:p>
      <w:r>
        <w:rPr>
          <w:b w:val="0"/>
          <w:i w:val="0"/>
        </w:rPr>
        <w:t>Reporting directly to Reyes are six executives:</w:t>
      </w:r>
    </w:p>
    <w:p>
      <w:pPr>
        <w:pStyle w:val="ListBullet"/>
      </w:pPr>
      <w:r>
        <w:t>Sarah Chen, Chief Financial Officer, overseeing Finance, Procurement, and Financial Planning &amp; Analysis.</w:t>
      </w:r>
    </w:p>
    <w:p>
      <w:pPr>
        <w:pStyle w:val="ListBullet"/>
      </w:pPr>
      <w:r>
        <w:t>Marcus Webb, Vice President of Engineering, overseeing all product engineering, IT infrastructure, and IT Security.</w:t>
      </w:r>
    </w:p>
    <w:p>
      <w:pPr>
        <w:pStyle w:val="ListBullet"/>
      </w:pPr>
      <w:r>
        <w:t>Elena Petrova, General Counsel, overseeing Legal, Contracts, and Compliance.</w:t>
      </w:r>
    </w:p>
    <w:p>
      <w:pPr>
        <w:pStyle w:val="ListBullet"/>
      </w:pPr>
      <w:r>
        <w:t>The heads of the four business units (not detailed in this document).</w:t>
      </w:r>
    </w:p>
    <w:p>
      <w:r>
        <w:rPr>
          <w:b w:val="0"/>
          <w:i w:val="0"/>
        </w:rPr>
        <w:t>A full breakdown of reporting lines is maintained in the organizational chart (see 09_org_chart_and_roles).</w:t>
      </w:r>
    </w:p>
    <w:p>
      <w:pPr>
        <w:pStyle w:val="Heading1"/>
      </w:pPr>
      <w:r>
        <w:t>Culture and Ways of Working</w:t>
      </w:r>
    </w:p>
    <w:p>
      <w:r>
        <w:rPr>
          <w:b w:val="0"/>
          <w:i w:val="0"/>
        </w:rPr>
        <w:t>Employees at Meridian Dynamics frequently describe the company's internal knowledge-sharing challenges as a major source of daily friction. Engineers report spending significant portions of their week searching through shared drives, old email threads, and outdated wikis to find information that technically already exists somewhere in the organization. This inefficiency was a primary motivator behind the Digital Solutions unit's investment in retrieval-augmented knowledge systems.</w:t>
      </w:r>
    </w:p>
    <w:p>
      <w:r>
        <w:rPr>
          <w:b w:val="0"/>
          <w:i w:val="0"/>
        </w:rPr>
        <w:t>The company values written documentation. Nearly every recurring decision — hiring, procurement, security exceptions, vendor onboarding — is governed by a written policy. Employees are expected to consult the relevant policy before escalating a question to a manager or subject-matter expert.</w:t>
      </w:r>
    </w:p>
    <w:p>
      <w:pPr>
        <w:pStyle w:val="Heading1"/>
      </w:pPr>
      <w:r>
        <w:t>Strategic Initiatives</w:t>
      </w:r>
    </w:p>
    <w:p>
      <w:r>
        <w:rPr>
          <w:b w:val="0"/>
          <w:i w:val="0"/>
        </w:rPr>
        <w:t>Two major internal initiatives are currently underway:</w:t>
      </w:r>
    </w:p>
    <w:p>
      <w:pPr>
        <w:pStyle w:val="ListBullet"/>
      </w:pPr>
      <w:r>
        <w:t>Project Helios — a multi-year cloud infrastructure migration led by the Engineering organization under Marcus Webb, intended to move the majority of on-premises compute workloads to cloud infrastructure and reduce data-center operating costs by an estimated 30%.</w:t>
      </w:r>
    </w:p>
    <w:p>
      <w:pPr>
        <w:pStyle w:val="ListBullet"/>
      </w:pPr>
      <w:r>
        <w:t>Project Atlas — an enterprise resource planning (ERP) system rollout led by the Finance organization under Linda Fischer, VP of Finance Operations, intended to replace the company's decade-old financial and inventory systems.</w:t>
      </w:r>
    </w:p>
    <w:p>
      <w:r>
        <w:rPr>
          <w:b w:val="0"/>
          <w:i w:val="0"/>
        </w:rPr>
        <w:t>Both initiatives rely on external vendors for hardware, software licensing, and logistics support, and both are subject to the company's standard procurement approval workflow (see 05_project_approval_workflow).</w:t>
      </w:r>
    </w:p>
    <w:p>
      <w:pPr>
        <w:pStyle w:val="Heading1"/>
      </w:pPr>
      <w:r>
        <w:t>Locations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Location</w:t>
            </w:r>
          </w:p>
        </w:tc>
        <w:tc>
          <w:tcPr>
            <w:tcW w:type="dxa" w:w="2880"/>
          </w:tcPr>
          <w:p>
            <w:r>
              <w:rPr>
                <w:b/>
              </w:rPr>
              <w:t>Function</w:t>
            </w:r>
          </w:p>
        </w:tc>
        <w:tc>
          <w:tcPr>
            <w:tcW w:type="dxa" w:w="2880"/>
          </w:tcPr>
          <w:p>
            <w:r>
              <w:rPr>
                <w:b/>
              </w:rPr>
              <w:t>Headcount (approx.)</w:t>
            </w:r>
          </w:p>
        </w:tc>
      </w:tr>
      <w:tr>
        <w:tc>
          <w:tcPr>
            <w:tcW w:type="dxa" w:w="2880"/>
          </w:tcPr>
          <w:p>
            <w:r>
              <w:t>Austin, TX (HQ)</w:t>
            </w:r>
          </w:p>
        </w:tc>
        <w:tc>
          <w:tcPr>
            <w:tcW w:type="dxa" w:w="2880"/>
          </w:tcPr>
          <w:p>
            <w:r>
              <w:t>Corporate functions, Engineering, Digital Solutions</w:t>
            </w:r>
          </w:p>
        </w:tc>
        <w:tc>
          <w:tcPr>
            <w:tcW w:type="dxa" w:w="2880"/>
          </w:tcPr>
          <w:p>
            <w:r>
              <w:t>1,050</w:t>
            </w:r>
          </w:p>
        </w:tc>
      </w:tr>
      <w:tr>
        <w:tc>
          <w:tcPr>
            <w:tcW w:type="dxa" w:w="2880"/>
          </w:tcPr>
          <w:p>
            <w:r>
              <w:t>Chicago, IL</w:t>
            </w:r>
          </w:p>
        </w:tc>
        <w:tc>
          <w:tcPr>
            <w:tcW w:type="dxa" w:w="2880"/>
          </w:tcPr>
          <w:p>
            <w:r>
              <w:t>Manufacturing, Aftermarket Services</w:t>
            </w:r>
          </w:p>
        </w:tc>
        <w:tc>
          <w:tcPr>
            <w:tcW w:type="dxa" w:w="2880"/>
          </w:tcPr>
          <w:p>
            <w:r>
              <w:t>900</w:t>
            </w:r>
          </w:p>
        </w:tc>
      </w:tr>
      <w:tr>
        <w:tc>
          <w:tcPr>
            <w:tcW w:type="dxa" w:w="2880"/>
          </w:tcPr>
          <w:p>
            <w:r>
              <w:t>Krakow, Poland</w:t>
            </w:r>
          </w:p>
        </w:tc>
        <w:tc>
          <w:tcPr>
            <w:tcW w:type="dxa" w:w="2880"/>
          </w:tcPr>
          <w:p>
            <w:r>
              <w:t>Renewable Systems engineering, back-office finance</w:t>
            </w:r>
          </w:p>
        </w:tc>
        <w:tc>
          <w:tcPr>
            <w:tcW w:type="dxa" w:w="2880"/>
          </w:tcPr>
          <w:p>
            <w:r>
              <w:t>450</w:t>
            </w:r>
          </w:p>
        </w:tc>
      </w:tr>
    </w:tbl>
    <w:p/>
    <w:p>
      <w:pPr>
        <w:pStyle w:val="Heading1"/>
      </w:pPr>
      <w:r>
        <w:t>Contact and Escalation</w:t>
      </w:r>
    </w:p>
    <w:p>
      <w:r>
        <w:rPr>
          <w:b w:val="0"/>
          <w:i w:val="0"/>
        </w:rPr>
        <w:t>Questions about company-wide policy should first be directed to the relevant department listed in this overview. Escalations that cannot be resolved at the departmental level are routed to the appropriate executive listed under Leadership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