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Dynamics Corp — IT Security Policy</w:t>
      </w:r>
    </w:p>
    <w:p>
      <w:r>
        <w:rPr>
          <w:b w:val="0"/>
          <w:i/>
        </w:rPr>
        <w:t>Document owner: David Osei, Director of IT Security (reports to Marcus Webb, VP of Engineering)</w:t>
      </w:r>
    </w:p>
    <w:p>
      <w:r>
        <w:rPr>
          <w:b w:val="0"/>
          <w:i/>
        </w:rPr>
        <w:t>Policy ID: SEC-POL-004</w:t>
      </w:r>
    </w:p>
    <w:p>
      <w:r>
        <w:rPr>
          <w:b w:val="0"/>
          <w:i/>
        </w:rPr>
        <w:t>Effective date: March 1 of the current fiscal year</w:t>
      </w:r>
    </w:p>
    <w:p>
      <w:r>
        <w:rPr>
          <w:b w:val="0"/>
          <w:i/>
        </w:rPr>
        <w:t>Review cycle: Annual</w:t>
      </w:r>
    </w:p>
    <w:p>
      <w:pPr>
        <w:pStyle w:val="Heading1"/>
      </w:pPr>
      <w:r>
        <w:t>1. Scope and Purpose</w:t>
      </w:r>
    </w:p>
    <w:p>
      <w:r>
        <w:rPr>
          <w:b w:val="0"/>
          <w:i w:val="0"/>
        </w:rPr>
        <w:t>This policy governs the acceptable use, protection, and management of Meridian Dynamics Corp's information systems, including all systems used in support of Project Helios and Project Atlas. It applies to all employees, contractors, and third-party vendors with access to company systems, including vendors such as Acme Cloud Solutions.</w:t>
      </w:r>
    </w:p>
    <w:p>
      <w:pPr>
        <w:pStyle w:val="Heading1"/>
      </w:pPr>
      <w:r>
        <w:t>2. Account and Access Management</w:t>
      </w:r>
    </w:p>
    <w:p>
      <w:pPr>
        <w:pStyle w:val="Heading2"/>
      </w:pPr>
      <w:r>
        <w:t>2.1 Password Requirements</w:t>
      </w:r>
    </w:p>
    <w:p>
      <w:r>
        <w:rPr>
          <w:b w:val="0"/>
          <w:i w:val="0"/>
        </w:rPr>
        <w:t>All company accounts must use passwords meeting the following criteria:</w:t>
      </w:r>
    </w:p>
    <w:p>
      <w:pPr>
        <w:pStyle w:val="ListBullet"/>
      </w:pPr>
      <w:r>
        <w:t>Minimum 14 characters</w:t>
      </w:r>
    </w:p>
    <w:p>
      <w:pPr>
        <w:pStyle w:val="ListBullet"/>
      </w:pPr>
      <w:r>
        <w:t>At least one uppercase letter, one lowercase letter, one number, and one symbol</w:t>
      </w:r>
    </w:p>
    <w:p>
      <w:pPr>
        <w:pStyle w:val="ListBullet"/>
      </w:pPr>
      <w:r>
        <w:t>Must not reuse any of the previous 10 passwords</w:t>
      </w:r>
    </w:p>
    <w:p>
      <w:pPr>
        <w:pStyle w:val="Heading2"/>
      </w:pPr>
      <w:r>
        <w:t>2.2 Password Rotation</w:t>
      </w:r>
    </w:p>
    <w:p>
      <w:r>
        <w:rPr>
          <w:b w:val="0"/>
          <w:i w:val="0"/>
        </w:rPr>
        <w:t>Passwords for standard user accounts must be rotated every 180 days. Passwords for privileged/administrative accounts, including cloud administrator accounts used to manage Acme Cloud Solutions infrastructure, must be rotated every 90 days.</w:t>
      </w:r>
    </w:p>
    <w:p>
      <w:pPr>
        <w:pStyle w:val="Heading2"/>
      </w:pPr>
      <w:r>
        <w:t>2.3 Multi-Factor Authentication (MFA)</w:t>
      </w:r>
    </w:p>
    <w:p>
      <w:r>
        <w:rPr>
          <w:b w:val="0"/>
          <w:i w:val="0"/>
        </w:rPr>
        <w:t>MFA is mandatory for all remote access, all administrative accounts, and all access to systems classified as "Confidential" or "Restricted" under Section 4.2.</w:t>
      </w:r>
    </w:p>
    <w:p>
      <w:pPr>
        <w:pStyle w:val="Heading2"/>
      </w:pPr>
      <w:r>
        <w:t>2.4 Access Review</w:t>
      </w:r>
    </w:p>
    <w:p>
      <w:r>
        <w:rPr>
          <w:b w:val="0"/>
          <w:i w:val="0"/>
        </w:rPr>
        <w:t>Department managers must review and certify their team's system access rights every 6 months. Access for terminated employees must be revoked within 4 business hours of the separation being recorded in the HR system.</w:t>
      </w:r>
    </w:p>
    <w:p>
      <w:pPr>
        <w:pStyle w:val="Heading1"/>
      </w:pPr>
      <w:r>
        <w:t>3. Vendor and Third-Party Access</w:t>
      </w:r>
    </w:p>
    <w:p>
      <w:pPr>
        <w:pStyle w:val="Heading2"/>
      </w:pPr>
      <w:r>
        <w:t>3.1 Vendor Risk Tiers</w:t>
      </w:r>
    </w:p>
    <w:p>
      <w:r>
        <w:rPr>
          <w:b w:val="0"/>
          <w:i w:val="0"/>
        </w:rPr>
        <w:t>Vendors are classified into three risk tiers based on the sensitivity of data they can access:</w:t>
      </w:r>
    </w:p>
    <w:p>
      <w:pPr>
        <w:pStyle w:val="ListBullet"/>
      </w:pPr>
      <w:r>
        <w:t>Tier 1 (High Risk): Vendors with access to Confidential or Restricted data (e.g., cloud infrastructure providers such as Acme Cloud Solutions).</w:t>
      </w:r>
    </w:p>
    <w:p>
      <w:pPr>
        <w:pStyle w:val="ListBullet"/>
      </w:pPr>
      <w:r>
        <w:t>Tier 2 (Medium Risk): Vendors with access to Internal-only data.</w:t>
      </w:r>
    </w:p>
    <w:p>
      <w:pPr>
        <w:pStyle w:val="ListBullet"/>
      </w:pPr>
      <w:r>
        <w:t>Tier 3 (Low Risk): Vendors with no system access (e.g., hardware suppliers such as Bright Steel Supply who ship physical components without network access).</w:t>
      </w:r>
    </w:p>
    <w:p>
      <w:pPr>
        <w:pStyle w:val="Heading2"/>
      </w:pPr>
      <w:r>
        <w:t>3.2 Tier 1 Vendor Requirements</w:t>
      </w:r>
    </w:p>
    <w:p>
      <w:r>
        <w:rPr>
          <w:b w:val="0"/>
          <w:i w:val="0"/>
        </w:rPr>
        <w:t>Tier 1 vendors must undergo an annual SOC 2 Type II audit review, sign a Data Processing Agreement, and be re-approved by both IT Security (David Osei) and Compliance (Aisha Malik) annually. Acme Cloud Solutions was last re-approved under this process as documented in the vendor contract (see 04_vendor_contract_acme).</w:t>
      </w:r>
    </w:p>
    <w:p>
      <w:pPr>
        <w:pStyle w:val="Heading1"/>
      </w:pPr>
      <w:r>
        <w:t>4. Data Classification</w:t>
      </w:r>
    </w:p>
    <w:p>
      <w:pPr>
        <w:pStyle w:val="Heading2"/>
      </w:pPr>
      <w:r>
        <w:t>4.1 Classification Levels</w:t>
      </w:r>
    </w:p>
    <w:p>
      <w:r>
        <w:rPr>
          <w:b w:val="0"/>
          <w:i w:val="0"/>
        </w:rPr>
        <w:t>Data at Meridian Dynamics is classified into four levels: Public, Internal, Confidential, and Restricted.</w:t>
      </w:r>
    </w:p>
    <w:p>
      <w:pPr>
        <w:pStyle w:val="Heading2"/>
      </w:pPr>
      <w:r>
        <w:t>4.2 Handling Requirements by Level</w:t>
      </w:r>
    </w:p>
    <w:p>
      <w:pPr>
        <w:pStyle w:val="ListBullet"/>
      </w:pPr>
      <w:r>
        <w:t>Public: No restrictions on distribution.</w:t>
      </w:r>
    </w:p>
    <w:p>
      <w:pPr>
        <w:pStyle w:val="ListBullet"/>
      </w:pPr>
      <w:r>
        <w:t>Internal: May be shared within the company but not externally without manager approval.</w:t>
      </w:r>
    </w:p>
    <w:p>
      <w:pPr>
        <w:pStyle w:val="ListBullet"/>
      </w:pPr>
      <w:r>
        <w:t>Confidential: Includes financial reports, vendor contracts, and employee records. Requires encryption at rest and in transit, and access is limited to named individuals or roles.</w:t>
      </w:r>
    </w:p>
    <w:p>
      <w:pPr>
        <w:pStyle w:val="ListBullet"/>
      </w:pPr>
      <w:r>
        <w:t>Restricted: Includes trade secrets, unreleased product designs, and security incident details. Requires MFA, encryption, and explicit access-list approval from the Director of IT Security.</w:t>
      </w:r>
    </w:p>
    <w:p>
      <w:pPr>
        <w:pStyle w:val="Heading1"/>
      </w:pPr>
      <w:r>
        <w:t>5. Incident Response</w:t>
      </w:r>
    </w:p>
    <w:p>
      <w:pPr>
        <w:pStyle w:val="Heading2"/>
      </w:pPr>
      <w:r>
        <w:t>5.1 Reporting</w:t>
      </w:r>
    </w:p>
    <w:p>
      <w:r>
        <w:rPr>
          <w:b w:val="0"/>
          <w:i w:val="0"/>
        </w:rPr>
        <w:t>Any suspected security incident must be reported to the IT Security team within 1 hour of discovery via the internal incident portal or by contacting David Osei's team directly.</w:t>
      </w:r>
    </w:p>
    <w:p>
      <w:pPr>
        <w:pStyle w:val="Heading2"/>
      </w:pPr>
      <w:r>
        <w:t>5.2 Severity Classification</w:t>
      </w:r>
    </w:p>
    <w:p>
      <w:r>
        <w:rPr>
          <w:b w:val="0"/>
          <w:i w:val="0"/>
        </w:rPr>
        <w:t>Incidents are classified as Low, Medium, High, or Critical based on data sensitivity and scope of impact. Critical incidents require notification to the CEO (Tom Reyes) and General Counsel (Elena Petrova) within 4 hours.</w:t>
      </w:r>
    </w:p>
    <w:p>
      <w:pPr>
        <w:pStyle w:val="Heading2"/>
      </w:pPr>
      <w:r>
        <w:t>5.3 Post-Incident Review</w:t>
      </w:r>
    </w:p>
    <w:p>
      <w:r>
        <w:rPr>
          <w:b w:val="0"/>
          <w:i w:val="0"/>
        </w:rPr>
        <w:t>All High and Critical incidents require a formal post-incident review within 10 business days, coordinated jointly by IT Security and Compliance.</w:t>
      </w:r>
    </w:p>
    <w:p>
      <w:pPr>
        <w:pStyle w:val="Heading1"/>
      </w:pPr>
      <w:r>
        <w:t>6. Cloud Infrastructure Security (Project Helios Specific)</w:t>
      </w:r>
    </w:p>
    <w:p>
      <w:pPr>
        <w:pStyle w:val="Heading2"/>
      </w:pPr>
      <w:r>
        <w:t>6.1 Environment Segregation</w:t>
      </w:r>
    </w:p>
    <w:p>
      <w:r>
        <w:rPr>
          <w:b w:val="0"/>
          <w:i w:val="0"/>
        </w:rPr>
        <w:t>Project Helios cloud environments hosted with Acme Cloud Solutions must maintain strict segregation between development, staging, and production environments, with production access limited to a named list approved by David Osei.</w:t>
      </w:r>
    </w:p>
    <w:p>
      <w:pPr>
        <w:pStyle w:val="Heading2"/>
      </w:pPr>
      <w:r>
        <w:t>6.2 Encryption Standards</w:t>
      </w:r>
    </w:p>
    <w:p>
      <w:r>
        <w:rPr>
          <w:b w:val="0"/>
          <w:i w:val="0"/>
        </w:rPr>
        <w:t>All data stored in Acme Cloud Solutions environments must be encrypted using AES-256 at rest and TLS 1.2 or higher in transit.</w:t>
      </w:r>
    </w:p>
    <w:p>
      <w:pPr>
        <w:pStyle w:val="Heading2"/>
      </w:pPr>
      <w:r>
        <w:t>6.3 Cost and Access Monitoring</w:t>
      </w:r>
    </w:p>
    <w:p>
      <w:r>
        <w:rPr>
          <w:b w:val="0"/>
          <w:i w:val="0"/>
        </w:rPr>
        <w:t>Cloud spend and access logs for Project Helios infrastructure are reviewed monthly by IT Security in coordination with Procurement (Priya Raman) to detect anomalous usage or unauthorized provisioning.</w:t>
      </w:r>
    </w:p>
    <w:p>
      <w:pPr>
        <w:pStyle w:val="Heading1"/>
      </w:pPr>
      <w:r>
        <w:t>7. Exceptions</w:t>
      </w:r>
    </w:p>
    <w:p>
      <w:r>
        <w:rPr>
          <w:b w:val="0"/>
          <w:i w:val="0"/>
        </w:rPr>
        <w:t>Any exception to this policy requires a written risk acceptance signed by both the requesting department head and David Osei, with a copy retained by Compliance (Aisha Malik) for audit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