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Dynamics Corp — Purchase and Project Approval Workflow</w:t>
      </w:r>
    </w:p>
    <w:p>
      <w:r>
        <w:rPr>
          <w:b w:val="0"/>
          <w:i/>
        </w:rPr>
        <w:t>Document owner: Priya Raman, Head of Procurement (reports to Sarah Chen, CFO)</w:t>
      </w:r>
    </w:p>
    <w:p>
      <w:r>
        <w:rPr>
          <w:b w:val="0"/>
          <w:i/>
        </w:rPr>
        <w:t>Policy ID: FIN-POL-011</w:t>
      </w:r>
    </w:p>
    <w:p>
      <w:pPr>
        <w:pStyle w:val="Heading1"/>
      </w:pPr>
      <w:r>
        <w:t>1. Purpose</w:t>
      </w:r>
    </w:p>
    <w:p>
      <w:r>
        <w:rPr>
          <w:b w:val="0"/>
          <w:i w:val="0"/>
        </w:rPr>
        <w:t>This document defines the approval chain required for purchase commitments, vendor contracts, and project budget allocations at Meridian Dynamics Corp. It applies to all business units, including Project Helios (Engineering) and Project Atlas (Finance).</w:t>
      </w:r>
    </w:p>
    <w:p>
      <w:pPr>
        <w:pStyle w:val="Heading1"/>
      </w:pPr>
      <w:r>
        <w:t>2. Approval Thresholds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Commitment Amount</w:t>
            </w:r>
          </w:p>
        </w:tc>
        <w:tc>
          <w:tcPr>
            <w:tcW w:type="dxa" w:w="4320"/>
          </w:tcPr>
          <w:p>
            <w:r>
              <w:rPr>
                <w:b/>
              </w:rPr>
              <w:t>Required Approvers (in order)</w:t>
            </w:r>
          </w:p>
        </w:tc>
      </w:tr>
      <w:tr>
        <w:tc>
          <w:tcPr>
            <w:tcW w:type="dxa" w:w="4320"/>
          </w:tcPr>
          <w:p>
            <w:r>
              <w:t>Under $10,000</w:t>
            </w:r>
          </w:p>
        </w:tc>
        <w:tc>
          <w:tcPr>
            <w:tcW w:type="dxa" w:w="4320"/>
          </w:tcPr>
          <w:p>
            <w:r>
              <w:t>Department Manager only</w:t>
            </w:r>
          </w:p>
        </w:tc>
      </w:tr>
      <w:tr>
        <w:tc>
          <w:tcPr>
            <w:tcW w:type="dxa" w:w="4320"/>
          </w:tcPr>
          <w:p>
            <w:r>
              <w:t>$10,000 – $49,999</w:t>
            </w:r>
          </w:p>
        </w:tc>
        <w:tc>
          <w:tcPr>
            <w:tcW w:type="dxa" w:w="4320"/>
          </w:tcPr>
          <w:p>
            <w:r>
              <w:t>Department Manager -&gt; Department Head</w:t>
            </w:r>
          </w:p>
        </w:tc>
      </w:tr>
      <w:tr>
        <w:tc>
          <w:tcPr>
            <w:tcW w:type="dxa" w:w="4320"/>
          </w:tcPr>
          <w:p>
            <w:r>
              <w:t>$50,000 – $499,999</w:t>
            </w:r>
          </w:p>
        </w:tc>
        <w:tc>
          <w:tcPr>
            <w:tcW w:type="dxa" w:w="4320"/>
          </w:tcPr>
          <w:p>
            <w:r>
              <w:t>Priya Raman (Procurement) -&gt; Sarah Chen (CFO) -&gt; Tom Reyes (CEO)</w:t>
            </w:r>
          </w:p>
        </w:tc>
      </w:tr>
      <w:tr>
        <w:tc>
          <w:tcPr>
            <w:tcW w:type="dxa" w:w="4320"/>
          </w:tcPr>
          <w:p>
            <w:r>
              <w:t>$500,000 and above</w:t>
            </w:r>
          </w:p>
        </w:tc>
        <w:tc>
          <w:tcPr>
            <w:tcW w:type="dxa" w:w="4320"/>
          </w:tcPr>
          <w:p>
            <w:r>
              <w:t>Priya Raman -&gt; Sarah Chen -&gt; Tom Reyes -&gt; Board Finance Committee</w:t>
            </w:r>
          </w:p>
        </w:tc>
      </w:tr>
    </w:tbl>
    <w:p/>
    <w:p>
      <w:pPr>
        <w:pStyle w:val="Heading1"/>
      </w:pPr>
      <w:r>
        <w:t>3. Standard Approval Chain (the "$50k Rule")</w:t>
      </w:r>
    </w:p>
    <w:p>
      <w:r>
        <w:rPr>
          <w:b w:val="0"/>
          <w:i w:val="0"/>
        </w:rPr>
        <w:t>Any single purchase order, contract, or change order valued at $50,000 or more must be routed through the following sequence before execution:</w:t>
      </w:r>
    </w:p>
    <w:p>
      <w:pPr>
        <w:pStyle w:val="ListBullet"/>
      </w:pPr>
      <w:r>
        <w:t>Priya Raman, Head of Procurement — validates vendor selection, pricing, and Tier classification (per IT Security Policy Section 3.1 if the vendor has system access).</w:t>
      </w:r>
    </w:p>
    <w:p>
      <w:pPr>
        <w:pStyle w:val="ListBullet"/>
      </w:pPr>
      <w:r>
        <w:t>Sarah Chen, Chief Financial Officer — validates budget availability and financial terms.</w:t>
      </w:r>
    </w:p>
    <w:p>
      <w:pPr>
        <w:pStyle w:val="ListBullet"/>
      </w:pPr>
      <w:r>
        <w:t>Tom Reyes, Chief Executive Officer — final sign-off authority.</w:t>
      </w:r>
    </w:p>
    <w:p>
      <w:r>
        <w:rPr>
          <w:b w:val="0"/>
          <w:i w:val="0"/>
        </w:rPr>
        <w:t>This chain applies regardless of business unit, and was used for both the original Acme Cloud Solutions master agreement and its subsequent Amendment No. 2 (see 04_vendor_contract_acme, Article 7).</w:t>
      </w:r>
    </w:p>
    <w:p>
      <w:pPr>
        <w:pStyle w:val="Heading1"/>
      </w:pPr>
      <w:r>
        <w:t>4. Special Cases</w:t>
      </w:r>
    </w:p>
    <w:p>
      <w:pPr>
        <w:pStyle w:val="Heading2"/>
      </w:pPr>
      <w:r>
        <w:t>4.1 IT Security-Relevant Purchases</w:t>
      </w:r>
    </w:p>
    <w:p>
      <w:r>
        <w:rPr>
          <w:b w:val="0"/>
          <w:i w:val="0"/>
        </w:rPr>
        <w:t>Any purchase involving a vendor that will receive system access (Tier 1 or Tier 2 under the IT Security Policy) requires an additional sign-off from David Osei, Director of IT Security, inserted between steps 1 and 2 of the Standard Approval Chain in Section 3.</w:t>
      </w:r>
    </w:p>
    <w:p>
      <w:pPr>
        <w:pStyle w:val="Heading2"/>
      </w:pPr>
      <w:r>
        <w:t>4.2 Legal Review Requirement</w:t>
      </w:r>
    </w:p>
    <w:p>
      <w:r>
        <w:rPr>
          <w:b w:val="0"/>
          <w:i w:val="0"/>
        </w:rPr>
        <w:t>Any new vendor contract (not a renewal or amendment of an existing contract) requires review by Elena Petrova, General Counsel, prior to Priya Raman's step in the Standard Approval Chain.</w:t>
      </w:r>
    </w:p>
    <w:p>
      <w:pPr>
        <w:pStyle w:val="Heading2"/>
      </w:pPr>
      <w:r>
        <w:t>4.3 Capital Expenditure Above $250,000</w:t>
      </w:r>
    </w:p>
    <w:p>
      <w:r>
        <w:rPr>
          <w:b w:val="0"/>
          <w:i w:val="0"/>
        </w:rPr>
        <w:t>Per company policy, capital expenditures above $250,000 require Tom Reyes's sign-off as CEO regardless of business unit, consistent with his authority described in the Company Overview document.</w:t>
      </w:r>
    </w:p>
    <w:p>
      <w:pPr>
        <w:pStyle w:val="Heading1"/>
      </w:pPr>
      <w:r>
        <w:t>5. Project-Specific Notes</w:t>
      </w:r>
    </w:p>
    <w:p>
      <w:pPr>
        <w:pStyle w:val="Heading2"/>
      </w:pPr>
      <w:r>
        <w:t>5.1 Project Helios</w:t>
      </w:r>
    </w:p>
    <w:p>
      <w:r>
        <w:rPr>
          <w:b w:val="0"/>
          <w:i w:val="0"/>
        </w:rPr>
        <w:t>All Project Helios procurement (cloud services from Acme Cloud Solutions, hardware from Bright Steel Supply) is initiated by Marcus Webb's Engineering organization but must still route through the Standard Approval Chain in Section 3 for any commitment at or above $50,000. David Osei's additional sign-off (Section 4.1) applies to all Acme Cloud Solutions purchases given their Tier 1 vendor status.</w:t>
      </w:r>
    </w:p>
    <w:p>
      <w:pPr>
        <w:pStyle w:val="Heading2"/>
      </w:pPr>
      <w:r>
        <w:t>5.2 Project Atlas</w:t>
      </w:r>
    </w:p>
    <w:p>
      <w:r>
        <w:rPr>
          <w:b w:val="0"/>
          <w:i w:val="0"/>
        </w:rPr>
        <w:t>Project Atlas procurement (ERP licensing, Vertex Logistics shipping services for hardware rollout) is initiated by Linda Fischer's Finance organization and follows the same Standard Approval Chain.</w:t>
      </w:r>
    </w:p>
    <w:p>
      <w:pPr>
        <w:pStyle w:val="Heading1"/>
      </w:pPr>
      <w:r>
        <w:t>6. Approval Timeline Expectations</w:t>
      </w:r>
    </w:p>
    <w:p>
      <w:r>
        <w:rPr>
          <w:b w:val="0"/>
          <w:i w:val="0"/>
        </w:rPr>
        <w:t>Procurement (Priya Raman's team) targets a 5-business-day turnaround for Section 3, Step 1 review. CFO review (Step 2) targets 3 business days. CEO review (Step 3) targets 2 business days, for a target end-to-end approval time of 10 business days for purchases requiring the full Standard Approval Chain.</w:t>
      </w:r>
    </w:p>
    <w:p>
      <w:pPr>
        <w:pStyle w:val="Heading1"/>
      </w:pPr>
      <w:r>
        <w:t>7. Audit and Recordkeeping</w:t>
      </w:r>
    </w:p>
    <w:p>
      <w:r>
        <w:rPr>
          <w:b w:val="0"/>
          <w:i w:val="0"/>
        </w:rPr>
        <w:t>All approvals under this workflow must be recorded in the procurement system with a digital signature from each approver. Compliance (Aisha Malik) audits a sample of approval records quarterly to confirm adherence to this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