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Relatório Financeiro Europeu (Teste de Conversão DOCX → PDF)</w:t>
      </w:r>
    </w:p>
    <w:p>
      <w:pPr>
        <w:jc w:val="center"/>
      </w:pPr>
      <w:r>
        <w:rPr>
          <w:sz w:val="24"/>
        </w:rPr>
        <w:t>Data-alvo: Domingo, 11 de janeiro de 2026 (Europa)</w:t>
      </w:r>
    </w:p>
    <w:p>
      <w:pPr>
        <w:jc w:val="center"/>
      </w:pPr>
      <w:r>
        <w:rPr>
          <w:i/>
        </w:rPr>
        <w:t>Observação: domingo não tem pregão em bolsas europeias. Para fins de teste,</w:t>
        <w:br/>
        <w:t>o relatório usa o último pregão anterior (sexta-feira, 09/01/2026) e compara com 08/01/2026.</w:t>
        <w:br/>
        <w:t>Os números de volume abaixo seguem o indicador exibido em tabelas públicas de dados históricos.</w:t>
      </w:r>
    </w:p>
    <w:p/>
    <w:p>
      <w:pPr>
        <w:pStyle w:val="Heading1"/>
      </w:pPr>
      <w:r>
        <w:t>Sumário</w:t>
      </w:r>
    </w:p>
    <w:p>
      <w:pPr>
        <w:pStyle w:val="ListNumber"/>
      </w:pPr>
      <w:r>
        <w:t>1. Contexto e calendário</w:t>
      </w:r>
    </w:p>
    <w:p>
      <w:pPr>
        <w:pStyle w:val="ListNumber"/>
      </w:pPr>
      <w:r>
        <w:t>2. Volumes e variação (índices de referência)</w:t>
      </w:r>
    </w:p>
    <w:p>
      <w:pPr>
        <w:pStyle w:val="ListNumber"/>
      </w:pPr>
      <w:r>
        <w:t>3. Volumes e variação (derivativos como proxy de liquidez)</w:t>
      </w:r>
    </w:p>
    <w:p>
      <w:pPr>
        <w:pStyle w:val="ListNumber"/>
      </w:pPr>
      <w:r>
        <w:t>4. Planilha de cálculos (totais e participação)</w:t>
      </w:r>
    </w:p>
    <w:p>
      <w:pPr>
        <w:pStyle w:val="ListNumber"/>
      </w:pPr>
      <w:r>
        <w:t>5. Fontes e notas metodológicas</w:t>
      </w:r>
    </w:p>
    <w:p>
      <w:r>
        <w:br w:type="page"/>
      </w:r>
    </w:p>
    <w:p>
      <w:pPr>
        <w:pStyle w:val="Heading1"/>
      </w:pPr>
      <w:r>
        <w:t>1. Contexto e calendário</w:t>
      </w:r>
    </w:p>
    <w:p>
      <w:r>
        <w:t>• Dia-alvo: 11/01/2026 (domingo). Mercados à vista na Europa normalmente não operam em fins de semana.</w:t>
        <w:br/>
        <w:t>• Último pregão anterior: 09/01/2026 (sexta-feira).</w:t>
        <w:br/>
        <w:t>• Comparação de volume: 09/01/2026 vs 08/01/2026.</w:t>
        <w:br/>
      </w:r>
    </w:p>
    <w:p>
      <w:pPr>
        <w:pStyle w:val="Heading1"/>
      </w:pPr>
      <w:r>
        <w:t>2. Volumes e variação (índices de referência)</w:t>
      </w:r>
    </w:p>
    <w:p>
      <w:r>
        <w:t>A tabela abaixo resume preços de fechamento, variação diária e o indicador de volume informado para três índices amplamente usados como referência na Europa.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Índice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Fech.</w:t>
            </w:r>
          </w:p>
        </w:tc>
        <w:tc>
          <w:tcPr>
            <w:tcW w:type="dxa" w:w="960"/>
          </w:tcPr>
          <w:p>
            <w:r>
              <w:t>Variação</w:t>
            </w:r>
          </w:p>
        </w:tc>
        <w:tc>
          <w:tcPr>
            <w:tcW w:type="dxa" w:w="960"/>
          </w:tcPr>
          <w:p>
            <w:r>
              <w:t>Volume (M)</w:t>
            </w:r>
          </w:p>
        </w:tc>
        <w:tc>
          <w:tcPr>
            <w:tcW w:type="dxa" w:w="960"/>
          </w:tcPr>
          <w:p>
            <w:r>
              <w:t>Dia anterior</w:t>
            </w:r>
          </w:p>
        </w:tc>
        <w:tc>
          <w:tcPr>
            <w:tcW w:type="dxa" w:w="960"/>
          </w:tcPr>
          <w:p>
            <w:r>
              <w:t>Vol. anterior (M)</w:t>
            </w:r>
          </w:p>
        </w:tc>
        <w:tc>
          <w:tcPr>
            <w:tcW w:type="dxa" w:w="960"/>
          </w:tcPr>
          <w:p>
            <w:r>
              <w:t>Δ Volume (M)</w:t>
            </w:r>
          </w:p>
        </w:tc>
        <w:tc>
          <w:tcPr>
            <w:tcW w:type="dxa" w:w="960"/>
          </w:tcPr>
          <w:p>
            <w:r>
              <w:t>Δ Volume (%)</w:t>
            </w:r>
          </w:p>
        </w:tc>
      </w:tr>
      <w:tr>
        <w:tc>
          <w:tcPr>
            <w:tcW w:type="dxa" w:w="960"/>
          </w:tcPr>
          <w:p>
            <w:r>
              <w:t>DAX (Germany 40)</w:t>
            </w:r>
          </w:p>
        </w:tc>
        <w:tc>
          <w:tcPr>
            <w:tcW w:type="dxa" w:w="960"/>
          </w:tcPr>
          <w:p>
            <w:r>
              <w:t>Jan 09, 2026</w:t>
            </w:r>
          </w:p>
        </w:tc>
        <w:tc>
          <w:tcPr>
            <w:tcW w:type="dxa" w:w="960"/>
          </w:tcPr>
          <w:p>
            <w:r>
              <w:t>25,261.64</w:t>
            </w:r>
          </w:p>
        </w:tc>
        <w:tc>
          <w:tcPr>
            <w:tcW w:type="dxa" w:w="960"/>
          </w:tcPr>
          <w:p>
            <w:r>
              <w:t>+0.53%</w:t>
            </w:r>
          </w:p>
        </w:tc>
        <w:tc>
          <w:tcPr>
            <w:tcW w:type="dxa" w:w="960"/>
          </w:tcPr>
          <w:p>
            <w:r>
              <w:t>55.24</w:t>
            </w:r>
          </w:p>
        </w:tc>
        <w:tc>
          <w:tcPr>
            <w:tcW w:type="dxa" w:w="960"/>
          </w:tcPr>
          <w:p>
            <w:r>
              <w:t>Jan 08, 2026</w:t>
            </w:r>
          </w:p>
        </w:tc>
        <w:tc>
          <w:tcPr>
            <w:tcW w:type="dxa" w:w="960"/>
          </w:tcPr>
          <w:p>
            <w:r>
              <w:t>57.58</w:t>
            </w:r>
          </w:p>
        </w:tc>
        <w:tc>
          <w:tcPr>
            <w:tcW w:type="dxa" w:w="960"/>
          </w:tcPr>
          <w:p>
            <w:r>
              <w:t>-2.34</w:t>
            </w:r>
          </w:p>
        </w:tc>
        <w:tc>
          <w:tcPr>
            <w:tcW w:type="dxa" w:w="960"/>
          </w:tcPr>
          <w:p>
            <w:r>
              <w:t>-4.06%</w:t>
            </w:r>
          </w:p>
        </w:tc>
      </w:tr>
      <w:tr>
        <w:tc>
          <w:tcPr>
            <w:tcW w:type="dxa" w:w="960"/>
          </w:tcPr>
          <w:p>
            <w:r>
              <w:t>CAC 40 (France)</w:t>
            </w:r>
          </w:p>
        </w:tc>
        <w:tc>
          <w:tcPr>
            <w:tcW w:type="dxa" w:w="960"/>
          </w:tcPr>
          <w:p>
            <w:r>
              <w:t>Jan 09, 2026</w:t>
            </w:r>
          </w:p>
        </w:tc>
        <w:tc>
          <w:tcPr>
            <w:tcW w:type="dxa" w:w="960"/>
          </w:tcPr>
          <w:p>
            <w:r>
              <w:t>8,362.09</w:t>
            </w:r>
          </w:p>
        </w:tc>
        <w:tc>
          <w:tcPr>
            <w:tcW w:type="dxa" w:w="960"/>
          </w:tcPr>
          <w:p>
            <w:r>
              <w:t>+1.44%</w:t>
            </w:r>
          </w:p>
        </w:tc>
        <w:tc>
          <w:tcPr>
            <w:tcW w:type="dxa" w:w="960"/>
          </w:tcPr>
          <w:p>
            <w:r>
              <w:t>60.14</w:t>
            </w:r>
          </w:p>
        </w:tc>
        <w:tc>
          <w:tcPr>
            <w:tcW w:type="dxa" w:w="960"/>
          </w:tcPr>
          <w:p>
            <w:r>
              <w:t>Jan 08, 2026</w:t>
            </w:r>
          </w:p>
        </w:tc>
        <w:tc>
          <w:tcPr>
            <w:tcW w:type="dxa" w:w="960"/>
          </w:tcPr>
          <w:p>
            <w:r>
              <w:t>52.77</w:t>
            </w:r>
          </w:p>
        </w:tc>
        <w:tc>
          <w:tcPr>
            <w:tcW w:type="dxa" w:w="960"/>
          </w:tcPr>
          <w:p>
            <w:r>
              <w:t>+7.37</w:t>
            </w:r>
          </w:p>
        </w:tc>
        <w:tc>
          <w:tcPr>
            <w:tcW w:type="dxa" w:w="960"/>
          </w:tcPr>
          <w:p>
            <w:r>
              <w:t>+13.97%</w:t>
            </w:r>
          </w:p>
        </w:tc>
      </w:tr>
      <w:tr>
        <w:tc>
          <w:tcPr>
            <w:tcW w:type="dxa" w:w="960"/>
          </w:tcPr>
          <w:p>
            <w:r>
              <w:t>FTSE 100 (UK)</w:t>
            </w:r>
          </w:p>
        </w:tc>
        <w:tc>
          <w:tcPr>
            <w:tcW w:type="dxa" w:w="960"/>
          </w:tcPr>
          <w:p>
            <w:r>
              <w:t>Jan 09, 2026</w:t>
            </w:r>
          </w:p>
        </w:tc>
        <w:tc>
          <w:tcPr>
            <w:tcW w:type="dxa" w:w="960"/>
          </w:tcPr>
          <w:p>
            <w:r>
              <w:t>10,124.60</w:t>
            </w:r>
          </w:p>
        </w:tc>
        <w:tc>
          <w:tcPr>
            <w:tcW w:type="dxa" w:w="960"/>
          </w:tcPr>
          <w:p>
            <w:r>
              <w:t>+0.80%</w:t>
            </w:r>
          </w:p>
        </w:tc>
        <w:tc>
          <w:tcPr>
            <w:tcW w:type="dxa" w:w="960"/>
          </w:tcPr>
          <w:p>
            <w:r>
              <w:t>714.26</w:t>
            </w:r>
          </w:p>
        </w:tc>
        <w:tc>
          <w:tcPr>
            <w:tcW w:type="dxa" w:w="960"/>
          </w:tcPr>
          <w:p>
            <w:r>
              <w:t>Jan 08, 2026</w:t>
            </w:r>
          </w:p>
        </w:tc>
        <w:tc>
          <w:tcPr>
            <w:tcW w:type="dxa" w:w="960"/>
          </w:tcPr>
          <w:p>
            <w:r>
              <w:t>750.76</w:t>
            </w:r>
          </w:p>
        </w:tc>
        <w:tc>
          <w:tcPr>
            <w:tcW w:type="dxa" w:w="960"/>
          </w:tcPr>
          <w:p>
            <w:r>
              <w:t>-36.50</w:t>
            </w:r>
          </w:p>
        </w:tc>
        <w:tc>
          <w:tcPr>
            <w:tcW w:type="dxa" w:w="960"/>
          </w:tcPr>
          <w:p>
            <w:r>
              <w:t>-4.86%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035040" cy="2982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sh_volu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Comparação do indicador de volume (último pregão).</w:t>
      </w:r>
    </w:p>
    <w:p>
      <w:pPr>
        <w:pStyle w:val="Heading1"/>
      </w:pPr>
      <w:r>
        <w:t>3. Volumes e variação (derivativos como proxy de liquidez)</w:t>
      </w:r>
    </w:p>
    <w:p>
      <w:r>
        <w:t>Alguns índices não exibem volume agregado consistente no mercado à vista. Para elevar o nível do teste e incluir uma tabela com 'Vol.' não-zero em todos os itens, abaixo está um recorte de volumes de contratos futuros associados a índices europeus.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Contrato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Último</w:t>
            </w:r>
          </w:p>
        </w:tc>
        <w:tc>
          <w:tcPr>
            <w:tcW w:type="dxa" w:w="960"/>
          </w:tcPr>
          <w:p>
            <w:r>
              <w:t>Variação</w:t>
            </w:r>
          </w:p>
        </w:tc>
        <w:tc>
          <w:tcPr>
            <w:tcW w:type="dxa" w:w="960"/>
          </w:tcPr>
          <w:p>
            <w:r>
              <w:t>Volume (K)</w:t>
            </w:r>
          </w:p>
        </w:tc>
        <w:tc>
          <w:tcPr>
            <w:tcW w:type="dxa" w:w="960"/>
          </w:tcPr>
          <w:p>
            <w:r>
              <w:t>Dia anterior</w:t>
            </w:r>
          </w:p>
        </w:tc>
        <w:tc>
          <w:tcPr>
            <w:tcW w:type="dxa" w:w="960"/>
          </w:tcPr>
          <w:p>
            <w:r>
              <w:t>Vol. anterior (K)</w:t>
            </w:r>
          </w:p>
        </w:tc>
        <w:tc>
          <w:tcPr>
            <w:tcW w:type="dxa" w:w="960"/>
          </w:tcPr>
          <w:p>
            <w:r>
              <w:t>Δ Volume (K)</w:t>
            </w:r>
          </w:p>
        </w:tc>
        <w:tc>
          <w:tcPr>
            <w:tcW w:type="dxa" w:w="960"/>
          </w:tcPr>
          <w:p>
            <w:r>
              <w:t>Δ Volume (%)</w:t>
            </w:r>
          </w:p>
        </w:tc>
      </w:tr>
      <w:tr>
        <w:tc>
          <w:tcPr>
            <w:tcW w:type="dxa" w:w="960"/>
          </w:tcPr>
          <w:p>
            <w:r>
              <w:t>DAX Futures</w:t>
            </w:r>
          </w:p>
        </w:tc>
        <w:tc>
          <w:tcPr>
            <w:tcW w:type="dxa" w:w="960"/>
          </w:tcPr>
          <w:p>
            <w:r>
              <w:t>Jan 09, 2026</w:t>
            </w:r>
          </w:p>
        </w:tc>
        <w:tc>
          <w:tcPr>
            <w:tcW w:type="dxa" w:w="960"/>
          </w:tcPr>
          <w:p>
            <w:r>
              <w:t>25,387.0</w:t>
            </w:r>
          </w:p>
        </w:tc>
        <w:tc>
          <w:tcPr>
            <w:tcW w:type="dxa" w:w="960"/>
          </w:tcPr>
          <w:p>
            <w:r>
              <w:t>+0.50%</w:t>
            </w:r>
          </w:p>
        </w:tc>
        <w:tc>
          <w:tcPr>
            <w:tcW w:type="dxa" w:w="960"/>
          </w:tcPr>
          <w:p>
            <w:r>
              <w:t>26.27</w:t>
            </w:r>
          </w:p>
        </w:tc>
        <w:tc>
          <w:tcPr>
            <w:tcW w:type="dxa" w:w="960"/>
          </w:tcPr>
          <w:p>
            <w:r>
              <w:t>Jan 08, 2026</w:t>
            </w:r>
          </w:p>
        </w:tc>
        <w:tc>
          <w:tcPr>
            <w:tcW w:type="dxa" w:w="960"/>
          </w:tcPr>
          <w:p>
            <w:r>
              <w:t>27.42</w:t>
            </w:r>
          </w:p>
        </w:tc>
        <w:tc>
          <w:tcPr>
            <w:tcW w:type="dxa" w:w="960"/>
          </w:tcPr>
          <w:p>
            <w:r>
              <w:t>-1.15</w:t>
            </w:r>
          </w:p>
        </w:tc>
        <w:tc>
          <w:tcPr>
            <w:tcW w:type="dxa" w:w="960"/>
          </w:tcPr>
          <w:p>
            <w:r>
              <w:t>-4.19%</w:t>
            </w:r>
          </w:p>
        </w:tc>
      </w:tr>
      <w:tr>
        <w:tc>
          <w:tcPr>
            <w:tcW w:type="dxa" w:w="960"/>
          </w:tcPr>
          <w:p>
            <w:r>
              <w:t>Euro Stoxx 50 Futures</w:t>
            </w:r>
          </w:p>
        </w:tc>
        <w:tc>
          <w:tcPr>
            <w:tcW w:type="dxa" w:w="960"/>
          </w:tcPr>
          <w:p>
            <w:r>
              <w:t>Jan 09, 2026</w:t>
            </w:r>
          </w:p>
        </w:tc>
        <w:tc>
          <w:tcPr>
            <w:tcW w:type="dxa" w:w="960"/>
          </w:tcPr>
          <w:p>
            <w:r>
              <w:t>6,012.0</w:t>
            </w:r>
          </w:p>
        </w:tc>
        <w:tc>
          <w:tcPr>
            <w:tcW w:type="dxa" w:w="960"/>
          </w:tcPr>
          <w:p>
            <w:r>
              <w:t>+1.57%</w:t>
            </w:r>
          </w:p>
        </w:tc>
        <w:tc>
          <w:tcPr>
            <w:tcW w:type="dxa" w:w="960"/>
          </w:tcPr>
          <w:p>
            <w:r>
              <w:t>588.78</w:t>
            </w:r>
          </w:p>
        </w:tc>
        <w:tc>
          <w:tcPr>
            <w:tcW w:type="dxa" w:w="960"/>
          </w:tcPr>
          <w:p>
            <w:r>
              <w:t>Jan 08, 2026</w:t>
            </w:r>
          </w:p>
        </w:tc>
        <w:tc>
          <w:tcPr>
            <w:tcW w:type="dxa" w:w="960"/>
          </w:tcPr>
          <w:p>
            <w:r>
              <w:t>417.79</w:t>
            </w:r>
          </w:p>
        </w:tc>
        <w:tc>
          <w:tcPr>
            <w:tcW w:type="dxa" w:w="960"/>
          </w:tcPr>
          <w:p>
            <w:r>
              <w:t>+170.99</w:t>
            </w:r>
          </w:p>
        </w:tc>
        <w:tc>
          <w:tcPr>
            <w:tcW w:type="dxa" w:w="960"/>
          </w:tcPr>
          <w:p>
            <w:r>
              <w:t>+40.93%</w:t>
            </w:r>
          </w:p>
        </w:tc>
      </w:tr>
      <w:tr>
        <w:tc>
          <w:tcPr>
            <w:tcW w:type="dxa" w:w="960"/>
          </w:tcPr>
          <w:p>
            <w:r>
              <w:t>FTSE 100 Futures</w:t>
            </w:r>
          </w:p>
        </w:tc>
        <w:tc>
          <w:tcPr>
            <w:tcW w:type="dxa" w:w="960"/>
          </w:tcPr>
          <w:p>
            <w:r>
              <w:t>Jan 09, 2026</w:t>
            </w:r>
          </w:p>
        </w:tc>
        <w:tc>
          <w:tcPr>
            <w:tcW w:type="dxa" w:w="960"/>
          </w:tcPr>
          <w:p>
            <w:r>
              <w:t>10,138.5</w:t>
            </w:r>
          </w:p>
        </w:tc>
        <w:tc>
          <w:tcPr>
            <w:tcW w:type="dxa" w:w="960"/>
          </w:tcPr>
          <w:p>
            <w:r>
              <w:t>+0.89%</w:t>
            </w:r>
          </w:p>
        </w:tc>
        <w:tc>
          <w:tcPr>
            <w:tcW w:type="dxa" w:w="960"/>
          </w:tcPr>
          <w:p>
            <w:r>
              <w:t>61.63</w:t>
            </w:r>
          </w:p>
        </w:tc>
        <w:tc>
          <w:tcPr>
            <w:tcW w:type="dxa" w:w="960"/>
          </w:tcPr>
          <w:p>
            <w:r>
              <w:t>Jan 08, 2026</w:t>
            </w:r>
          </w:p>
        </w:tc>
        <w:tc>
          <w:tcPr>
            <w:tcW w:type="dxa" w:w="960"/>
          </w:tcPr>
          <w:p>
            <w:r>
              <w:t>62.44</w:t>
            </w:r>
          </w:p>
        </w:tc>
        <w:tc>
          <w:tcPr>
            <w:tcW w:type="dxa" w:w="960"/>
          </w:tcPr>
          <w:p>
            <w:r>
              <w:t>-0.81</w:t>
            </w:r>
          </w:p>
        </w:tc>
        <w:tc>
          <w:tcPr>
            <w:tcW w:type="dxa" w:w="960"/>
          </w:tcPr>
          <w:p>
            <w:r>
              <w:t>-1.30%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035040" cy="2982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tures_volu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2. Volume em contratos futuros (último pregão).</w:t>
      </w:r>
    </w:p>
    <w:p>
      <w:pPr>
        <w:pStyle w:val="Heading1"/>
      </w:pPr>
      <w:r>
        <w:t>4. Planilha de cálculos (totais e participação)</w:t>
      </w:r>
    </w:p>
    <w:p>
      <w:r>
        <w:t>A seguir, uma 'planilha' em formato de tabela com totais e participação percentual.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Volume</w:t>
            </w:r>
          </w:p>
        </w:tc>
        <w:tc>
          <w:tcPr>
            <w:tcW w:type="dxa" w:w="1440"/>
          </w:tcPr>
          <w:p>
            <w:r>
              <w:t>Unidade</w:t>
            </w:r>
          </w:p>
        </w:tc>
        <w:tc>
          <w:tcPr>
            <w:tcW w:type="dxa" w:w="1440"/>
          </w:tcPr>
          <w:p>
            <w:r>
              <w:t>Fórmula (conceitual)</w:t>
            </w:r>
          </w:p>
        </w:tc>
        <w:tc>
          <w:tcPr>
            <w:tcW w:type="dxa" w:w="1440"/>
          </w:tcPr>
          <w:p>
            <w:r>
              <w:t>Total do grupo</w:t>
            </w:r>
          </w:p>
        </w:tc>
        <w:tc>
          <w:tcPr>
            <w:tcW w:type="dxa" w:w="1440"/>
          </w:tcPr>
          <w:p>
            <w:r>
              <w:t>Participação</w:t>
            </w:r>
          </w:p>
        </w:tc>
      </w:tr>
      <w:tr>
        <w:tc>
          <w:tcPr>
            <w:tcW w:type="dxa" w:w="1440"/>
          </w:tcPr>
          <w:p>
            <w:r>
              <w:t>DAX (Germany 40)</w:t>
            </w:r>
          </w:p>
        </w:tc>
        <w:tc>
          <w:tcPr>
            <w:tcW w:type="dxa" w:w="1440"/>
          </w:tcPr>
          <w:p>
            <w:r>
              <w:t>55.24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Vol_i</w:t>
            </w:r>
          </w:p>
        </w:tc>
        <w:tc>
          <w:tcPr>
            <w:tcW w:type="dxa" w:w="1440"/>
          </w:tcPr>
          <w:p>
            <w:r>
              <w:t>829.64 M</w:t>
            </w:r>
          </w:p>
        </w:tc>
        <w:tc>
          <w:tcPr>
            <w:tcW w:type="dxa" w:w="1440"/>
          </w:tcPr>
          <w:p>
            <w:r>
              <w:t>6.66%</w:t>
            </w:r>
          </w:p>
        </w:tc>
      </w:tr>
      <w:tr>
        <w:tc>
          <w:tcPr>
            <w:tcW w:type="dxa" w:w="1440"/>
          </w:tcPr>
          <w:p>
            <w:r>
              <w:t>CAC 40 (France)</w:t>
            </w:r>
          </w:p>
        </w:tc>
        <w:tc>
          <w:tcPr>
            <w:tcW w:type="dxa" w:w="1440"/>
          </w:tcPr>
          <w:p>
            <w:r>
              <w:t>60.14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Vol_i</w:t>
            </w:r>
          </w:p>
        </w:tc>
        <w:tc>
          <w:tcPr>
            <w:tcW w:type="dxa" w:w="1440"/>
          </w:tcPr>
          <w:p>
            <w:r>
              <w:t>829.64 M</w:t>
            </w:r>
          </w:p>
        </w:tc>
        <w:tc>
          <w:tcPr>
            <w:tcW w:type="dxa" w:w="1440"/>
          </w:tcPr>
          <w:p>
            <w:r>
              <w:t>7.25%</w:t>
            </w:r>
          </w:p>
        </w:tc>
      </w:tr>
      <w:tr>
        <w:tc>
          <w:tcPr>
            <w:tcW w:type="dxa" w:w="1440"/>
          </w:tcPr>
          <w:p>
            <w:r>
              <w:t>FTSE 100 (UK)</w:t>
            </w:r>
          </w:p>
        </w:tc>
        <w:tc>
          <w:tcPr>
            <w:tcW w:type="dxa" w:w="1440"/>
          </w:tcPr>
          <w:p>
            <w:r>
              <w:t>714.26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Vol_i</w:t>
            </w:r>
          </w:p>
        </w:tc>
        <w:tc>
          <w:tcPr>
            <w:tcW w:type="dxa" w:w="1440"/>
          </w:tcPr>
          <w:p>
            <w:r>
              <w:t>829.64 M</w:t>
            </w:r>
          </w:p>
        </w:tc>
        <w:tc>
          <w:tcPr>
            <w:tcW w:type="dxa" w:w="1440"/>
          </w:tcPr>
          <w:p>
            <w:r>
              <w:t>86.09%</w:t>
            </w:r>
          </w:p>
        </w:tc>
      </w:tr>
      <w:tr>
        <w:tc>
          <w:tcPr>
            <w:tcW w:type="dxa" w:w="1440"/>
          </w:tcPr>
          <w:p>
            <w:r>
              <w:t>TOTAL (Índices selecionados)</w:t>
            </w:r>
          </w:p>
        </w:tc>
        <w:tc>
          <w:tcPr>
            <w:tcW w:type="dxa" w:w="1440"/>
          </w:tcPr>
          <w:p>
            <w:r>
              <w:t>829.64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Σ Vol_i</w:t>
            </w:r>
          </w:p>
        </w:tc>
        <w:tc>
          <w:tcPr>
            <w:tcW w:type="dxa" w:w="1440"/>
          </w:tcPr>
          <w:p>
            <w:r>
              <w:t>829.64 M</w:t>
            </w:r>
          </w:p>
        </w:tc>
        <w:tc>
          <w:tcPr>
            <w:tcW w:type="dxa" w:w="1440"/>
          </w:tcPr>
          <w:p>
            <w:r>
              <w:t>100.00%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671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sh_sh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3. Participação no volume agregado (índices selecionados).</w:t>
      </w:r>
    </w:p>
    <w:p>
      <w:r>
        <w:t>Exemplo de cálculo (como se fosse planilha):</w:t>
      </w:r>
    </w:p>
    <w:p>
      <w:r>
        <w:t>• Total_Índices = 829.64 = 55.24 + 60.14 + 714.26</w:t>
      </w:r>
    </w:p>
    <w:p>
      <w:r>
        <w:t>• Participação_i = Vol_i / Total_Índices</w:t>
      </w:r>
    </w:p>
    <w:p>
      <w:pPr>
        <w:pStyle w:val="Heading1"/>
      </w:pPr>
      <w:r>
        <w:t>5. Fontes e notas metodológicas</w:t>
      </w:r>
    </w:p>
    <w:p>
      <w:r>
        <w:t>Fontes (páginas de dados históricos usadas para preencher as tabelas):</w:t>
        <w:br/>
        <w:t>• DAX Historical Data (Investing.com)</w:t>
        <w:br/>
        <w:t>• CAC 40 Historical Data (Investing.com)</w:t>
        <w:br/>
        <w:t>• FTSE 100 Historical Data (Investing.com)</w:t>
        <w:br/>
        <w:t>• DAX Futures Historical Data (Investing.com)</w:t>
        <w:br/>
        <w:t>• Euro Stoxx 50 Futures Historical Data (Investing.com)</w:t>
        <w:br/>
        <w:t>• FTSE 100 Futures Historical Data (Investing.com)</w:t>
        <w:br/>
      </w:r>
    </w:p>
    <w:p>
      <w:r>
        <w:t>Nota: este documento foi gerado para estressar a conversão DOCX→PDF (texto, tabelas e gráficos). Não constitui recomendação de investimento.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