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e8a9bae85a5015e14334fe8789fda5f721ecd9"/>
    <w:p>
      <w:pPr>
        <w:pStyle w:val="Heading1"/>
      </w:pPr>
      <w:r>
        <w:t xml:space="preserve">Projet 06 — Analyse sociodémographique avec SQL</w:t>
      </w:r>
    </w:p>
    <w:p>
      <w:pPr>
        <w:pStyle w:val="BlockText"/>
      </w:pPr>
      <w:r>
        <w:rPr>
          <w:bCs/>
          <w:b/>
        </w:rPr>
        <w:t xml:space="preserve">Données pédagogiques simulées</w:t>
      </w:r>
      <w:r>
        <w:t xml:space="preserve"> </w:t>
      </w:r>
      <w:r>
        <w:t xml:space="preserve">: 20 personnes fictives. Avec des effectifs aussi faibles, les résultats illustrent la méthode ; ils ne permettent aucune généralisation.</w:t>
      </w:r>
    </w:p>
    <w:bookmarkStart w:id="20" w:name="problématique"/>
    <w:p>
      <w:pPr>
        <w:pStyle w:val="Heading2"/>
      </w:pPr>
      <w:r>
        <w:t xml:space="preserve">Problématique</w:t>
      </w:r>
    </w:p>
    <w:p>
      <w:pPr>
        <w:pStyle w:val="FirstParagraph"/>
      </w:pPr>
      <w:r>
        <w:t xml:space="preserve">Comment interroger une base sociodémographique avec SQL pour décrire l'emploi, l'éducation et les revenus ?</w:t>
      </w:r>
    </w:p>
    <w:bookmarkEnd w:id="20"/>
    <w:bookmarkStart w:id="21" w:name="données"/>
    <w:p>
      <w:pPr>
        <w:pStyle w:val="Heading2"/>
      </w:pPr>
      <w:r>
        <w:t xml:space="preserve">Données</w:t>
      </w:r>
    </w:p>
    <w:p>
      <w:pPr>
        <w:pStyle w:val="FirstParagraph"/>
      </w:pPr>
      <w:r>
        <w:rPr>
          <w:rStyle w:val="VerbatimChar"/>
        </w:rPr>
        <w:t xml:space="preserve">data/personnes.xlsx</w:t>
      </w:r>
      <w:r>
        <w:t xml:space="preserve"> </w:t>
      </w:r>
      <w:r>
        <w:t xml:space="preserve">(feuille « Donnees ») — 20 lignes 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sexe</w:t>
      </w:r>
      <w:r>
        <w:t xml:space="preserve"> </w:t>
      </w:r>
      <w:r>
        <w:t xml:space="preserve">(F/M),</w:t>
      </w:r>
      <w:r>
        <w:t xml:space="preserve"> </w:t>
      </w:r>
      <w:r>
        <w:rPr>
          <w:rStyle w:val="VerbatimChar"/>
        </w:rPr>
        <w:t xml:space="preserve">niveau_education</w:t>
      </w:r>
      <w:r>
        <w:t xml:space="preserve"> </w:t>
      </w:r>
      <w:r>
        <w:t xml:space="preserve">(L1, L2, L3, Master),</w:t>
      </w:r>
      <w:r>
        <w:t xml:space="preserve"> </w:t>
      </w:r>
      <w:r>
        <w:rPr>
          <w:rStyle w:val="VerbatimChar"/>
        </w:rPr>
        <w:t xml:space="preserve">emploi</w:t>
      </w:r>
      <w:r>
        <w:t xml:space="preserve"> </w:t>
      </w:r>
      <w:r>
        <w:t xml:space="preserve">(Oui/Non),</w:t>
      </w:r>
      <w:r>
        <w:t xml:space="preserve"> </w:t>
      </w:r>
      <w:r>
        <w:rPr>
          <w:rStyle w:val="VerbatimChar"/>
        </w:rPr>
        <w:t xml:space="preserve">revenu_mensuel</w:t>
      </w:r>
      <w:r>
        <w:t xml:space="preserve"> </w:t>
      </w:r>
      <w:r>
        <w:t xml:space="preserve">(0 si sans emploi ; unité non précisée).</w:t>
      </w:r>
    </w:p>
    <w:bookmarkEnd w:id="21"/>
    <w:bookmarkStart w:id="22" w:name="méthode"/>
    <w:p>
      <w:pPr>
        <w:pStyle w:val="Heading2"/>
      </w:pPr>
      <w:r>
        <w:t xml:space="preserve">Méthode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sql/schema.sql</w:t>
      </w:r>
      <w:r>
        <w:t xml:space="preserve"> </w:t>
      </w:r>
      <w:r>
        <w:t xml:space="preserve">crée la table avec des</w:t>
      </w:r>
      <w:r>
        <w:t xml:space="preserve"> </w:t>
      </w:r>
      <w:r>
        <w:rPr>
          <w:bCs/>
          <w:b/>
        </w:rPr>
        <w:t xml:space="preserve">contraintes CHECK</w:t>
      </w:r>
      <w:r>
        <w:t xml:space="preserve"> </w:t>
      </w:r>
      <w:r>
        <w:t xml:space="preserve">: valeurs autorisées, et cohérence emploi/revenu (sans emploi ⇔ revenu nul). Une ligne incohérente ferait échouer le chargement.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sql/queries.sql</w:t>
      </w:r>
      <w:r>
        <w:t xml:space="preserve"> </w:t>
      </w:r>
      <w:r>
        <w:t xml:space="preserve">contient 10 requêtes commentées (agrégations,</w:t>
      </w:r>
      <w:r>
        <w:t xml:space="preserve"> </w:t>
      </w:r>
      <w:r>
        <w:rPr>
          <w:rStyle w:val="VerbatimChar"/>
        </w:rPr>
        <w:t xml:space="preserve">CASE WHEN</w:t>
      </w:r>
      <w:r>
        <w:t xml:space="preserve">, sous-requêtes, tranches d'âge, contrôle qualité).</w:t>
      </w:r>
    </w:p>
    <w:p>
      <w:pPr>
        <w:numPr>
          <w:ilvl w:val="0"/>
          <w:numId w:val="1001"/>
        </w:numPr>
        <w:pStyle w:val="Compact"/>
      </w:pPr>
      <w:r>
        <w:t xml:space="preserve">Les requêtes ont été exécutées sur une base SQLite ;</w:t>
      </w:r>
      <w:r>
        <w:t xml:space="preserve"> </w:t>
      </w:r>
      <w:r>
        <w:rPr>
          <w:bCs/>
          <w:b/>
        </w:rPr>
        <w:t xml:space="preserve">deux résultats ont été recoupés avec Pandas</w:t>
      </w:r>
      <w:r>
        <w:t xml:space="preserve"> </w:t>
      </w:r>
      <w:r>
        <w:t xml:space="preserve">et les tableaux ainsi que les graphiques ont été produits à partir de ces résultats.</w:t>
      </w:r>
    </w:p>
    <w:bookmarkEnd w:id="22"/>
    <w:bookmarkStart w:id="29" w:name="résultats"/>
    <w:p>
      <w:pPr>
        <w:pStyle w:val="Heading2"/>
      </w:pPr>
      <w:r>
        <w:t xml:space="preserve">Résultats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3960"/>
        <w:gridCol w:w="396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Question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Résultat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Effectif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20 personnes (10 femmes, 10 hommes)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Âge moyen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Femmes 28,7 ans ; hommes 34,4 ans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Taux d'emploi global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60,0 % (12 sur 20)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Taux d'emploi par sexe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60,0 % pour les deux sexes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Taux d'emploi par niveau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L1 25 % · L2 50 % · L3 66,7 % · Master 100 %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Revenu moyen (tous / avec revenu)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190 500 / 317 500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Revenu moyen des personnes en emploi par niveau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Master 480 000 · L2 260 000 · L3 230 000 · L1 190 000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Taux d'emploi par âge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&lt; 25 ans : 20 % · 25-34 : 66,7 % · 35-44 : 66,7 % · 45+ : 100 %</w:t>
            </w:r>
          </w:p>
        </w:tc>
      </w:tr>
    </w:tbl>
    <w:p>
      <w:pPr>
        <w:pStyle w:val="BodyText"/>
        <w:spacing w:after="160"/>
        <w:jc w:val="center"/>
      </w:pPr>
      <w:r>
        <w:drawing>
          <wp:inline>
            <wp:extent cx="5334000" cy="3081866"/>
            <wp:effectExtent b="0" l="0" r="0" t="0"/>
            <wp:docPr descr="Taux d'emploi par niveau" title="" id="24" name="Picture"/>
            <a:graphic>
              <a:graphicData uri="http://schemas.openxmlformats.org/drawingml/2006/picture">
                <pic:pic>
                  <pic:nvPicPr>
                    <pic:cNvPr descr="figures/taux_emploi_par_niveau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81866"/>
            <wp:effectExtent b="0" l="0" r="0" t="0"/>
            <wp:docPr descr="Revenu par niveau" title="" id="27" name="Picture"/>
            <a:graphic>
              <a:graphicData uri="http://schemas.openxmlformats.org/drawingml/2006/picture">
                <pic:pic>
                  <pic:nvPicPr>
                    <pic:cNvPr descr="figures/revenu_par_niveau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Résultats complets :</w:t>
      </w:r>
      <w:r>
        <w:t xml:space="preserve"> </w:t>
      </w:r>
      <w:r>
        <w:rPr>
          <w:rStyle w:val="VerbatimChar"/>
        </w:rPr>
        <w:t xml:space="preserve">results/resultats_requetes.docx</w:t>
      </w:r>
      <w:r>
        <w:t xml:space="preserve">.</w:t>
      </w:r>
    </w:p>
    <w:bookmarkEnd w:id="29"/>
    <w:bookmarkStart w:id="30" w:name="interprétation"/>
    <w:p>
      <w:pPr>
        <w:pStyle w:val="Heading2"/>
      </w:pPr>
      <w:r>
        <w:t xml:space="preserve">Interprétation</w:t>
      </w:r>
    </w:p>
    <w:p>
      <w:pPr>
        <w:numPr>
          <w:ilvl w:val="0"/>
          <w:numId w:val="1002"/>
        </w:numPr>
        <w:pStyle w:val="Compact"/>
      </w:pPr>
      <w:r>
        <w:t xml:space="preserve">Le taux d'emploi augmente avec le niveau d'éducation (de 25 % en L1 à 100 % en Master).</w:t>
      </w:r>
    </w:p>
    <w:p>
      <w:pPr>
        <w:numPr>
          <w:ilvl w:val="0"/>
          <w:numId w:val="1002"/>
        </w:numPr>
        <w:pStyle w:val="Compact"/>
      </w:pPr>
      <w:r>
        <w:t xml:space="preserve">Le revenu moyen est nettement plus élevé en Master, mais</w:t>
      </w:r>
      <w:r>
        <w:t xml:space="preserve"> </w:t>
      </w:r>
      <w:r>
        <w:rPr>
          <w:bCs/>
          <w:b/>
        </w:rPr>
        <w:t xml:space="preserve">pas de progression régulière</w:t>
      </w:r>
      <w:r>
        <w:t xml:space="preserve"> </w:t>
      </w:r>
      <w:r>
        <w:t xml:space="preserve">de L1 à L3 (L2 dépasse L3) ; avec 1 à 4 personnes en emploi par niveau, ces moyennes ne sont pas fiables.</w:t>
      </w:r>
    </w:p>
    <w:p>
      <w:pPr>
        <w:numPr>
          <w:ilvl w:val="0"/>
          <w:numId w:val="1002"/>
        </w:numPr>
        <w:pStyle w:val="Compact"/>
      </w:pPr>
      <w:r>
        <w:t xml:space="preserve">Le niveau d'éducation et l'âge évoluent ensemble ici (âge moyen de 27,8 ans en L1 à 36,8 ans en Master), et le taux d'emploi croît aussi avec l'âge : on ne peut pas isoler l'effet de l'un ou de l'autre.</w:t>
      </w:r>
    </w:p>
    <w:p>
      <w:pPr>
        <w:numPr>
          <w:ilvl w:val="0"/>
          <w:numId w:val="1002"/>
        </w:numPr>
        <w:pStyle w:val="Compact"/>
      </w:pPr>
      <w:r>
        <w:t xml:space="preserve">Exclure les revenus nuls du calcul de la moyenne (Q5) change fortement le résultat (190 500 contre 317 500), car 8 personnes sur 20 n'ont pas de revenu d'activité.</w:t>
      </w:r>
    </w:p>
    <w:bookmarkEnd w:id="30"/>
    <w:bookmarkStart w:id="31" w:name="limites"/>
    <w:p>
      <w:pPr>
        <w:pStyle w:val="Heading2"/>
      </w:pPr>
      <w:r>
        <w:t xml:space="preserve">Limites</w:t>
      </w:r>
    </w:p>
    <w:p>
      <w:pPr>
        <w:pStyle w:val="FirstParagraph"/>
      </w:pPr>
      <w:r>
        <w:t xml:space="preserve">Échantillon de 20 personnes ; données simulées ; pas de test statistique ; facteurs de confusion non contrôlés (âge, sexe, niveau).</w:t>
      </w:r>
    </w:p>
    <w:bookmarkEnd w:id="31"/>
    <w:bookmarkStart w:id="32" w:name="exécution-des-requêtes"/>
    <w:p>
      <w:pPr>
        <w:pStyle w:val="Heading2"/>
      </w:pPr>
      <w:r>
        <w:t xml:space="preserve">Exécution des requêtes</w:t>
      </w:r>
    </w:p>
    <w:p>
      <w:pPr>
        <w:pStyle w:val="FirstParagraph"/>
      </w:pPr>
      <w:r>
        <w:t xml:space="preserve">Les requêtes de</w:t>
      </w:r>
      <w:r>
        <w:t xml:space="preserve"> </w:t>
      </w:r>
      <w:r>
        <w:rPr>
          <w:rStyle w:val="VerbatimChar"/>
        </w:rPr>
        <w:t xml:space="preserve">sql/queries.sql</w:t>
      </w:r>
      <w:r>
        <w:t xml:space="preserve"> </w:t>
      </w:r>
      <w:r>
        <w:t xml:space="preserve">s'exécutent dans n'importe quel client SQLite (DB Browser for SQLite, DBeaver…) : exécuter d'abord</w:t>
      </w:r>
      <w:r>
        <w:t xml:space="preserve"> </w:t>
      </w:r>
      <w:r>
        <w:rPr>
          <w:rStyle w:val="VerbatimChar"/>
        </w:rPr>
        <w:t xml:space="preserve">sql/schema.sql</w:t>
      </w:r>
      <w:r>
        <w:t xml:space="preserve">, puis importer les données de</w:t>
      </w:r>
      <w:r>
        <w:t xml:space="preserve"> </w:t>
      </w:r>
      <w:r>
        <w:rPr>
          <w:rStyle w:val="VerbatimChar"/>
        </w:rPr>
        <w:t xml:space="preserve">data/personnes.xlsx</w:t>
      </w:r>
      <w:r>
        <w:t xml:space="preserve"> </w:t>
      </w:r>
      <w:r>
        <w:t xml:space="preserve">dans la table</w:t>
      </w:r>
      <w:r>
        <w:t xml:space="preserve"> </w:t>
      </w:r>
      <w:r>
        <w:rPr>
          <w:rStyle w:val="VerbatimChar"/>
        </w:rPr>
        <w:t xml:space="preserve">personnes</w:t>
      </w:r>
      <w:r>
        <w:t xml:space="preserve"> </w:t>
      </w:r>
      <w:r>
        <w:t xml:space="preserve">(enregistrer la feuille au format CSV si le client n'importe pas directement les fichiers Excel).</w:t>
      </w:r>
    </w:p>
    <w:bookmarkEnd w:id="32"/>
    <w:bookmarkStart w:id="33" w:name="contenu-du-dossier"/>
    <w:p>
      <w:pPr>
        <w:pStyle w:val="Heading2"/>
      </w:pPr>
      <w:r>
        <w:t xml:space="preserve">Contenu du dossier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3960"/>
        <w:gridCol w:w="396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Élément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20"/>
              </w:rPr>
              <w:t xml:space="preserve">data/personnes.xlsx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Données de départ (20 personnes)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20"/>
              </w:rPr>
              <w:t xml:space="preserve">sql/schema.sql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Création de la table et contraintes de qualité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20"/>
              </w:rPr>
              <w:t xml:space="preserve">sql/queries.sql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10 requêtes commentées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20"/>
              </w:rPr>
              <w:t xml:space="preserve">figures/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 graphiques au format PNG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20"/>
              </w:rPr>
              <w:t xml:space="preserve">results/resultats_requetes.docx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Résultats complets des 10 requêtes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20"/>
              </w:rPr>
              <w:t xml:space="preserve">results/tableaux_resultats.xlsx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Un tableau par requête (feuilles q01 à q10)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20"/>
              </w:rPr>
              <w:t xml:space="preserve">LICENCE.docx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Licence d'utilisation (MIT, en français)</w:t>
            </w:r>
          </w:p>
        </w:tc>
      </w:tr>
    </w:tbl>
    <w:bookmarkEnd w:id="33"/>
    <w:bookmarkStart w:id="34" w:name="licence"/>
    <w:p>
      <w:pPr>
        <w:pStyle w:val="Heading2"/>
      </w:pPr>
      <w:r>
        <w:t xml:space="preserve">Licence</w:t>
      </w:r>
    </w:p>
    <w:p>
      <w:pPr>
        <w:pStyle w:val="FirstParagraph"/>
      </w:pPr>
      <w:r>
        <w:t xml:space="preserve">Ce projet est distribué sous licence MIT, dont le texte français figure dans le fichier</w:t>
      </w:r>
      <w:r>
        <w:t xml:space="preserve"> </w:t>
      </w:r>
      <w:r>
        <w:rPr>
          <w:rStyle w:val="VerbatimChar"/>
        </w:rPr>
        <w:t xml:space="preserve">LICENCE.docx</w:t>
      </w:r>
      <w:r>
        <w:t xml:space="preserve">.</w:t>
      </w:r>
    </w:p>
    <w:bookmarkEnd w:id="34"/>
    <w:bookmarkEnd w:id="35"/>
    <w:sectPr>
      <w:footerReference w:type="default" r:id="rId9"/>
      <w:pgSz w:w="11906" w:h="16838"/>
      <w:pgMar w:bottom="1134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F7F7F"/>
        <w:sz w:val="18"/>
      </w:rPr>
      <w:t xml:space="preserve">06_SQL_sociodemographie — page </w:t>
    </w:r>
    <w:r>
      <w:rPr>
        <w:color w:val="7F7F7F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pPr>
      <w:spacing w:after="120" w:before="0" w:line="276" w:lineRule="auto"/>
    </w:pPr>
    <w:qFormat/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40" w:before="36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0"/>
      <w:outlineLvl w:val="0"/>
      <w:pBdr>
        <w:bottom w:color="1F3864" w:space="4" w:sz="12" w:val="single"/>
      </w:pBdr>
    </w:pPr>
    <w:rPr>
      <w:rFonts w:ascii="Calibri" w:cs="Calibri" w:eastAsia="Calibri" w:hAnsi="Calibri"/>
      <w:b/>
      <w:bCs/>
      <w:i w:val="0"/>
      <w:color w:val="1F3864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libri" w:cs="Calibri" w:eastAsia="Calibri" w:hAnsi="Calibri"/>
      <w:b/>
      <w:bCs/>
      <w:i w:val="0"/>
      <w:color w:val="2E5496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320"/>
      <w:outlineLvl w:val="2"/>
    </w:pPr>
    <w:rPr>
      <w:rFonts w:ascii="Calibri" w:cs="Calibri" w:eastAsia="Calibri" w:hAnsi="Calibri"/>
      <w:b/>
      <w:bCs/>
      <w:i w:val="0"/>
      <w:color w:val="2E5496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320"/>
      <w:outlineLvl w:val="3"/>
    </w:pPr>
    <w:rPr>
      <w:rFonts w:ascii="Calibri" w:cs="Calibri" w:eastAsia="Calibri" w:hAnsi="Calibri"/>
      <w:i w:val="0"/>
      <w:b/>
      <w:bCs/>
      <w:color w:val="2E5496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120"/>
      <w:ind w:firstLine="0" w:left="480" w:right="480"/>
      <w:pBdr>
        <w:left w:color="2E5496" w:space="8" w:sz="24" w:val="single"/>
      </w:pBdr>
      <w:shd w:color="auto" w:fill="EAF0FA" w:val="clear"/>
    </w:pPr>
    <w:rPr>
      <w:rFonts w:ascii="Calibri" w:cs="Calibri" w:eastAsia="Calibri" w:hAnsi="Calibri"/>
      <w:i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9C1C4B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Calibri" w:cs="Calibri" w:eastAsia="Calibri" w:hAnsi="Calibri"/>
      <w:color w:val="2E549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hd w:color="auto" w:fill="F2F2F2" w:val="clear"/>
      <w:spacing w:after="0"/>
    </w:pPr>
    <w:rPr>
      <w:rFonts w:ascii="Consolas" w:cs="Consolas" w:eastAsia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23" Type="http://schemas.openxmlformats.org/officeDocument/2006/relationships/image" Target="media/rId2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2026-10-11T09:50:49Z</dcterms:created>
  <dcterms:modified xsi:type="dcterms:W3CDTF">2026-10-11T09:50:49Z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