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5B3F" w:rsidRDefault="00D97A1B" w:rsidP="00713416">
      <w:pPr>
        <w:pStyle w:val="Titre1"/>
      </w:pPr>
      <w:bookmarkStart w:id="0" w:name="Xc74c3749ccfb8fbde79a27fc1fde88cac57f97d"/>
      <w:r>
        <w:t xml:space="preserve"> Dashboard Power BI : population et démographie du Bénin</w:t>
      </w:r>
      <w:bookmarkStart w:id="1" w:name="_GoBack"/>
      <w:bookmarkEnd w:id="1"/>
    </w:p>
    <w:p w:rsidR="00335B3F" w:rsidRDefault="00D97A1B">
      <w:pPr>
        <w:pStyle w:val="Titre2"/>
      </w:pPr>
      <w:bookmarkStart w:id="2" w:name="problématique"/>
      <w:r>
        <w:t>Problématique</w:t>
      </w:r>
    </w:p>
    <w:p w:rsidR="00335B3F" w:rsidRDefault="00D97A1B">
      <w:pPr>
        <w:pStyle w:val="FirstParagraph"/>
      </w:pPr>
      <w:r>
        <w:t>Comment présenter, dans un tableau de bord interactif, la répartition de la population, la densité, l'urbanisation et la part des femmes par département ?</w:t>
      </w:r>
    </w:p>
    <w:p w:rsidR="00335B3F" w:rsidRDefault="00D97A1B">
      <w:pPr>
        <w:pStyle w:val="Titre2"/>
      </w:pPr>
      <w:bookmarkStart w:id="3" w:name="contenu-du-kit"/>
      <w:bookmarkEnd w:id="2"/>
      <w:r>
        <w:t>Contenu du kit</w:t>
      </w:r>
    </w:p>
    <w:tbl>
      <w:tblPr>
        <w:tblStyle w:val="Table"/>
        <w:tblW w:w="5000" w:type="pct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  <w:tblLook w:val="0020" w:firstRow="1" w:lastRow="0" w:firstColumn="0" w:lastColumn="0" w:noHBand="0" w:noVBand="0"/>
      </w:tblPr>
      <w:tblGrid>
        <w:gridCol w:w="3829"/>
        <w:gridCol w:w="5783"/>
      </w:tblGrid>
      <w:tr w:rsidR="00335B3F" w:rsidTr="00335B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F3864"/>
          </w:tcPr>
          <w:p w:rsidR="00335B3F" w:rsidRDefault="00D97A1B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w="0" w:type="auto"/>
            <w:shd w:val="clear" w:color="auto" w:fill="1F3864"/>
          </w:tcPr>
          <w:p w:rsidR="00335B3F" w:rsidRDefault="00D97A1B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Rôle</w:t>
            </w:r>
          </w:p>
        </w:tc>
      </w:tr>
      <w:tr w:rsidR="00335B3F" w:rsidTr="00335B3F">
        <w:trPr>
          <w:cantSplit/>
          <w:jc w:val="center"/>
        </w:trPr>
        <w:tc>
          <w:tcPr>
            <w:tcW w:w="0" w:type="auto"/>
          </w:tcPr>
          <w:p w:rsidR="00335B3F" w:rsidRDefault="00D97A1B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data/population_departements.xlsx</w:t>
            </w:r>
          </w:p>
        </w:tc>
        <w:tc>
          <w:tcPr>
            <w:tcW w:w="0" w:type="auto"/>
          </w:tcPr>
          <w:p w:rsidR="00335B3F" w:rsidRDefault="00D97A1B">
            <w:pPr>
              <w:pStyle w:val="Compact"/>
              <w:spacing w:after="0"/>
            </w:pPr>
            <w:r>
              <w:rPr>
                <w:sz w:val="20"/>
              </w:rPr>
              <w:t>Données (12 départements), feuille « Donnees »</w:t>
            </w:r>
          </w:p>
        </w:tc>
      </w:tr>
      <w:tr w:rsidR="00335B3F" w:rsidTr="00335B3F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335B3F" w:rsidRDefault="00D97A1B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powerbi/power_query.m</w:t>
            </w:r>
          </w:p>
        </w:tc>
        <w:tc>
          <w:tcPr>
            <w:tcW w:w="0" w:type="auto"/>
            <w:shd w:val="clear" w:color="auto" w:fill="F2F6FC"/>
          </w:tcPr>
          <w:p w:rsidR="00335B3F" w:rsidRDefault="00D97A1B">
            <w:pPr>
              <w:pStyle w:val="Compact"/>
              <w:spacing w:after="0"/>
            </w:pPr>
            <w:r>
              <w:rPr>
                <w:sz w:val="20"/>
              </w:rPr>
              <w:t>Import du classeur Excel et typage des colonnes (point décimal forcé)</w:t>
            </w:r>
          </w:p>
        </w:tc>
      </w:tr>
      <w:tr w:rsidR="00335B3F" w:rsidTr="00335B3F">
        <w:trPr>
          <w:cantSplit/>
          <w:jc w:val="center"/>
        </w:trPr>
        <w:tc>
          <w:tcPr>
            <w:tcW w:w="0" w:type="auto"/>
          </w:tcPr>
          <w:p w:rsidR="00335B3F" w:rsidRDefault="00D97A1B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powerbi/mesures_DAX.txt</w:t>
            </w:r>
          </w:p>
        </w:tc>
        <w:tc>
          <w:tcPr>
            <w:tcW w:w="0" w:type="auto"/>
          </w:tcPr>
          <w:p w:rsidR="00335B3F" w:rsidRDefault="00D97A1B">
            <w:pPr>
              <w:pStyle w:val="Compact"/>
              <w:spacing w:after="0"/>
            </w:pPr>
            <w:r>
              <w:rPr>
                <w:sz w:val="20"/>
              </w:rPr>
              <w:t>8 mesures, dont des moyennes pondérées</w:t>
            </w:r>
          </w:p>
        </w:tc>
      </w:tr>
      <w:tr w:rsidR="00335B3F" w:rsidTr="00335B3F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335B3F" w:rsidRDefault="00D97A1B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powerbi/theme_portfolio.json</w:t>
            </w:r>
          </w:p>
        </w:tc>
        <w:tc>
          <w:tcPr>
            <w:tcW w:w="0" w:type="auto"/>
            <w:shd w:val="clear" w:color="auto" w:fill="F2F6FC"/>
          </w:tcPr>
          <w:p w:rsidR="00335B3F" w:rsidRDefault="00D97A1B">
            <w:pPr>
              <w:pStyle w:val="Compact"/>
              <w:spacing w:after="0"/>
            </w:pPr>
            <w:r>
              <w:rPr>
                <w:sz w:val="20"/>
              </w:rPr>
              <w:t>Thème de couleurs à importer</w:t>
            </w:r>
          </w:p>
        </w:tc>
      </w:tr>
      <w:tr w:rsidR="00335B3F" w:rsidTr="00335B3F">
        <w:trPr>
          <w:cantSplit/>
          <w:jc w:val="center"/>
        </w:trPr>
        <w:tc>
          <w:tcPr>
            <w:tcW w:w="0" w:type="auto"/>
          </w:tcPr>
          <w:p w:rsidR="00335B3F" w:rsidRDefault="00D97A1B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powerbi/guide_dashboard.docx</w:t>
            </w:r>
          </w:p>
        </w:tc>
        <w:tc>
          <w:tcPr>
            <w:tcW w:w="0" w:type="auto"/>
          </w:tcPr>
          <w:p w:rsidR="00335B3F" w:rsidRDefault="00D97A1B">
            <w:pPr>
              <w:pStyle w:val="Compact"/>
              <w:spacing w:after="0"/>
            </w:pPr>
            <w:r>
              <w:rPr>
                <w:sz w:val="20"/>
              </w:rPr>
              <w:t>Construction page par page et liste de contrôle</w:t>
            </w:r>
          </w:p>
        </w:tc>
      </w:tr>
      <w:tr w:rsidR="00335B3F" w:rsidTr="00335B3F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335B3F" w:rsidRDefault="00D97A1B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results/valeurs_attendues.docx</w:t>
            </w:r>
          </w:p>
        </w:tc>
        <w:tc>
          <w:tcPr>
            <w:tcW w:w="0" w:type="auto"/>
            <w:shd w:val="clear" w:color="auto" w:fill="F2F6FC"/>
          </w:tcPr>
          <w:p w:rsidR="00335B3F" w:rsidRDefault="00D97A1B">
            <w:pPr>
              <w:pStyle w:val="Compact"/>
              <w:spacing w:after="0"/>
            </w:pPr>
            <w:r>
              <w:rPr>
                <w:sz w:val="20"/>
              </w:rPr>
              <w:t>Valeurs que les mesures doivent retourner (pour vérifier)</w:t>
            </w:r>
          </w:p>
        </w:tc>
      </w:tr>
      <w:tr w:rsidR="00335B3F" w:rsidTr="00335B3F">
        <w:trPr>
          <w:cantSplit/>
          <w:jc w:val="center"/>
        </w:trPr>
        <w:tc>
          <w:tcPr>
            <w:tcW w:w="0" w:type="auto"/>
          </w:tcPr>
          <w:p w:rsidR="00335B3F" w:rsidRDefault="00D97A1B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figures/apercu_dashboard.png</w:t>
            </w:r>
          </w:p>
        </w:tc>
        <w:tc>
          <w:tcPr>
            <w:tcW w:w="0" w:type="auto"/>
          </w:tcPr>
          <w:p w:rsidR="00335B3F" w:rsidRDefault="00D97A1B">
            <w:pPr>
              <w:pStyle w:val="Compact"/>
              <w:spacing w:after="0"/>
            </w:pPr>
            <w:r>
              <w:rPr>
                <w:b/>
                <w:bCs/>
                <w:sz w:val="20"/>
              </w:rPr>
              <w:t>Aperçu</w:t>
            </w:r>
            <w:r>
              <w:rPr>
                <w:sz w:val="20"/>
              </w:rPr>
              <w:t xml:space="preserve"> de la mise en page, tracé avec Python (ce n'est pas une capture Power BI)</w:t>
            </w:r>
          </w:p>
        </w:tc>
      </w:tr>
    </w:tbl>
    <w:p w:rsidR="00335B3F" w:rsidRDefault="00D97A1B">
      <w:pPr>
        <w:pStyle w:val="CaptionedFigure"/>
        <w:spacing w:after="160"/>
      </w:pPr>
      <w:r>
        <w:rPr>
          <w:noProof/>
          <w:lang w:eastAsia="fr-FR"/>
        </w:rPr>
        <w:drawing>
          <wp:inline distT="0" distB="0" distL="0" distR="0" wp14:anchorId="009B971A" wp14:editId="6C0061A3">
            <wp:extent cx="5334000" cy="3502958"/>
            <wp:effectExtent l="0" t="0" r="0" b="0"/>
            <wp:docPr id="22" name="Picture" descr="Aperçu de la mise en p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figures/apercu_dashboar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2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5B3F" w:rsidRDefault="00D97A1B">
      <w:pPr>
        <w:pStyle w:val="ImageCaption"/>
      </w:pPr>
      <w:r>
        <w:t>Aperçu de la mise en page</w:t>
      </w:r>
    </w:p>
    <w:p w:rsidR="00335B3F" w:rsidRDefault="00D97A1B">
      <w:pPr>
        <w:pStyle w:val="Titre2"/>
      </w:pPr>
      <w:bookmarkStart w:id="4" w:name="choix-méthodologiques"/>
      <w:bookmarkEnd w:id="3"/>
      <w:r>
        <w:lastRenderedPageBreak/>
        <w:t>Choix méthodologiques</w:t>
      </w:r>
    </w:p>
    <w:p w:rsidR="00335B3F" w:rsidRDefault="00D97A1B">
      <w:pPr>
        <w:pStyle w:val="Compact"/>
        <w:numPr>
          <w:ilvl w:val="0"/>
          <w:numId w:val="2"/>
        </w:numPr>
      </w:pPr>
      <w:r>
        <w:rPr>
          <w:b/>
          <w:bCs/>
        </w:rPr>
        <w:t>Deux versions de l'urbanisation</w:t>
      </w:r>
      <w:r>
        <w:t xml:space="preserve"> : moyenne simple des départements (45,17 %) et moyenne </w:t>
      </w:r>
      <w:r>
        <w:rPr>
          <w:b/>
          <w:bCs/>
        </w:rPr>
        <w:t>pondérée par la population</w:t>
      </w:r>
      <w:r>
        <w:t xml:space="preserve"> (47,07 %), seule estimation correcte du taux de l'ensemble.</w:t>
      </w:r>
    </w:p>
    <w:p w:rsidR="00335B3F" w:rsidRDefault="00D97A1B">
      <w:pPr>
        <w:pStyle w:val="Compact"/>
        <w:numPr>
          <w:ilvl w:val="0"/>
          <w:numId w:val="2"/>
        </w:numPr>
      </w:pPr>
      <w:r>
        <w:rPr>
          <w:b/>
          <w:bCs/>
        </w:rPr>
        <w:t>Densité sur échelle logarithmique</w:t>
      </w:r>
      <w:r>
        <w:t xml:space="preserve"> dans le nuage de points, sinon le Littoral (3 500 hab./km²) écrase les 11 autres départements.</w:t>
      </w:r>
    </w:p>
    <w:p w:rsidR="00335B3F" w:rsidRDefault="00D97A1B">
      <w:pPr>
        <w:pStyle w:val="Compact"/>
        <w:numPr>
          <w:ilvl w:val="0"/>
          <w:numId w:val="2"/>
        </w:numPr>
      </w:pPr>
      <w:r>
        <w:rPr>
          <w:b/>
          <w:bCs/>
        </w:rPr>
        <w:t>Valeurs attendues</w:t>
      </w:r>
      <w:r>
        <w:t xml:space="preserve"> : chaque mesure DAX est contrôlée contre un calcul indépendant.</w:t>
      </w:r>
    </w:p>
    <w:p w:rsidR="00335B3F" w:rsidRDefault="00D97A1B">
      <w:pPr>
        <w:pStyle w:val="Titre2"/>
      </w:pPr>
      <w:bookmarkStart w:id="5" w:name="résultats-attendus-sans-filtre"/>
      <w:bookmarkEnd w:id="4"/>
      <w:r>
        <w:t>Résultats attendus (sans filtre)</w:t>
      </w:r>
    </w:p>
    <w:tbl>
      <w:tblPr>
        <w:tblStyle w:val="Table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  <w:tblLook w:val="0020" w:firstRow="1" w:lastRow="0" w:firstColumn="0" w:lastColumn="0" w:noHBand="0" w:noVBand="0"/>
      </w:tblPr>
      <w:tblGrid>
        <w:gridCol w:w="2402"/>
        <w:gridCol w:w="1453"/>
      </w:tblGrid>
      <w:tr w:rsidR="00335B3F" w:rsidTr="00335B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F3864"/>
          </w:tcPr>
          <w:p w:rsidR="00335B3F" w:rsidRDefault="00D97A1B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Mesure</w:t>
            </w:r>
          </w:p>
        </w:tc>
        <w:tc>
          <w:tcPr>
            <w:tcW w:w="0" w:type="auto"/>
            <w:shd w:val="clear" w:color="auto" w:fill="1F3864"/>
          </w:tcPr>
          <w:p w:rsidR="00335B3F" w:rsidRDefault="00D97A1B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Valeur</w:t>
            </w:r>
          </w:p>
        </w:tc>
      </w:tr>
      <w:tr w:rsidR="00335B3F" w:rsidTr="00335B3F">
        <w:trPr>
          <w:cantSplit/>
          <w:jc w:val="center"/>
        </w:trPr>
        <w:tc>
          <w:tcPr>
            <w:tcW w:w="0" w:type="auto"/>
          </w:tcPr>
          <w:p w:rsidR="00335B3F" w:rsidRDefault="00D97A1B">
            <w:pPr>
              <w:pStyle w:val="Compact"/>
              <w:spacing w:after="0"/>
            </w:pPr>
            <w:r>
              <w:rPr>
                <w:sz w:val="20"/>
              </w:rPr>
              <w:t>Population totale</w:t>
            </w:r>
          </w:p>
        </w:tc>
        <w:tc>
          <w:tcPr>
            <w:tcW w:w="0" w:type="auto"/>
          </w:tcPr>
          <w:p w:rsidR="00335B3F" w:rsidRDefault="00D97A1B">
            <w:pPr>
              <w:pStyle w:val="Compact"/>
              <w:spacing w:after="0"/>
            </w:pPr>
            <w:r>
              <w:rPr>
                <w:sz w:val="20"/>
              </w:rPr>
              <w:t>11 100 000</w:t>
            </w:r>
          </w:p>
        </w:tc>
      </w:tr>
      <w:tr w:rsidR="00335B3F" w:rsidTr="00335B3F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335B3F" w:rsidRDefault="00D97A1B">
            <w:pPr>
              <w:pStyle w:val="Compact"/>
              <w:spacing w:after="0"/>
            </w:pPr>
            <w:r>
              <w:rPr>
                <w:sz w:val="20"/>
              </w:rPr>
              <w:t>Population moyenne</w:t>
            </w:r>
          </w:p>
        </w:tc>
        <w:tc>
          <w:tcPr>
            <w:tcW w:w="0" w:type="auto"/>
            <w:shd w:val="clear" w:color="auto" w:fill="F2F6FC"/>
          </w:tcPr>
          <w:p w:rsidR="00335B3F" w:rsidRDefault="00D97A1B">
            <w:pPr>
              <w:pStyle w:val="Compact"/>
              <w:spacing w:after="0"/>
            </w:pPr>
            <w:r>
              <w:rPr>
                <w:sz w:val="20"/>
              </w:rPr>
              <w:t>925 000</w:t>
            </w:r>
          </w:p>
        </w:tc>
      </w:tr>
      <w:tr w:rsidR="00335B3F" w:rsidTr="00335B3F">
        <w:trPr>
          <w:cantSplit/>
          <w:jc w:val="center"/>
        </w:trPr>
        <w:tc>
          <w:tcPr>
            <w:tcW w:w="0" w:type="auto"/>
          </w:tcPr>
          <w:p w:rsidR="00335B3F" w:rsidRDefault="00D97A1B">
            <w:pPr>
              <w:pStyle w:val="Compact"/>
              <w:spacing w:after="0"/>
            </w:pPr>
            <w:r>
              <w:rPr>
                <w:sz w:val="20"/>
              </w:rPr>
              <w:t>Densité moyenne (simple)</w:t>
            </w:r>
          </w:p>
        </w:tc>
        <w:tc>
          <w:tcPr>
            <w:tcW w:w="0" w:type="auto"/>
          </w:tcPr>
          <w:p w:rsidR="00335B3F" w:rsidRDefault="00D97A1B">
            <w:pPr>
              <w:pStyle w:val="Compact"/>
              <w:spacing w:after="0"/>
            </w:pPr>
            <w:r>
              <w:rPr>
                <w:sz w:val="20"/>
              </w:rPr>
              <w:t>422,1 hab./km²</w:t>
            </w:r>
          </w:p>
        </w:tc>
      </w:tr>
      <w:tr w:rsidR="00335B3F" w:rsidTr="00335B3F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335B3F" w:rsidRDefault="00D97A1B">
            <w:pPr>
              <w:pStyle w:val="Compact"/>
              <w:spacing w:after="0"/>
            </w:pPr>
            <w:r>
              <w:rPr>
                <w:sz w:val="20"/>
              </w:rPr>
              <w:t>Urbanisation pondérée</w:t>
            </w:r>
          </w:p>
        </w:tc>
        <w:tc>
          <w:tcPr>
            <w:tcW w:w="0" w:type="auto"/>
            <w:shd w:val="clear" w:color="auto" w:fill="F2F6FC"/>
          </w:tcPr>
          <w:p w:rsidR="00335B3F" w:rsidRDefault="00D97A1B">
            <w:pPr>
              <w:pStyle w:val="Compact"/>
              <w:spacing w:after="0"/>
            </w:pPr>
            <w:r>
              <w:rPr>
                <w:sz w:val="20"/>
              </w:rPr>
              <w:t>47,07 %</w:t>
            </w:r>
          </w:p>
        </w:tc>
      </w:tr>
      <w:tr w:rsidR="00335B3F" w:rsidTr="00335B3F">
        <w:trPr>
          <w:cantSplit/>
          <w:jc w:val="center"/>
        </w:trPr>
        <w:tc>
          <w:tcPr>
            <w:tcW w:w="0" w:type="auto"/>
          </w:tcPr>
          <w:p w:rsidR="00335B3F" w:rsidRDefault="00D97A1B">
            <w:pPr>
              <w:pStyle w:val="Compact"/>
              <w:spacing w:after="0"/>
            </w:pPr>
            <w:r>
              <w:rPr>
                <w:sz w:val="20"/>
              </w:rPr>
              <w:t>Part des femmes pondérée</w:t>
            </w:r>
          </w:p>
        </w:tc>
        <w:tc>
          <w:tcPr>
            <w:tcW w:w="0" w:type="auto"/>
          </w:tcPr>
          <w:p w:rsidR="00335B3F" w:rsidRDefault="00D97A1B">
            <w:pPr>
              <w:pStyle w:val="Compact"/>
              <w:spacing w:after="0"/>
            </w:pPr>
            <w:r>
              <w:rPr>
                <w:sz w:val="20"/>
              </w:rPr>
              <w:t>50,54 %</w:t>
            </w:r>
          </w:p>
        </w:tc>
      </w:tr>
    </w:tbl>
    <w:p w:rsidR="00335B3F" w:rsidRDefault="00D97A1B">
      <w:pPr>
        <w:pStyle w:val="Titre2"/>
      </w:pPr>
      <w:bookmarkStart w:id="6" w:name="limites"/>
      <w:bookmarkEnd w:id="5"/>
      <w:r>
        <w:t>Limites</w:t>
      </w:r>
    </w:p>
    <w:p w:rsidR="00335B3F" w:rsidRDefault="00D97A1B">
      <w:pPr>
        <w:pStyle w:val="Compact"/>
        <w:numPr>
          <w:ilvl w:val="0"/>
          <w:numId w:val="3"/>
        </w:numPr>
      </w:pPr>
      <w:r>
        <w:t>Données simulées ; interprétations descriptives uniquement.</w:t>
      </w:r>
    </w:p>
    <w:p w:rsidR="00335B3F" w:rsidRDefault="00D97A1B">
      <w:pPr>
        <w:pStyle w:val="Compact"/>
        <w:numPr>
          <w:ilvl w:val="0"/>
          <w:numId w:val="3"/>
        </w:numPr>
      </w:pPr>
      <w:r>
        <w:t>La moyenne simple de la densité n'est pas la densité nationale (la superficie n'est pas fournie).</w:t>
      </w:r>
    </w:p>
    <w:p w:rsidR="00335B3F" w:rsidRDefault="00D97A1B">
      <w:pPr>
        <w:pStyle w:val="Titre2"/>
      </w:pPr>
      <w:bookmarkStart w:id="7" w:name="licence"/>
      <w:bookmarkEnd w:id="6"/>
      <w:r>
        <w:t>Licence</w:t>
      </w:r>
    </w:p>
    <w:p w:rsidR="00335B3F" w:rsidRDefault="00D97A1B">
      <w:pPr>
        <w:pStyle w:val="FirstParagraph"/>
      </w:pPr>
      <w:r>
        <w:t xml:space="preserve">Ce projet est distribué sous licence MIT, dont le texte français figure dans le fichier </w:t>
      </w:r>
      <w:r>
        <w:rPr>
          <w:rStyle w:val="VerbatimChar"/>
        </w:rPr>
        <w:t>LICENCE.docx</w:t>
      </w:r>
      <w:r>
        <w:t>.</w:t>
      </w:r>
      <w:bookmarkEnd w:id="0"/>
      <w:bookmarkEnd w:id="7"/>
    </w:p>
    <w:sectPr w:rsidR="00335B3F">
      <w:footerReference w:type="default" r:id="rId8"/>
      <w:pgSz w:w="11906" w:h="16838"/>
      <w:pgMar w:top="1247" w:right="1247" w:bottom="113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4541" w:rsidRDefault="00BA4541">
      <w:pPr>
        <w:spacing w:after="0"/>
      </w:pPr>
      <w:r>
        <w:separator/>
      </w:r>
    </w:p>
  </w:endnote>
  <w:endnote w:type="continuationSeparator" w:id="0">
    <w:p w:rsidR="00BA4541" w:rsidRDefault="00BA454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B3F" w:rsidRDefault="00D97A1B">
    <w:pPr>
      <w:jc w:val="center"/>
    </w:pPr>
    <w:r>
      <w:rPr>
        <w:color w:val="7F7F7F"/>
        <w:sz w:val="18"/>
      </w:rPr>
      <w:t xml:space="preserve">03_powerbi_population_benin — page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>PAGE</w:instrText>
    </w:r>
    <w:r>
      <w:rPr>
        <w:color w:val="7F7F7F"/>
        <w:sz w:val="18"/>
      </w:rPr>
      <w:fldChar w:fldCharType="separate"/>
    </w:r>
    <w:r w:rsidR="00713416">
      <w:rPr>
        <w:noProof/>
        <w:color w:val="7F7F7F"/>
        <w:sz w:val="18"/>
      </w:rPr>
      <w:t>1</w:t>
    </w:r>
    <w:r>
      <w:rPr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4541" w:rsidRDefault="00BA4541">
      <w:r>
        <w:separator/>
      </w:r>
    </w:p>
  </w:footnote>
  <w:footnote w:type="continuationSeparator" w:id="0">
    <w:p w:rsidR="00BA4541" w:rsidRDefault="00BA45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6B21F1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6DCF4B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35B3F"/>
    <w:rsid w:val="00183680"/>
    <w:rsid w:val="00335B3F"/>
    <w:rsid w:val="00713416"/>
    <w:rsid w:val="00BA4541"/>
    <w:rsid w:val="00D97A1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743C6"/>
  <w15:docId w15:val="{1C0B08E2-CCF7-48E6-9BAE-EFFAFE5CC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sz w:val="22"/>
    </w:rPr>
  </w:style>
  <w:style w:type="paragraph" w:styleId="Titre1">
    <w:name w:val="heading 1"/>
    <w:basedOn w:val="Normal"/>
    <w:next w:val="Corpsdetexte"/>
    <w:uiPriority w:val="9"/>
    <w:qFormat/>
    <w:pPr>
      <w:keepNext/>
      <w:keepLines/>
      <w:pBdr>
        <w:bottom w:val="single" w:sz="12" w:space="4" w:color="1F3864"/>
      </w:pBdr>
      <w:spacing w:after="120"/>
      <w:outlineLvl w:val="0"/>
    </w:pPr>
    <w:rPr>
      <w:b/>
      <w:bCs/>
      <w:color w:val="1F3864"/>
      <w:sz w:val="44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320" w:after="120"/>
      <w:outlineLvl w:val="1"/>
    </w:pPr>
    <w:rPr>
      <w:b/>
      <w:bCs/>
      <w:color w:val="2E5496"/>
      <w:sz w:val="32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320" w:after="120"/>
      <w:outlineLvl w:val="2"/>
    </w:pPr>
    <w:rPr>
      <w:b/>
      <w:bCs/>
      <w:color w:val="2E5496"/>
      <w:sz w:val="26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320" w:after="120"/>
      <w:outlineLvl w:val="3"/>
    </w:pPr>
    <w:rPr>
      <w:b/>
      <w:bCs/>
      <w:color w:val="2E5496"/>
      <w:sz w:val="24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after="120" w:line="276" w:lineRule="auto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40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pBdr>
        <w:left w:val="single" w:sz="24" w:space="8" w:color="2E5496"/>
      </w:pBdr>
      <w:shd w:val="clear" w:color="auto" w:fill="EAF0FA"/>
      <w:spacing w:before="120" w:after="200"/>
      <w:ind w:left="480" w:right="480"/>
    </w:pPr>
    <w:rPr>
      <w:sz w:val="21"/>
    </w:r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  <w:pPr>
      <w:jc w:val="center"/>
    </w:pPr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eastAsia="Consolas" w:hAnsi="Consolas" w:cs="Consolas"/>
      <w:color w:val="9C1C4B"/>
      <w:sz w:val="19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rFonts w:ascii="Calibri" w:eastAsia="Calibri" w:hAnsi="Calibri" w:cs="Calibri"/>
      <w:color w:val="2E5496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hd w:val="clear" w:color="auto" w:fill="F2F2F2"/>
      <w:spacing w:after="0"/>
    </w:pPr>
    <w:rPr>
      <w:rFonts w:ascii="Consolas" w:eastAsia="Consolas" w:hAnsi="Consolas" w:cs="Consolas"/>
      <w:sz w:val="18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9C1C4B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9C1C4B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9C1C4B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Génial Hyacinthe AZONNAKPO</cp:lastModifiedBy>
  <cp:revision>5</cp:revision>
  <dcterms:created xsi:type="dcterms:W3CDTF">2026-10-11T09:50:00Z</dcterms:created>
  <dcterms:modified xsi:type="dcterms:W3CDTF">2026-10-17T01:21:00Z</dcterms:modified>
  <dc:language>fr-FR</dc:language>
</cp:coreProperties>
</file>